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223F7">
      <w:pPr>
        <w:divId w:val="2080012222"/>
        <w:rPr>
          <w:rFonts w:eastAsia="Times New Roman"/>
          <w:vanish/>
        </w:rPr>
      </w:pPr>
      <w:r>
        <w:rPr>
          <w:rFonts w:eastAsia="Times New Roman"/>
          <w:vanish/>
        </w:rPr>
        <w:t>0000789460false2022FYhttp://fasb.org/us-gaap/2022#AccountingStandardsUpdate201613Memberhttp://fasb.org/us-gaap/2022#OtherNonoperatingIncomeExpense</w:t>
      </w:r>
      <w:r>
        <w:rPr>
          <w:rFonts w:eastAsia="Times New Roman"/>
          <w:vanish/>
        </w:rPr>
        <w:t>http://fasb.org/us-gaap/2022#OtherNonoperatingIncomeExpense50http://www.wfscorp.com/20221231#IntangibleAssetsNetExcludingGoodwillAndOtherAssetsNoncurrenthttp://www.wfscorp.com/20221231#IntangibleAssetsNetExcludingGoodwillAndOtherAssetsNoncurrenthttp://fasb</w:t>
      </w:r>
      <w:r>
        <w:rPr>
          <w:rFonts w:eastAsia="Times New Roman"/>
          <w:vanish/>
        </w:rPr>
        <w:t>.org/us-gaap/2022#PropertyPlantAndEquipmentAndFinanceLeaseRightOfUseAssetAfterAccumulatedDepreciationAndAmortizationhttp://fasb.org/us-gaap/2022#PropertyPlantAndEquipmentAndFinanceLeaseRightOfUseAssetAfterAccumulatedDepreciationAndAmortizationhttp://fasb.o</w:t>
      </w:r>
      <w:r>
        <w:rPr>
          <w:rFonts w:eastAsia="Times New Roman"/>
          <w:vanish/>
        </w:rPr>
        <w:t>rg/us-gaap/2022#AccruedLiabilitiesCurrenthttp://fasb.org/us-gaap/2022#AccruedLiabilitiesCurrenthttp://fasb.org/us-gaap/2022#OtherLiabilitiesNoncurrenthttp://fasb.org/us-gaap/2022#OtherLiabilitiesNoncurrenthttp://fasb.org/us-gaap/2022#LongTermDebtAndCapital</w:t>
      </w:r>
      <w:r>
        <w:rPr>
          <w:rFonts w:eastAsia="Times New Roman"/>
          <w:vanish/>
        </w:rPr>
        <w:t>LeaseObligationsCurrenthttp://fasb.org/us-gaap/2022#LongTermDebtAndCapitalLeaseObligationsCurrenthttp://fasb.org/us-gaap/2022#LongTermDebtAndCapitalLeaseObligationshttp://fasb.org/us-gaap/2022#LongTermDebtAndCapitalLeaseObligations00007894602022-01-012022-</w:t>
      </w:r>
      <w:r>
        <w:rPr>
          <w:rFonts w:eastAsia="Times New Roman"/>
          <w:vanish/>
        </w:rPr>
        <w:t>12-3100007894602022-06-30iso4217:USD00007894602023-02-17xbrli:shares00007894602022-12-3100007894602021-12-31iso4217:USDxbrli:shares00007894602021-01-012021-12-3100007894602020-01-012020-12-310000789460us-gaap:CommonStockMember2019-12-310000789460us-gaap:Ad</w:t>
      </w:r>
      <w:r>
        <w:rPr>
          <w:rFonts w:eastAsia="Times New Roman"/>
          <w:vanish/>
        </w:rPr>
        <w:t>ditionalPaidInCapitalMember2019-12-310000789460us-gaap:RetainedEarningsMember2019-12-310000789460us-gaap:AccumulatedOtherComprehensiveIncomeMember2019-12-310000789460us-gaap:ParentMember2019-12-310000789460us-gaap:NoncontrollingInterestMember2019-12-310000</w:t>
      </w:r>
      <w:r>
        <w:rPr>
          <w:rFonts w:eastAsia="Times New Roman"/>
          <w:vanish/>
        </w:rPr>
        <w:t>7894602019-12-310000789460us-gaap:RetainedEarningsMember2020-01-012020-12-310000789460us-gaap:ParentMember2020-01-012020-12-310000789460us-gaap:NoncontrollingInterestMember2020-01-012020-12-3100007894602019-01-012019-12-310000789460srt:CumulativeEffectPeri</w:t>
      </w:r>
      <w:r>
        <w:rPr>
          <w:rFonts w:eastAsia="Times New Roman"/>
          <w:vanish/>
        </w:rPr>
        <w:t>odOfAdoptionAdjustmentMemberus-gaap:RetainedEarningsMember2019-12-310000789460srt:CumulativeEffectPeriodOfAdoptionAdjustmentMemberus-gaap:ParentMember2019-12-310000789460srt:CumulativeEffectPeriodOfAdoptionAdjustmentMember2019-12-310000789460us-gaap:Additi</w:t>
      </w:r>
      <w:r>
        <w:rPr>
          <w:rFonts w:eastAsia="Times New Roman"/>
          <w:vanish/>
        </w:rPr>
        <w:t>onalPaidInCapitalMember2020-01-012020-12-310000789460us-gaap:CommonStockMember2020-01-012020-12-310000789460us-gaap:AccumulatedOtherComprehensiveIncomeMember2020-01-012020-12-310000789460us-gaap:CommonStockMember2020-12-310000789460us-gaap:AdditionalPaidIn</w:t>
      </w:r>
      <w:r>
        <w:rPr>
          <w:rFonts w:eastAsia="Times New Roman"/>
          <w:vanish/>
        </w:rPr>
        <w:t>CapitalMember2020-12-310000789460us-gaap:RetainedEarningsMember2020-12-310000789460us-gaap:AccumulatedOtherComprehensiveIncomeMember2020-12-310000789460us-gaap:ParentMember2020-12-310000789460us-gaap:NoncontrollingInterestMember2020-12-3100007894602020-12-</w:t>
      </w:r>
      <w:r>
        <w:rPr>
          <w:rFonts w:eastAsia="Times New Roman"/>
          <w:vanish/>
        </w:rPr>
        <w:t>310000789460us-gaap:RetainedEarningsMember2021-01-012021-12-310000789460us-gaap:ParentMember2021-01-012021-12-310000789460us-gaap:NoncontrollingInterestMember2021-01-012021-12-310000789460us-gaap:AdditionalPaidInCapitalMember2021-01-012021-12-310000789460u</w:t>
      </w:r>
      <w:r>
        <w:rPr>
          <w:rFonts w:eastAsia="Times New Roman"/>
          <w:vanish/>
        </w:rPr>
        <w:t>s-gaap:CommonStockMember2021-01-012021-12-310000789460us-gaap:AccumulatedOtherComprehensiveIncomeMember2021-01-012021-12-310000789460us-gaap:CommonStockMember2021-12-310000789460us-gaap:AdditionalPaidInCapitalMember2021-12-310000789460us-gaap:RetainedEarni</w:t>
      </w:r>
      <w:r>
        <w:rPr>
          <w:rFonts w:eastAsia="Times New Roman"/>
          <w:vanish/>
        </w:rPr>
        <w:t>ngsMember2021-12-310000789460us-gaap:AccumulatedOtherComprehensiveIncomeMember2021-12-310000789460us-gaap:ParentMember2021-12-310000789460us-gaap:NoncontrollingInterestMember2021-12-310000789460us-gaap:RetainedEarningsMember2022-01-012022-12-310000789460us</w:t>
      </w:r>
      <w:r>
        <w:rPr>
          <w:rFonts w:eastAsia="Times New Roman"/>
          <w:vanish/>
        </w:rPr>
        <w:t>-gaap:ParentMember2022-01-012022-12-310000789460us-gaap:NoncontrollingInterestMember2022-01-012022-12-310000789460us-gaap:AdditionalPaidInCapitalMember2022-01-012022-12-310000789460us-gaap:CommonStockMember2022-01-012022-12-310000789460us-gaap:AccumulatedO</w:t>
      </w:r>
      <w:r>
        <w:rPr>
          <w:rFonts w:eastAsia="Times New Roman"/>
          <w:vanish/>
        </w:rPr>
        <w:t>therComprehensiveIncomeMember2022-01-012022-12-310000789460us-gaap:CommonStockMember2022-12-310000789460us-gaap:AdditionalPaidInCapitalMember2022-12-310000789460us-gaap:RetainedEarningsMember2022-12-310000789460us-gaap:AccumulatedOtherComprehensiveIncomeMe</w:t>
      </w:r>
      <w:r>
        <w:rPr>
          <w:rFonts w:eastAsia="Times New Roman"/>
          <w:vanish/>
        </w:rPr>
        <w:t>mber2022-12-310000789460us-gaap:ParentMember2022-12-310000789460us-gaap:NoncontrollingInterestMember2022-12-31xbrli:pure0000789460int:FlyersEnergyGroupMember2022-01-032022-01-030000789460int:FlyersEnergyGroupMember2022-01-030000789460int:FlyersEnergyGroupM</w:t>
      </w:r>
      <w:r>
        <w:rPr>
          <w:rFonts w:eastAsia="Times New Roman"/>
          <w:vanish/>
        </w:rPr>
        <w:t>ember2022-01-032022-06-300000789460int:FlyersEnergyGroupMember2022-09-300000789460us-gaap:SubsequentEventMemberint:FlyersEnergyGroupMember2023-01-012023-01-310000789460srt:ScenarioForecastMemberint:FlyersEnergyGroupMember2024-01-012024-01-310000789460int:F</w:t>
      </w:r>
      <w:r>
        <w:rPr>
          <w:rFonts w:eastAsia="Times New Roman"/>
          <w:vanish/>
        </w:rPr>
        <w:t>lyersEnergyGroupMember2022-01-032022-12-310000789460int:FlyersEnergyGroupMember2021-01-012021-12-310000789460int:UniversalWeatherAndAviationIncMember2021-10-012021-10-010000789460us-gaap:DisposalGroupNotDiscontinuedOperationsMemberint:MultiServicePaymentSo</w:t>
      </w:r>
      <w:r>
        <w:rPr>
          <w:rFonts w:eastAsia="Times New Roman"/>
          <w:vanish/>
        </w:rPr>
        <w:t>lutionsMember2020-09-302020-09-300000789460us-gaap:DisposalGroupNotDiscontinuedOperationsMemberint:MultiServicePaymentSolutionsMember2020-09-300000789460us-gaap:DisposalGroupNotDiscontinuedOperationsMemberint:MultiServicePaymentSolutionsMember2020-01-01202</w:t>
      </w:r>
      <w:r>
        <w:rPr>
          <w:rFonts w:eastAsia="Times New Roman"/>
          <w:vanish/>
        </w:rPr>
        <w:t>0-12-310000789460us-gaap:DisposalGroupNotDiscontinuedOperationsMemberint:MultiServicePaymentSolutionsMember2021-07-012021-09-300000789460us-gaap:DisposalGroupNotDiscontinuedOperationsMemberint:MultiServicePaymentSolutionsMember2022-01-012022-12-31000078946</w:t>
      </w:r>
      <w:r>
        <w:rPr>
          <w:rFonts w:eastAsia="Times New Roman"/>
          <w:vanish/>
        </w:rPr>
        <w:t>0int:UniversalWeatherAndAviationIncMember2020-09-302020-09-300000789460int:UniversalWeatherAndAviationIncMember2020-09-300000789460us-gaap:CustomerRelationshipsMemberint:UniversalWeatherAndAviationIncMember2020-09-302020-09-300000789460us-gaap:CommodityCon</w:t>
      </w:r>
      <w:r>
        <w:rPr>
          <w:rFonts w:eastAsia="Times New Roman"/>
          <w:vanish/>
        </w:rPr>
        <w:t>tractMemberus-gaap:LongMember2022-01-012022-12-31utr:bbl0000789460us-gaap:CommodityContractMemberus-gaap:ShortMember2022-01-012022-12-310000789460us-gaap:ForeignExchangeContractMemberus-gaap:ShortMembercurrency:USD2022-12-310000789460us-gaap:LongMemberus-g</w:t>
      </w:r>
      <w:r>
        <w:rPr>
          <w:rFonts w:eastAsia="Times New Roman"/>
          <w:vanish/>
        </w:rPr>
        <w:t>aap:ForeignExchangeContractMembercurrency:USD2022-12-310000789460currency:USDus-gaap:InterestRateContractMember2022-12-310000789460us-gaap:CommodityContractMemberus-gaap:DesignatedAsHedgingInstrumentMemberint:ShortTermDerivativeAssetsNetMember2022-12-31000</w:t>
      </w:r>
      <w:r>
        <w:rPr>
          <w:rFonts w:eastAsia="Times New Roman"/>
          <w:vanish/>
        </w:rPr>
        <w:t>0789460us-gaap:CommodityContractMemberus-gaap:DesignatedAsHedgingInstrumentMemberint:ShortTermDerivativeAssetsNetMember2021-12-310000789460us-gaap:CommodityContractMemberus-gaap:DesignatedAsHedgingInstrumentMemberint:ShortTermDerivativeLiabilitiesNetMember</w:t>
      </w:r>
      <w:r>
        <w:rPr>
          <w:rFonts w:eastAsia="Times New Roman"/>
          <w:vanish/>
        </w:rPr>
        <w:t>2022-12-310000789460us-gaap:CommodityContractMemberus-gaap:DesignatedAsHedgingInstrumentMemberint:ShortTermDerivativeLiabilitiesNetMember2021-12-310000789460us-gaap:DesignatedAsHedgingInstrumentMemberint:ShortTermDerivativeAssetsNetMemberus-gaap:InterestRa</w:t>
      </w:r>
      <w:r>
        <w:rPr>
          <w:rFonts w:eastAsia="Times New Roman"/>
          <w:vanish/>
        </w:rPr>
        <w:t>teContractMember2022-12-310000789460us-gaap:DesignatedAsHedgingInstrumentMemberint:ShortTermDerivativeAssetsNetMemberus-gaap:InterestRateContractMember2021-12-310000789460int:IdentifiableIntangibleAndOtherNonCurrentAssetsMemberus-gaap:DesignatedAsHedgingIn</w:t>
      </w:r>
      <w:r>
        <w:rPr>
          <w:rFonts w:eastAsia="Times New Roman"/>
          <w:vanish/>
        </w:rPr>
        <w:t>strumentMemberus-gaap:InterestRateContractMember2022-12-310000789460int:IdentifiableIntangibleAndOtherNonCurrentAssetsMemberus-gaap:DesignatedAsHedgingInstrumentMemberus-gaap:InterestRateContractMember2021-12-310000789460us-gaap:DesignatedAsHedgingInstrume</w:t>
      </w:r>
      <w:r>
        <w:rPr>
          <w:rFonts w:eastAsia="Times New Roman"/>
          <w:vanish/>
        </w:rPr>
        <w:t>ntMemberint:ShortTermDerivativeLiabilitiesNetMemberus-gaap:InterestRateContractMember2022-12-310000789460us-gaap:DesignatedAsHedgingInstrumentMemberint:ShortTermDerivativeLiabilitiesNetMemberus-gaap:InterestRateContractMember2021-12-310000789460us-gaap:Des</w:t>
      </w:r>
      <w:r>
        <w:rPr>
          <w:rFonts w:eastAsia="Times New Roman"/>
          <w:vanish/>
        </w:rPr>
        <w:t>ignatedAsHedgingInstrumentMember2022-12-310000789460us-gaap:DesignatedAsHedgingInstrumentMember2021-12-310000789460us-gaap:CommodityContractMemberint:ShortTermDerivativeAssetsNetMemberus-gaap:NondesignatedMember2022-12-310000789460us-gaap:CommodityContract</w:t>
      </w:r>
      <w:r>
        <w:rPr>
          <w:rFonts w:eastAsia="Times New Roman"/>
          <w:vanish/>
        </w:rPr>
        <w:t>Memberint:ShortTermDerivativeAssetsNetMemberus-gaap:NondesignatedMember2021-12-310000789460us-gaap:CommodityContractMemberint:IdentifiableIntangibleAndOtherNonCurrentAssetsMemberus-gaap:NondesignatedMember2022-12-310000789460us-gaap:CommodityContractMember</w:t>
      </w:r>
      <w:r>
        <w:rPr>
          <w:rFonts w:eastAsia="Times New Roman"/>
          <w:vanish/>
        </w:rPr>
        <w:t>int:IdentifiableIntangibleAndOtherNonCurrentAssetsMemberus-gaap:NondesignatedMember2021-12-310000789460us-gaap:CommodityContractMemberint:ShortTermDerivativeLiabilitiesNetMemberus-gaap:NondesignatedMember2022-12-310000789460us-gaap:CommodityContractMemberi</w:t>
      </w:r>
      <w:r>
        <w:rPr>
          <w:rFonts w:eastAsia="Times New Roman"/>
          <w:vanish/>
        </w:rPr>
        <w:t>nt:ShortTermDerivativeLiabilitiesNetMemberus-gaap:NondesignatedMember2021-12-310000789460us-gaap:CommodityContractMemberus-gaap:OtherNoncurrentLiabilitiesMemberus-gaap:NondesignatedMember2022-12-310000789460us-gaap:CommodityContractMemberus-gaap:OtherNoncu</w:t>
      </w:r>
      <w:r>
        <w:rPr>
          <w:rFonts w:eastAsia="Times New Roman"/>
          <w:vanish/>
        </w:rPr>
        <w:t>rrentLiabilitiesMemberus-gaap:NondesignatedMember2021-12-310000789460us-gaap:ForeignExchangeContractMemberint:ShortTermDerivativeAssetsNetMemberus-gaap:NondesignatedMember2022-12-310000789460us-gaap:ForeignExchangeContractMemberint:ShortTermDerivativeAsset</w:t>
      </w:r>
      <w:r>
        <w:rPr>
          <w:rFonts w:eastAsia="Times New Roman"/>
          <w:vanish/>
        </w:rPr>
        <w:t>sNetMemberus-gaap:NondesignatedMember2021-12-310000789460int:IdentifiableIntangibleAndOtherNonCurrentAssetsMemberus-gaap:ForeignExchangeContractMemberus-gaap:NondesignatedMember2022-12-310000789460int:IdentifiableIntangibleAndOtherNonCurrentAssetsMemberus-</w:t>
      </w:r>
      <w:r>
        <w:rPr>
          <w:rFonts w:eastAsia="Times New Roman"/>
          <w:vanish/>
        </w:rPr>
        <w:t>gaap:ForeignExchangeContractMemberus-gaap:NondesignatedMember2021-12-310000789460int:ShortTermDerivativeLiabilitiesNetMemberus-gaap:ForeignExchangeContractMemberus-gaap:NondesignatedMember2022-12-310000789460int:ShortTermDerivativeLiabilitiesNetMemberus-ga</w:t>
      </w:r>
      <w:r>
        <w:rPr>
          <w:rFonts w:eastAsia="Times New Roman"/>
          <w:vanish/>
        </w:rPr>
        <w:t>ap:ForeignExchangeContractMemberus-gaap:NondesignatedMember2021-12-310000789460us-gaap:OtherNoncurrentLiabilitiesMemberus-gaap:ForeignExchangeContractMemberus-gaap:NondesignatedMember2022-12-310000789460us-gaap:OtherNoncurrentLiabilitiesMemberus-gaap:Forei</w:t>
      </w:r>
      <w:r>
        <w:rPr>
          <w:rFonts w:eastAsia="Times New Roman"/>
          <w:vanish/>
        </w:rPr>
        <w:t>gnExchangeContractMemberus-gaap:NondesignatedMember2021-12-310000789460us-gaap:NondesignatedMember2022-12-310000789460us-gaap:NondesignatedMember2021-12-310000789460us-gaap:SalesMember2022-01-012022-12-310000789460us-gaap:CostOfSalesMember2022-01-012022-12</w:t>
      </w:r>
      <w:r>
        <w:rPr>
          <w:rFonts w:eastAsia="Times New Roman"/>
          <w:vanish/>
        </w:rPr>
        <w:t>-310000789460int:InterestExpenseAndOtherFinancingCostsMember2022-01-012022-12-310000789460us-gaap:SalesMember2021-01-012021-12-310000789460us-gaap:CostOfSalesMember2021-01-012021-12-310000789460int:InterestExpenseAndOtherFinancingCostsMember2021-01-012021-</w:t>
      </w:r>
      <w:r>
        <w:rPr>
          <w:rFonts w:eastAsia="Times New Roman"/>
          <w:vanish/>
        </w:rPr>
        <w:t>12-310000789460us-gaap:SalesMember2020-01-012020-12-310000789460us-gaap:CostOfSalesMember2020-01-012020-12-310000789460int:InterestExpenseAndOtherFinancingCostsMember2020-01-012020-12-310000789460us-gaap:CommodityContractMemberus-gaap:SalesMember2022-01-01</w:t>
      </w:r>
      <w:r>
        <w:rPr>
          <w:rFonts w:eastAsia="Times New Roman"/>
          <w:vanish/>
        </w:rPr>
        <w:t>2022-12-310000789460us-gaap:CommodityContractMemberus-gaap:CostOfSalesMember2022-01-012022-12-310000789460us-gaap:CommodityContractMemberint:InterestExpenseAndOtherFinancingCostsMember2022-01-012022-12-310000789460us-gaap:CommodityContractMemberus-gaap:Sal</w:t>
      </w:r>
      <w:r>
        <w:rPr>
          <w:rFonts w:eastAsia="Times New Roman"/>
          <w:vanish/>
        </w:rPr>
        <w:t>esMember2021-01-012021-12-310000789460us-gaap:CommodityContractMemberus-gaap:CostOfSalesMember2021-01-012021-12-310000789460us-gaap:CommodityContractMemberint:InterestExpenseAndOtherFinancingCostsMember2021-01-012021-12-310000789460us-gaap:CommodityContrac</w:t>
      </w:r>
      <w:r>
        <w:rPr>
          <w:rFonts w:eastAsia="Times New Roman"/>
          <w:vanish/>
        </w:rPr>
        <w:t>tMemberus-gaap:SalesMember2020-01-012020-12-310000789460us-gaap:CommodityContractMemberus-gaap:CostOfSalesMember2020-01-012020-12-310000789460us-gaap:CommodityContractMemberint:InterestExpenseAndOtherFinancingCostsMember2020-01-012020-12-310000789460us-gaa</w:t>
      </w:r>
      <w:r>
        <w:rPr>
          <w:rFonts w:eastAsia="Times New Roman"/>
          <w:vanish/>
        </w:rPr>
        <w:t>p:SalesMemberus-gaap:InterestRateContractMember2022-01-012022-12-310000789460us-gaap:CostOfSalesMemberus-gaap:InterestRateContractMember2022-01-012022-12-310000789460int:InterestExpenseAndOtherFinancingCostsMemberus-gaap:InterestRateContractMember2022-01-0</w:t>
      </w:r>
      <w:r>
        <w:rPr>
          <w:rFonts w:eastAsia="Times New Roman"/>
          <w:vanish/>
        </w:rPr>
        <w:t>12022-12-310000789460us-gaap:SalesMemberus-gaap:InterestRateContractMember2021-01-012021-12-310000789460us-gaap:CostOfSalesMemberus-gaap:InterestRateContractMember2021-01-012021-12-310000789460int:InterestExpenseAndOtherFinancingCostsMemberus-gaap:Interest</w:t>
      </w:r>
      <w:r>
        <w:rPr>
          <w:rFonts w:eastAsia="Times New Roman"/>
          <w:vanish/>
        </w:rPr>
        <w:t>RateContractMember2021-01-012021-12-310000789460us-gaap:SalesMemberus-gaap:InterestRateContractMember2020-01-012020-12-310000789460us-gaap:CostOfSalesMemberus-gaap:InterestRateContractMember2020-01-012020-12-310000789460int:InterestExpenseAndOtherFinancing</w:t>
      </w:r>
      <w:r>
        <w:rPr>
          <w:rFonts w:eastAsia="Times New Roman"/>
          <w:vanish/>
        </w:rPr>
        <w:t>CostsMemberus-gaap:InterestRateContractMember2020-01-012020-12-310000789460us-gaap:CommodityContractMemberus-gaap:DesignatedAsHedgingInstrumentMemberus-gaap:SalesMember2022-01-012022-12-310000789460us-gaap:CommodityContractMemberus-gaap:DesignatedAsHedging</w:t>
      </w:r>
      <w:r>
        <w:rPr>
          <w:rFonts w:eastAsia="Times New Roman"/>
          <w:vanish/>
        </w:rPr>
        <w:t>InstrumentMemberus-gaap:SalesMember2021-01-012021-12-310000789460us-gaap:CommodityContractMemberus-gaap:DesignatedAsHedgingInstrumentMemberus-gaap:SalesMember2020-01-012020-12-310000789460us-gaap:CommodityContractMemberus-gaap:CostOfSalesMemberus-gaap:Desi</w:t>
      </w:r>
      <w:r>
        <w:rPr>
          <w:rFonts w:eastAsia="Times New Roman"/>
          <w:vanish/>
        </w:rPr>
        <w:t>gnatedAsHedgingInstrumentMember2022-01-012022-12-310000789460us-gaap:CommodityContractMemberus-gaap:CostOfSalesMemberus-gaap:DesignatedAsHedgingInstrumentMember2021-01-012021-12-310000789460us-gaap:CommodityContractMemberus-gaap:CostOfSalesMemberus-gaap:De</w:t>
      </w:r>
      <w:r>
        <w:rPr>
          <w:rFonts w:eastAsia="Times New Roman"/>
          <w:vanish/>
        </w:rPr>
        <w:t>signatedAsHedgingInstrumentMember2020-01-012020-12-310000789460us-gaap:DesignatedAsHedgingInstrumentMemberint:InterestExpenseAndOtherFinancingCostsMemberus-gaap:InterestRateContractMember2022-01-012022-12-310000789460us-gaap:DesignatedAsHedgingInstrumentMe</w:t>
      </w:r>
      <w:r>
        <w:rPr>
          <w:rFonts w:eastAsia="Times New Roman"/>
          <w:vanish/>
        </w:rPr>
        <w:t>mberint:InterestExpenseAndOtherFinancingCostsMemberus-gaap:InterestRateContractMember2021-01-012021-12-310000789460us-gaap:DesignatedAsHedgingInstrumentMemberint:InterestExpenseAndOtherFinancingCostsMemberus-gaap:InterestRateContractMember2020-01-012020-12</w:t>
      </w:r>
      <w:r>
        <w:rPr>
          <w:rFonts w:eastAsia="Times New Roman"/>
          <w:vanish/>
        </w:rPr>
        <w:t>-310000789460us-gaap:DesignatedAsHedgingInstrumentMember2022-01-012022-12-310000789460us-gaap:DesignatedAsHedgingInstrumentMember2021-01-012021-12-310000789460us-gaap:DesignatedAsHedgingInstrumentMember2020-01-012020-12-310000789460us-gaap:CommodityContrac</w:t>
      </w:r>
      <w:r>
        <w:rPr>
          <w:rFonts w:eastAsia="Times New Roman"/>
          <w:vanish/>
        </w:rPr>
        <w:t>tMemberus-gaap:SalesMemberus-gaap:NondesignatedMember2022-01-012022-12-310000789460us-gaap:CommodityContractMemberus-gaap:SalesMemberus-gaap:NondesignatedMember2021-01-012021-12-310000789460us-gaap:CommodityContractMemberus-gaap:SalesMemberus-gaap:Nondesig</w:t>
      </w:r>
      <w:r>
        <w:rPr>
          <w:rFonts w:eastAsia="Times New Roman"/>
          <w:vanish/>
        </w:rPr>
        <w:t>natedMember2020-01-012020-12-310000789460us-gaap:CommodityContractMemberus-gaap:CostOfSalesMemberus-gaap:NondesignatedMember2022-01-012022-12-310000789460us-gaap:CommodityContractMemberus-gaap:CostOfSalesMemberus-gaap:NondesignatedMember2021-01-012021-12-3</w:t>
      </w:r>
      <w:r>
        <w:rPr>
          <w:rFonts w:eastAsia="Times New Roman"/>
          <w:vanish/>
        </w:rPr>
        <w:t>10000789460us-gaap:CommodityContractMemberus-gaap:CostOfSalesMemberus-gaap:NondesignatedMember2020-01-012020-12-310000789460us-gaap:CommodityContractMemberus-gaap:NondesignatedMember2022-01-012022-12-310000789460us-gaap:CommodityContractMemberus-gaap:Nonde</w:t>
      </w:r>
      <w:r>
        <w:rPr>
          <w:rFonts w:eastAsia="Times New Roman"/>
          <w:vanish/>
        </w:rPr>
        <w:t>signatedMember2021-01-012021-12-310000789460us-gaap:CommodityContractMemberus-gaap:NondesignatedMember2020-01-012020-12-310000789460us-gaap:SalesMemberus-gaap:ForeignExchangeContractMemberus-gaap:NondesignatedMember2022-01-012022-12-310000789460us-gaap:Sal</w:t>
      </w:r>
      <w:r>
        <w:rPr>
          <w:rFonts w:eastAsia="Times New Roman"/>
          <w:vanish/>
        </w:rPr>
        <w:t>esMemberus-gaap:ForeignExchangeContractMemberus-gaap:NondesignatedMember2021-01-012021-12-310000789460us-gaap:SalesMemberus-gaap:ForeignExchangeContractMemberus-gaap:NondesignatedMember2020-01-012020-12-310000789460us-gaap:ForeignExchangeContractMemberint:</w:t>
      </w:r>
      <w:r>
        <w:rPr>
          <w:rFonts w:eastAsia="Times New Roman"/>
          <w:vanish/>
        </w:rPr>
        <w:t>InterestExpenseAndOtherFinancingCostsMemberus-gaap:NondesignatedMember2022-01-012022-12-310000789460us-gaap:ForeignExchangeContractMemberint:InterestExpenseAndOtherFinancingCostsMemberus-gaap:NondesignatedMember2021-01-012021-12-310000789460us-gaap:Foreign</w:t>
      </w:r>
      <w:r>
        <w:rPr>
          <w:rFonts w:eastAsia="Times New Roman"/>
          <w:vanish/>
        </w:rPr>
        <w:t>ExchangeContractMemberint:InterestExpenseAndOtherFinancingCostsMemberus-gaap:NondesignatedMember2020-01-012020-12-310000789460us-gaap:ForeignExchangeContractMemberus-gaap:NondesignatedMember2022-01-012022-12-310000789460us-gaap:ForeignExchangeContractMembe</w:t>
      </w:r>
      <w:r>
        <w:rPr>
          <w:rFonts w:eastAsia="Times New Roman"/>
          <w:vanish/>
        </w:rPr>
        <w:t>rus-gaap:NondesignatedMember2021-01-012021-12-310000789460us-gaap:ForeignExchangeContractMemberus-gaap:NondesignatedMember2020-01-012020-12-310000789460us-gaap:NondesignatedMember2022-01-012022-12-310000789460us-gaap:NondesignatedMember2021-01-012021-12-31</w:t>
      </w:r>
      <w:r>
        <w:rPr>
          <w:rFonts w:eastAsia="Times New Roman"/>
          <w:vanish/>
        </w:rPr>
        <w:t>0000789460us-gaap:NondesignatedMember2020-01-012020-12-310000789460us-gaap:FairValueInputsLevel1Memberus-gaap:CommodityContractMemberus-gaap:FairValueMeasurementsRecurringMember2022-12-310000789460us-gaap:CommodityContractMemberus-gaap:FairValueInputsLevel</w:t>
      </w:r>
      <w:r>
        <w:rPr>
          <w:rFonts w:eastAsia="Times New Roman"/>
          <w:vanish/>
        </w:rPr>
        <w:t>2Memberus-gaap:FairValueMeasurementsRecurringMember2022-12-310000789460us-gaap:CommodityContractMemberus-gaap:FairValueInputsLevel3Memberus-gaap:FairValueMeasurementsRecurringMember2022-12-310000789460us-gaap:CommodityContractMemberus-gaap:FairValueMeasure</w:t>
      </w:r>
      <w:r>
        <w:rPr>
          <w:rFonts w:eastAsia="Times New Roman"/>
          <w:vanish/>
        </w:rPr>
        <w:t>mentsRecurringMember2022-12-310000789460us-gaap:FairValueInputsLevel1Memberus-gaap:InterestRateContractMemberus-gaap:FairValueMeasurementsRecurringMember2022-12-310000789460us-gaap:FairValueInputsLevel2Memberus-gaap:InterestRateContractMemberus-gaap:FairVa</w:t>
      </w:r>
      <w:r>
        <w:rPr>
          <w:rFonts w:eastAsia="Times New Roman"/>
          <w:vanish/>
        </w:rPr>
        <w:t>lueMeasurementsRecurringMember2022-12-310000789460us-gaap:FairValueInputsLevel3Memberus-gaap:InterestRateContractMemberus-gaap:FairValueMeasurementsRecurringMember2022-12-310000789460us-gaap:InterestRateContractMemberus-gaap:FairValueMeasurementsRecurringM</w:t>
      </w:r>
      <w:r>
        <w:rPr>
          <w:rFonts w:eastAsia="Times New Roman"/>
          <w:vanish/>
        </w:rPr>
        <w:t>ember2022-12-310000789460us-gaap:FairValueInputsLevel1Memberus-gaap:ForeignExchangeContractMemberus-gaap:FairValueMeasurementsRecurringMember2022-12-310000789460us-gaap:FairValueInputsLevel2Memberus-gaap:ForeignExchangeContractMemberus-gaap:FairValueMeasur</w:t>
      </w:r>
      <w:r>
        <w:rPr>
          <w:rFonts w:eastAsia="Times New Roman"/>
          <w:vanish/>
        </w:rPr>
        <w:t>ementsRecurringMember2022-12-310000789460us-gaap:FairValueInputsLevel3Memberus-gaap:ForeignExchangeContractMemberus-gaap:FairValueMeasurementsRecurringMember2022-12-310000789460us-gaap:ForeignExchangeContractMemberus-gaap:FairValueMeasurementsRecurringMemb</w:t>
      </w:r>
      <w:r>
        <w:rPr>
          <w:rFonts w:eastAsia="Times New Roman"/>
          <w:vanish/>
        </w:rPr>
        <w:t>er2022-12-310000789460us-gaap:FairValueInputsLevel1Memberus-gaap:CashSurrenderValueMemberus-gaap:FairValueMeasurementsRecurringMember2022-12-310000789460us-gaap:FairValueInputsLevel2Memberus-gaap:CashSurrenderValueMemberus-gaap:FairValueMeasurementsRecurri</w:t>
      </w:r>
      <w:r>
        <w:rPr>
          <w:rFonts w:eastAsia="Times New Roman"/>
          <w:vanish/>
        </w:rPr>
        <w:t>ngMember2022-12-310000789460us-gaap:FairValueInputsLevel3Memberus-gaap:CashSurrenderValueMemberus-gaap:FairValueMeasurementsRecurringMember2022-12-310000789460us-gaap:CashSurrenderValueMemberus-gaap:FairValueMeasurementsRecurringMember2022-12-310000789460u</w:t>
      </w:r>
      <w:r>
        <w:rPr>
          <w:rFonts w:eastAsia="Times New Roman"/>
          <w:vanish/>
        </w:rPr>
        <w:t>s-gaap:FairValueInputsLevel1Memberus-gaap:FairValueMeasurementsRecurringMember2022-12-310000789460us-gaap:FairValueInputsLevel2Memberus-gaap:FairValueMeasurementsRecurringMember2022-12-310000789460us-gaap:FairValueInputsLevel3Memberus-gaap:FairValueMeasure</w:t>
      </w:r>
      <w:r>
        <w:rPr>
          <w:rFonts w:eastAsia="Times New Roman"/>
          <w:vanish/>
        </w:rPr>
        <w:t>mentsRecurringMember2022-12-310000789460us-gaap:FairValueMeasurementsRecurringMember2022-12-310000789460us-gaap:FairValueInputsLevel1Memberus-gaap:CommodityContractMemberus-gaap:FairValueMeasurementsRecurringMember2021-12-310000789460us-gaap:CommodityContr</w:t>
      </w:r>
      <w:r>
        <w:rPr>
          <w:rFonts w:eastAsia="Times New Roman"/>
          <w:vanish/>
        </w:rPr>
        <w:t>actMemberus-gaap:FairValueInputsLevel2Memberus-gaap:FairValueMeasurementsRecurringMember2021-12-310000789460us-gaap:CommodityContractMemberus-gaap:FairValueInputsLevel3Memberus-gaap:FairValueMeasurementsRecurringMember2021-12-310000789460us-gaap:CommodityC</w:t>
      </w:r>
      <w:r>
        <w:rPr>
          <w:rFonts w:eastAsia="Times New Roman"/>
          <w:vanish/>
        </w:rPr>
        <w:t>ontractMemberus-gaap:FairValueMeasurementsRecurringMember2021-12-310000789460us-gaap:FairValueInputsLevel1Memberus-gaap:InterestRateContractMemberus-gaap:FairValueMeasurementsRecurringMember2021-12-310000789460us-gaap:FairValueInputsLevel2Memberus-gaap:Int</w:t>
      </w:r>
      <w:r>
        <w:rPr>
          <w:rFonts w:eastAsia="Times New Roman"/>
          <w:vanish/>
        </w:rPr>
        <w:t>erestRateContractMemberus-gaap:FairValueMeasurementsRecurringMember2021-12-310000789460us-gaap:FairValueInputsLevel3Memberus-gaap:InterestRateContractMemberus-gaap:FairValueMeasurementsRecurringMember2021-12-310000789460us-gaap:InterestRateContractMemberus</w:t>
      </w:r>
      <w:r>
        <w:rPr>
          <w:rFonts w:eastAsia="Times New Roman"/>
          <w:vanish/>
        </w:rPr>
        <w:t>-gaap:FairValueMeasurementsRecurringMember2021-12-310000789460us-gaap:FairValueInputsLevel1Memberus-gaap:ForeignExchangeContractMemberus-gaap:FairValueMeasurementsRecurringMember2021-12-310000789460us-gaap:FairValueInputsLevel2Memberus-gaap:ForeignExchange</w:t>
      </w:r>
      <w:r>
        <w:rPr>
          <w:rFonts w:eastAsia="Times New Roman"/>
          <w:vanish/>
        </w:rPr>
        <w:t>ContractMemberus-gaap:FairValueMeasurementsRecurringMember2021-12-310000789460us-gaap:FairValueInputsLevel3Memberus-gaap:ForeignExchangeContractMemberus-gaap:FairValueMeasurementsRecurringMember2021-12-310000789460us-gaap:ForeignExchangeContractMemberus-ga</w:t>
      </w:r>
      <w:r>
        <w:rPr>
          <w:rFonts w:eastAsia="Times New Roman"/>
          <w:vanish/>
        </w:rPr>
        <w:t>ap:FairValueMeasurementsRecurringMember2021-12-310000789460us-gaap:FairValueInputsLevel1Memberus-gaap:CashSurrenderValueMemberus-gaap:FairValueMeasurementsRecurringMember2021-12-310000789460us-gaap:FairValueInputsLevel2Memberus-gaap:CashSurrenderValueMembe</w:t>
      </w:r>
      <w:r>
        <w:rPr>
          <w:rFonts w:eastAsia="Times New Roman"/>
          <w:vanish/>
        </w:rPr>
        <w:t>rus-gaap:FairValueMeasurementsRecurringMember2021-12-310000789460us-gaap:FairValueInputsLevel3Memberus-gaap:CashSurrenderValueMemberus-gaap:FairValueMeasurementsRecurringMember2021-12-310000789460us-gaap:CashSurrenderValueMemberus-gaap:FairValueMeasurement</w:t>
      </w:r>
      <w:r>
        <w:rPr>
          <w:rFonts w:eastAsia="Times New Roman"/>
          <w:vanish/>
        </w:rPr>
        <w:t>sRecurringMember2021-12-310000789460us-gaap:FairValueInputsLevel1Memberus-gaap:FairValueMeasurementsRecurringMember2021-12-310000789460us-gaap:FairValueInputsLevel2Memberus-gaap:FairValueMeasurementsRecurringMember2021-12-310000789460us-gaap:FairValueInput</w:t>
      </w:r>
      <w:r>
        <w:rPr>
          <w:rFonts w:eastAsia="Times New Roman"/>
          <w:vanish/>
        </w:rPr>
        <w:t>sLevel3Memberus-gaap:FairValueMeasurementsRecurringMember2021-12-310000789460us-gaap:FairValueMeasurementsRecurringMember2021-12-310000789460us-gaap:CommodityContractMember2022-12-310000789460us-gaap:InterestRateContractMember2022-12-310000789460us-gaap:Fo</w:t>
      </w:r>
      <w:r>
        <w:rPr>
          <w:rFonts w:eastAsia="Times New Roman"/>
          <w:vanish/>
        </w:rPr>
        <w:t>reignExchangeContractMember2022-12-310000789460us-gaap:CommodityContractMember2021-12-310000789460us-gaap:InterestRateContractMember2021-12-310000789460us-gaap:ForeignExchangeContractMember2021-12-310000789460us-gaap:CreditConcentrationRiskMemberint:Credit</w:t>
      </w:r>
      <w:r>
        <w:rPr>
          <w:rFonts w:eastAsia="Times New Roman"/>
          <w:vanish/>
        </w:rPr>
        <w:t>ExposureMemberint:ThreeOTCCounterpartiesMember2022-12-310000789460us-gaap:CreditConcentrationRiskMemberint:CreditExposureMemberint:ThreeOTCCounterpartiesMember2022-01-012022-12-310000789460int:AviationSegmentMember2020-12-310000789460int:LandSegmentMember2</w:t>
      </w:r>
      <w:r>
        <w:rPr>
          <w:rFonts w:eastAsia="Times New Roman"/>
          <w:vanish/>
        </w:rPr>
        <w:t>020-12-310000789460int:AviationSegmentMember2021-01-012021-12-310000789460int:LandSegmentMember2021-01-012021-12-310000789460int:AviationSegmentMember2021-12-310000789460int:LandSegmentMember2021-12-310000789460int:AviationSegmentMember2022-01-012022-12-31</w:t>
      </w:r>
      <w:r>
        <w:rPr>
          <w:rFonts w:eastAsia="Times New Roman"/>
          <w:vanish/>
        </w:rPr>
        <w:t>0000789460int:LandSegmentMember2022-01-012022-12-310000789460int:AviationSegmentMember2022-12-310000789460int:LandSegmentMember2022-12-310000789460us-gaap:CustomerRelationshipsMember2022-12-310000789460us-gaap:CustomerRelationshipsMember2021-12-31000078946</w:t>
      </w:r>
      <w:r>
        <w:rPr>
          <w:rFonts w:eastAsia="Times New Roman"/>
          <w:vanish/>
        </w:rPr>
        <w:t>0int:SupplierAgreementsMember2022-12-310000789460int:SupplierAgreementsMember2021-12-310000789460us-gaap:OtherIntangibleAssetsMember2022-12-310000789460us-gaap:OtherIntangibleAssetsMember2021-12-310000789460us-gaap:TrademarksAndTradeNamesMember2022-12-3100</w:t>
      </w:r>
      <w:r>
        <w:rPr>
          <w:rFonts w:eastAsia="Times New Roman"/>
          <w:vanish/>
        </w:rPr>
        <w:t>00789460us-gaap:TrademarksAndTradeNamesMember2021-12-310000789460us-gaap:RevolvingCreditFacilityMemberus-gaap:LineOfCreditMember2022-12-310000789460us-gaap:RevolvingCreditFacilityMemberus-gaap:LineOfCreditMember2021-12-310000789460us-gaap:MediumTermNotesMe</w:t>
      </w:r>
      <w:r>
        <w:rPr>
          <w:rFonts w:eastAsia="Times New Roman"/>
          <w:vanish/>
        </w:rPr>
        <w:t>mberus-gaap:RevolvingCreditFacilityMember2022-12-310000789460us-gaap:MediumTermNotesMemberus-gaap:RevolvingCreditFacilityMember2021-12-310000789460int:OtherLongTermDebtMember2022-12-310000789460int:OtherLongTermDebtMember2021-12-310000789460us-gaap:Revolvi</w:t>
      </w:r>
      <w:r>
        <w:rPr>
          <w:rFonts w:eastAsia="Times New Roman"/>
          <w:vanish/>
        </w:rPr>
        <w:t>ngCreditFacilityMemberus-gaap:LineOfCreditMember2022-04-010000789460us-gaap:SeniorNotesMemberus-gaap:RevolvingCreditFacilityMember2022-04-010000789460us-gaap:RevolvingCreditFacilityMember2022-04-010000789460us-gaap:RevolvingCreditFacilityMember2022-12-3100</w:t>
      </w:r>
      <w:r>
        <w:rPr>
          <w:rFonts w:eastAsia="Times New Roman"/>
          <w:vanish/>
        </w:rPr>
        <w:t>00789460us-gaap:RevolvingCreditFacilityMember2021-12-310000789460us-gaap:BaseRateMemberus-gaap:RevolvingCreditFacilityMember2022-01-012022-12-310000789460us-gaap:RevolvingCreditFacilityMemberus-gaap:EurodollarMember2022-01-012022-12-310000789460int:OtherCr</w:t>
      </w:r>
      <w:r>
        <w:rPr>
          <w:rFonts w:eastAsia="Times New Roman"/>
          <w:vanish/>
        </w:rPr>
        <w:t>editLinesMemberus-gaap:LineOfCreditMember2022-12-310000789460int:OtherCreditLinesMemberus-gaap:LineOfCreditMember2021-12-310000789460us-gaap:LandMember2022-12-310000789460us-gaap:LandMember2021-12-310000789460us-gaap:BuildingAndBuildingImprovementsMember20</w:t>
      </w:r>
      <w:r>
        <w:rPr>
          <w:rFonts w:eastAsia="Times New Roman"/>
          <w:vanish/>
        </w:rPr>
        <w:t>22-12-310000789460us-gaap:BuildingAndBuildingImprovementsMember2021-12-310000789460srt:MinimumMemberus-gaap:BuildingAndBuildingImprovementsMember2022-01-012022-12-310000789460srt:MaximumMemberus-gaap:BuildingAndBuildingImprovementsMember2022-01-012022-12-3</w:t>
      </w:r>
      <w:r>
        <w:rPr>
          <w:rFonts w:eastAsia="Times New Roman"/>
          <w:vanish/>
        </w:rPr>
        <w:t>10000789460int:OfficeEquipmentFurnitureAndFixturesMember2022-12-310000789460int:OfficeEquipmentFurnitureAndFixturesMember2021-12-310000789460srt:MinimumMemberint:OfficeEquipmentFurnitureAndFixturesMember2022-01-012022-12-310000789460int:OfficeEquipmentFurn</w:t>
      </w:r>
      <w:r>
        <w:rPr>
          <w:rFonts w:eastAsia="Times New Roman"/>
          <w:vanish/>
        </w:rPr>
        <w:t>itureAndFixturesMembersrt:MaximumMember2022-01-012022-12-310000789460int:ComputerEquipmentAndSoftwareCostsMember2022-12-310000789460int:ComputerEquipmentAndSoftwareCostsMember2021-12-310000789460int:ComputerEquipmentAndSoftwareCostsMembersrt:MinimumMember2</w:t>
      </w:r>
      <w:r>
        <w:rPr>
          <w:rFonts w:eastAsia="Times New Roman"/>
          <w:vanish/>
        </w:rPr>
        <w:t>022-01-012022-12-310000789460int:ComputerEquipmentAndSoftwareCostsMembersrt:MaximumMember2022-01-012022-12-310000789460us-gaap:MachineryAndEquipmentMember2022-12-310000789460us-gaap:MachineryAndEquipmentMember2021-12-310000789460us-gaap:MachineryAndEquipme</w:t>
      </w:r>
      <w:r>
        <w:rPr>
          <w:rFonts w:eastAsia="Times New Roman"/>
          <w:vanish/>
        </w:rPr>
        <w:t>ntMembersrt:MinimumMember2022-01-012022-12-310000789460us-gaap:MachineryAndEquipmentMembersrt:MaximumMember2022-01-012022-12-310000789460int:SoftwareDevelopmentInProgressMember2022-12-310000789460int:SoftwareDevelopmentInProgressMember2021-12-310000789460i</w:t>
      </w:r>
      <w:r>
        <w:rPr>
          <w:rFonts w:eastAsia="Times New Roman"/>
          <w:vanish/>
        </w:rPr>
        <w:t>nt:AviationSegmentMembersrt:AsiaPacificMember2022-01-012022-12-310000789460int:AviationSegmentMembersrt:AsiaPacificMember2021-01-012021-12-310000789460int:AviationSegmentMembersrt:AsiaPacificMember2020-01-012020-12-310000789460int:LandSegmentMembersrt:Asia</w:t>
      </w:r>
      <w:r>
        <w:rPr>
          <w:rFonts w:eastAsia="Times New Roman"/>
          <w:vanish/>
        </w:rPr>
        <w:t>PacificMember2022-01-012022-12-310000789460int:LandSegmentMembersrt:AsiaPacificMember2021-01-012021-12-310000789460int:LandSegmentMembersrt:AsiaPacificMember2020-01-012020-12-310000789460int:MarineSegmentMembersrt:AsiaPacificMember2022-01-012022-12-3100007</w:t>
      </w:r>
      <w:r>
        <w:rPr>
          <w:rFonts w:eastAsia="Times New Roman"/>
          <w:vanish/>
        </w:rPr>
        <w:t>89460int:MarineSegmentMembersrt:AsiaPacificMember2021-01-012021-12-310000789460int:MarineSegmentMembersrt:AsiaPacificMember2020-01-012020-12-310000789460srt:AsiaPacificMember2022-01-012022-12-310000789460srt:AsiaPacificMember2021-01-012021-12-310000789460s</w:t>
      </w:r>
      <w:r>
        <w:rPr>
          <w:rFonts w:eastAsia="Times New Roman"/>
          <w:vanish/>
        </w:rPr>
        <w:t>rt:AsiaPacificMember2020-01-012020-12-310000789460us-gaap:EMEAMemberint:AviationSegmentMember2022-01-012022-12-310000789460us-gaap:EMEAMemberint:AviationSegmentMember2021-01-012021-12-310000789460us-gaap:EMEAMemberint:AviationSegmentMember2020-01-012020-12</w:t>
      </w:r>
      <w:r>
        <w:rPr>
          <w:rFonts w:eastAsia="Times New Roman"/>
          <w:vanish/>
        </w:rPr>
        <w:t>-310000789460us-gaap:EMEAMemberint:LandSegmentMember2022-01-012022-12-310000789460us-gaap:EMEAMemberint:LandSegmentMember2021-01-012021-12-310000789460us-gaap:EMEAMemberint:LandSegmentMember2020-01-012020-12-310000789460int:MarineSegmentMemberus-gaap:EMEAM</w:t>
      </w:r>
      <w:r>
        <w:rPr>
          <w:rFonts w:eastAsia="Times New Roman"/>
          <w:vanish/>
        </w:rPr>
        <w:t>ember2022-01-012022-12-310000789460int:MarineSegmentMemberus-gaap:EMEAMember2021-01-012021-12-310000789460int:MarineSegmentMemberus-gaap:EMEAMember2020-01-012020-12-310000789460us-gaap:EMEAMember2022-01-012022-12-310000789460us-gaap:EMEAMember2021-01-01202</w:t>
      </w:r>
      <w:r>
        <w:rPr>
          <w:rFonts w:eastAsia="Times New Roman"/>
          <w:vanish/>
        </w:rPr>
        <w:t>1-12-310000789460us-gaap:EMEAMember2020-01-012020-12-310000789460int:AviationSegmentMembersrt:LatinAmericaMember2022-01-012022-12-310000789460int:AviationSegmentMembersrt:LatinAmericaMember2021-01-012021-12-310000789460int:AviationSegmentMembersrt:LatinAme</w:t>
      </w:r>
      <w:r>
        <w:rPr>
          <w:rFonts w:eastAsia="Times New Roman"/>
          <w:vanish/>
        </w:rPr>
        <w:t>ricaMember2020-01-012020-12-310000789460int:LandSegmentMembersrt:LatinAmericaMember2022-01-012022-12-310000789460int:LandSegmentMembersrt:LatinAmericaMember2021-01-012021-12-310000789460int:LandSegmentMembersrt:LatinAmericaMember2020-01-012020-12-310000789</w:t>
      </w:r>
      <w:r>
        <w:rPr>
          <w:rFonts w:eastAsia="Times New Roman"/>
          <w:vanish/>
        </w:rPr>
        <w:t>460int:MarineSegmentMembersrt:LatinAmericaMember2022-01-012022-12-310000789460int:MarineSegmentMembersrt:LatinAmericaMember2021-01-012021-12-310000789460int:MarineSegmentMembersrt:LatinAmericaMember2020-01-012020-12-310000789460srt:LatinAmericaMember2022-0</w:t>
      </w:r>
      <w:r>
        <w:rPr>
          <w:rFonts w:eastAsia="Times New Roman"/>
          <w:vanish/>
        </w:rPr>
        <w:t>1-012022-12-310000789460srt:LatinAmericaMember2021-01-012021-12-310000789460srt:LatinAmericaMember2020-01-012020-12-310000789460int:AviationSegmentMembersrt:NorthAmericaMember2022-01-012022-12-310000789460int:AviationSegmentMembersrt:NorthAmericaMember2021</w:t>
      </w:r>
      <w:r>
        <w:rPr>
          <w:rFonts w:eastAsia="Times New Roman"/>
          <w:vanish/>
        </w:rPr>
        <w:t>-01-012021-12-310000789460int:AviationSegmentMembersrt:NorthAmericaMember2020-01-012020-12-310000789460int:LandSegmentMembersrt:NorthAmericaMember2022-01-012022-12-310000789460int:LandSegmentMembersrt:NorthAmericaMember2021-01-012021-12-310000789460int:Lan</w:t>
      </w:r>
      <w:r>
        <w:rPr>
          <w:rFonts w:eastAsia="Times New Roman"/>
          <w:vanish/>
        </w:rPr>
        <w:t>dSegmentMembersrt:NorthAmericaMember2020-01-012020-12-310000789460int:MarineSegmentMembersrt:NorthAmericaMember2022-01-012022-12-310000789460int:MarineSegmentMembersrt:NorthAmericaMember2021-01-012021-12-310000789460int:MarineSegmentMembersrt:NorthAmericaM</w:t>
      </w:r>
      <w:r>
        <w:rPr>
          <w:rFonts w:eastAsia="Times New Roman"/>
          <w:vanish/>
        </w:rPr>
        <w:t>ember2020-01-012020-12-310000789460srt:NorthAmericaMember2022-01-012022-12-310000789460srt:NorthAmericaMember2021-01-012021-12-310000789460srt:NorthAmericaMember2020-01-012020-12-310000789460us-gaap:OtherNoncurrentAssetsMember2022-12-310000789460us-gaap:Ot</w:t>
      </w:r>
      <w:r>
        <w:rPr>
          <w:rFonts w:eastAsia="Times New Roman"/>
          <w:vanish/>
        </w:rPr>
        <w:t>herNoncurrentAssetsMember2021-12-310000789460int:AccruedIncomeTaxesNoncurrentMember2022-12-310000789460int:AccruedIncomeTaxesNoncurrentMember2021-12-310000789460int:ResultsFromWorldwideEntitiesMember2022-01-012022-12-310000789460int:ReleasedValuationAllowa</w:t>
      </w:r>
      <w:r>
        <w:rPr>
          <w:rFonts w:eastAsia="Times New Roman"/>
          <w:vanish/>
        </w:rPr>
        <w:t>nceFromCertainNonUSEntitiesMember2022-01-012022-12-310000789460int:ExpirationDecember2021To2040Member2022-12-310000789460int:IndefiniteMember2022-12-310000789460int:ExpirationDecember2022To2040Member2022-12-310000789460us-gaap:InlandRevenueSingaporeIRASMem</w:t>
      </w:r>
      <w:r>
        <w:rPr>
          <w:rFonts w:eastAsia="Times New Roman"/>
          <w:vanish/>
        </w:rPr>
        <w:t>ber2022-01-012022-12-310000789460int:DanishTaxAuthorityMemberus-gaap:TaxYear2015Memberus-gaap:ForeignCountryMember2022-01-012022-12-31iso4217:DKK0000789460int:DanishTaxAuthorityMemberus-gaap:ForeignCountryMemberus-gaap:TaxYear2016Member2022-01-012022-12-31</w:t>
      </w:r>
      <w:r>
        <w:rPr>
          <w:rFonts w:eastAsia="Times New Roman"/>
          <w:vanish/>
        </w:rPr>
        <w:t>0000789460int:DanishTaxAuthorityMemberus-gaap:TaxYear2017Memberus-gaap:ForeignCountryMember2022-01-012022-12-310000789460int:TaxAuthoritySouthKoreaSRTOMemberint:TaxYear2011To2014Memberus-gaap:ForeignCountryMember2022-01-012022-12-31iso4217:KRW0000789460srt</w:t>
      </w:r>
      <w:r>
        <w:rPr>
          <w:rFonts w:eastAsia="Times New Roman"/>
          <w:vanish/>
        </w:rPr>
        <w:t>:MinimumMemberint:AviationFuelMember2022-12-310000789460srt:MaximumMemberint:AviationFuelMember2022-12-310000789460us-gaap:OtherNoncurrentLiabilitiesMember2022-12-310000789460us-gaap:OtherNoncurrentLiabilitiesMember2021-12-310000789460int:TaxAuthoritySouth</w:t>
      </w:r>
      <w:r>
        <w:rPr>
          <w:rFonts w:eastAsia="Times New Roman"/>
          <w:vanish/>
        </w:rPr>
        <w:t>KoreaSRTOMemberint:TaxAuthorityAssessmentMemberus-gaap:ForeignCountryMember2017-01-012017-06-300000789460int:TaxAuthoritySouthKoreaSRTOMemberint:TaxAuthorityAssessmentMemberus-gaap:ForeignCountryMember2018-01-012018-06-300000789460int:StateAndMunicipalTaxA</w:t>
      </w:r>
      <w:r>
        <w:rPr>
          <w:rFonts w:eastAsia="Times New Roman"/>
          <w:vanish/>
        </w:rPr>
        <w:t>uthoritiesAndSecretariatOfTheFederalRevenueBureauOfBrazilMemberint:TaxAuthorityAssessmentMemberus-gaap:ForeignCountryMember2022-12-31iso4217:BRL0000789460us-gaap:SubsequentEventMember2023-01-012023-01-310000789460srt:ScenarioForecastMember2023-01-012023-03</w:t>
      </w:r>
      <w:r>
        <w:rPr>
          <w:rFonts w:eastAsia="Times New Roman"/>
          <w:vanish/>
        </w:rPr>
        <w:t>-3100007894602020-03-310000789460int:A2021PlanMember2022-01-012022-12-310000789460int:A2021PlanMember2022-12-310000789460int:A2016And2006PlansMember2022-12-310000789460int:A2021PlanMemberus-gaap:RestrictedStockUnitsRSUMember2022-12-310000789460int:A2021Pla</w:t>
      </w:r>
      <w:r>
        <w:rPr>
          <w:rFonts w:eastAsia="Times New Roman"/>
          <w:vanish/>
        </w:rPr>
        <w:t>nMemberus-gaap:StockAppreciationRightsSARSMember2022-12-310000789460int:A2020PlanMemberus-gaap:RestrictedStockUnitsRSUMember2022-12-310000789460int:A2020PlanMemberus-gaap:StockAppreciationRightsSARSMember2022-12-310000789460int:A2020PlanMember2022-12-31000</w:t>
      </w:r>
      <w:r>
        <w:rPr>
          <w:rFonts w:eastAsia="Times New Roman"/>
          <w:vanish/>
        </w:rPr>
        <w:t>0789460int:A2016OmnibusPlanMemberus-gaap:RestrictedStockUnitsRSUMember2022-12-310000789460int:A2016OmnibusPlanMemberus-gaap:StockAppreciationRightsSARSMember2022-12-310000789460int:A2016OmnibusPlanMember2022-12-310000789460us-gaap:RestrictedStockUnitsRSUMe</w:t>
      </w:r>
      <w:r>
        <w:rPr>
          <w:rFonts w:eastAsia="Times New Roman"/>
          <w:vanish/>
        </w:rPr>
        <w:t>mberint:Omnibus2006PlanMember2022-12-310000789460int:Omnibus2006PlanMemberus-gaap:StockAppreciationRightsSARSMember2022-12-310000789460int:Omnibus2006PlanMember2022-12-310000789460us-gaap:RestrictedStockMember2022-01-012022-12-310000789460us-gaap:Restricte</w:t>
      </w:r>
      <w:r>
        <w:rPr>
          <w:rFonts w:eastAsia="Times New Roman"/>
          <w:vanish/>
        </w:rPr>
        <w:t>dStockMember2021-01-012021-12-310000789460us-gaap:RestrictedStockMember2020-01-012020-12-310000789460us-gaap:RestrictedStockMember2022-12-310000789460us-gaap:RestrictedStockUnitsRSUMember2019-12-310000789460us-gaap:RestrictedStockUnitsRSUMember2019-01-0120</w:t>
      </w:r>
      <w:r>
        <w:rPr>
          <w:rFonts w:eastAsia="Times New Roman"/>
          <w:vanish/>
        </w:rPr>
        <w:t>19-12-310000789460us-gaap:RestrictedStockUnitsRSUMember2020-01-012020-12-310000789460us-gaap:RestrictedStockUnitsRSUMember2020-12-310000789460us-gaap:RestrictedStockUnitsRSUMember2021-01-012021-12-310000789460us-gaap:RestrictedStockUnitsRSUMember2021-12-31</w:t>
      </w:r>
      <w:r>
        <w:rPr>
          <w:rFonts w:eastAsia="Times New Roman"/>
          <w:vanish/>
        </w:rPr>
        <w:t>0000789460us-gaap:RestrictedStockUnitsRSUMember2022-01-012022-12-310000789460us-gaap:RestrictedStockUnitsRSUMember2022-12-310000789460us-gaap:StockAppreciationRightsSARSMember2019-12-310000789460us-gaap:StockAppreciationRightsSARSMember2019-01-012019-12-31</w:t>
      </w:r>
      <w:r>
        <w:rPr>
          <w:rFonts w:eastAsia="Times New Roman"/>
          <w:vanish/>
        </w:rPr>
        <w:t>0000789460us-gaap:StockAppreciationRightsSARSMember2020-01-012020-12-310000789460us-gaap:StockAppreciationRightsSARSMember2020-12-310000789460us-gaap:StockAppreciationRightsSARSMember2021-01-012021-12-310000789460us-gaap:StockAppreciationRightsSARSMember20</w:t>
      </w:r>
      <w:r>
        <w:rPr>
          <w:rFonts w:eastAsia="Times New Roman"/>
          <w:vanish/>
        </w:rPr>
        <w:t>21-12-310000789460us-gaap:StockAppreciationRightsSARSMember2022-01-012022-12-310000789460us-gaap:StockAppreciationRightsSARSMember2022-12-310000789460us-gaap:AccumulatedTranslationAdjustmentMember2020-12-310000789460us-gaap:AccumulatedGainLossNetCashFlowHe</w:t>
      </w:r>
      <w:r>
        <w:rPr>
          <w:rFonts w:eastAsia="Times New Roman"/>
          <w:vanish/>
        </w:rPr>
        <w:t>dgeParentMember2020-12-310000789460us-gaap:AccumulatedTranslationAdjustmentMember2021-01-012021-12-310000789460us-gaap:AccumulatedGainLossNetCashFlowHedgeParentMember2021-01-012021-12-310000789460us-gaap:AccumulatedTranslationAdjustmentMember2021-12-310000</w:t>
      </w:r>
      <w:r>
        <w:rPr>
          <w:rFonts w:eastAsia="Times New Roman"/>
          <w:vanish/>
        </w:rPr>
        <w:t>789460us-gaap:AccumulatedGainLossNetCashFlowHedgeParentMember2021-12-310000789460us-gaap:AccumulatedTranslationAdjustmentMember2022-01-012022-12-310000789460us-gaap:AccumulatedGainLossNetCashFlowHedgeParentMember2022-01-012022-12-310000789460us-gaap:Accumu</w:t>
      </w:r>
      <w:r>
        <w:rPr>
          <w:rFonts w:eastAsia="Times New Roman"/>
          <w:vanish/>
        </w:rPr>
        <w:t>latedTranslationAdjustmentMember2022-12-310000789460us-gaap:AccumulatedGainLossNetCashFlowHedgeParentMember2022-12-31int:segment0000789460int:AviationSegmentMember2020-01-012020-12-310000789460int:LandSegmentMember2020-01-012020-12-310000789460int:MarineSe</w:t>
      </w:r>
      <w:r>
        <w:rPr>
          <w:rFonts w:eastAsia="Times New Roman"/>
          <w:vanish/>
        </w:rPr>
        <w:t>gmentMember2022-01-012022-12-310000789460int:MarineSegmentMember2021-01-012021-12-310000789460int:MarineSegmentMember2020-01-012020-12-310000789460int:AviationSegmentMemberus-gaap:OperatingSegmentsMember2022-01-012022-12-310000789460int:AviationSegmentMemb</w:t>
      </w:r>
      <w:r>
        <w:rPr>
          <w:rFonts w:eastAsia="Times New Roman"/>
          <w:vanish/>
        </w:rPr>
        <w:t>erus-gaap:OperatingSegmentsMember2021-01-012021-12-310000789460int:AviationSegmentMemberus-gaap:OperatingSegmentsMember2020-01-012020-12-310000789460us-gaap:OperatingSegmentsMemberint:LandSegmentMember2022-01-012022-12-310000789460us-gaap:OperatingSegments</w:t>
      </w:r>
      <w:r>
        <w:rPr>
          <w:rFonts w:eastAsia="Times New Roman"/>
          <w:vanish/>
        </w:rPr>
        <w:t>Memberint:LandSegmentMember2021-01-012021-12-310000789460us-gaap:OperatingSegmentsMemberint:LandSegmentMember2020-01-012020-12-310000789460int:MarineSegmentMemberus-gaap:OperatingSegmentsMember2022-01-012022-12-310000789460int:MarineSegmentMemberus-gaap:Op</w:t>
      </w:r>
      <w:r>
        <w:rPr>
          <w:rFonts w:eastAsia="Times New Roman"/>
          <w:vanish/>
        </w:rPr>
        <w:t>eratingSegmentsMember2021-01-012021-12-310000789460int:MarineSegmentMemberus-gaap:OperatingSegmentsMember2020-01-012020-12-310000789460us-gaap:CorporateNonSegmentMember2022-01-012022-12-310000789460us-gaap:CorporateNonSegmentMember2021-01-012021-12-3100007</w:t>
      </w:r>
      <w:r>
        <w:rPr>
          <w:rFonts w:eastAsia="Times New Roman"/>
          <w:vanish/>
        </w:rPr>
        <w:t>89460us-gaap:CorporateNonSegmentMember2020-01-012020-12-310000789460int:MarineSegmentMember2022-12-310000789460int:MarineSegmentMember2021-12-310000789460int:AviationSegmentMemberus-gaap:OperatingSegmentsMember2022-12-310000789460int:AviationSegmentMemberu</w:t>
      </w:r>
      <w:r>
        <w:rPr>
          <w:rFonts w:eastAsia="Times New Roman"/>
          <w:vanish/>
        </w:rPr>
        <w:t>s-gaap:OperatingSegmentsMember2021-12-310000789460us-gaap:OperatingSegmentsMemberint:LandSegmentMember2022-12-310000789460us-gaap:OperatingSegmentsMemberint:LandSegmentMember2021-12-310000789460int:MarineSegmentMemberus-gaap:OperatingSegmentsMember2022-12-</w:t>
      </w:r>
      <w:r>
        <w:rPr>
          <w:rFonts w:eastAsia="Times New Roman"/>
          <w:vanish/>
        </w:rPr>
        <w:t>310000789460int:MarineSegmentMemberus-gaap:OperatingSegmentsMember2021-12-310000789460us-gaap:CorporateNonSegmentMember2022-12-310000789460us-gaap:CorporateNonSegmentMember2021-12-310000789460country:US2022-01-012022-12-310000789460country:US2021-01-012021</w:t>
      </w:r>
      <w:r>
        <w:rPr>
          <w:rFonts w:eastAsia="Times New Roman"/>
          <w:vanish/>
        </w:rPr>
        <w:t>-12-310000789460country:US2020-01-012020-12-310000789460int:AmericasExcludingUnitedStatesMember2022-01-012022-12-310000789460int:AmericasExcludingUnitedStatesMember2021-01-012021-12-310000789460int:AmericasExcludingUnitedStatesMember2020-01-012020-12-31000</w:t>
      </w:r>
      <w:r>
        <w:rPr>
          <w:rFonts w:eastAsia="Times New Roman"/>
          <w:vanish/>
        </w:rPr>
        <w:t>0789460country:US2022-12-310000789460country:US2021-12-310000789460us-gaap:EMEAMember2022-12-310000789460us-gaap:EMEAMember2021-12-310000789460srt:AsiaPacificMember2022-12-310000789460srt:AsiaPacificMember2021-12-310000789460int:AmericasExcludingUnitedStat</w:t>
      </w:r>
      <w:r>
        <w:rPr>
          <w:rFonts w:eastAsia="Times New Roman"/>
          <w:vanish/>
        </w:rPr>
        <w:t>esMember2022-12-310000789460int:AmericasExcludingUnitedStatesMember2021-12-310000789460country:GB2022-01-012022-12-310000789460country:GB2021-01-012021-12-310000789460country:GB2020-01-012020-12-310000789460country:SG2022-01-012022-12-310000789460country:S</w:t>
      </w:r>
      <w:r>
        <w:rPr>
          <w:rFonts w:eastAsia="Times New Roman"/>
          <w:vanish/>
        </w:rPr>
        <w:t>G2021-01-012021-12-310000789460country:SG2020-01-012020-12-310000789460int:AviationSegmentMemberus-gaap:OperatingSegmentsMemberint:Restructuring2020InitiativeMember2020-12-310000789460us-gaap:OperatingSegmentsMemberint:LandSegmentMemberint:Restructuring202</w:t>
      </w:r>
      <w:r>
        <w:rPr>
          <w:rFonts w:eastAsia="Times New Roman"/>
          <w:vanish/>
        </w:rPr>
        <w:t>0InitiativeMember2020-12-310000789460int:MarineSegmentMemberus-gaap:OperatingSegmentsMemberint:Restructuring2020InitiativeMember2020-12-310000789460us-gaap:CorporateNonSegmentMemberint:Restructuring2020InitiativeMember2020-12-310000789460int:Restructuring2</w:t>
      </w:r>
      <w:r>
        <w:rPr>
          <w:rFonts w:eastAsia="Times New Roman"/>
          <w:vanish/>
        </w:rPr>
        <w:t>020InitiativeMember2020-12-310000789460int:AviationSegmentMemberus-gaap:OperatingSegmentsMemberint:Restructuring2020InitiativeMember2021-01-012021-12-310000789460us-gaap:OperatingSegmentsMemberint:LandSegmentMemberint:Restructuring2020InitiativeMember2021-</w:t>
      </w:r>
      <w:r>
        <w:rPr>
          <w:rFonts w:eastAsia="Times New Roman"/>
          <w:vanish/>
        </w:rPr>
        <w:t>01-012021-12-310000789460int:MarineSegmentMemberus-gaap:OperatingSegmentsMemberint:Restructuring2020InitiativeMember2021-01-012021-12-310000789460us-gaap:CorporateNonSegmentMemberint:Restructuring2020InitiativeMember2021-01-012021-12-310000789460int:Restru</w:t>
      </w:r>
      <w:r>
        <w:rPr>
          <w:rFonts w:eastAsia="Times New Roman"/>
          <w:vanish/>
        </w:rPr>
        <w:t>cturing2020InitiativeMember2021-01-012021-12-310000789460int:AviationSegmentMemberus-gaap:OperatingSegmentsMemberint:Restructuring2020InitiativeMember2021-12-310000789460us-gaap:OperatingSegmentsMemberint:LandSegmentMemberint:Restructuring2020InitiativeMem</w:t>
      </w:r>
      <w:r>
        <w:rPr>
          <w:rFonts w:eastAsia="Times New Roman"/>
          <w:vanish/>
        </w:rPr>
        <w:t>ber2021-12-310000789460int:MarineSegmentMemberus-gaap:OperatingSegmentsMemberint:Restructuring2020InitiativeMember2021-12-310000789460us-gaap:CorporateNonSegmentMemberint:Restructuring2020InitiativeMember2021-12-310000789460int:Restructuring2020InitiativeM</w:t>
      </w:r>
      <w:r>
        <w:rPr>
          <w:rFonts w:eastAsia="Times New Roman"/>
          <w:vanish/>
        </w:rPr>
        <w:t>ember2021-12-310000789460int:AviationSegmentMemberus-gaap:OperatingSegmentsMemberint:Restructuring2020InitiativeMember2022-01-012022-12-310000789460us-gaap:OperatingSegmentsMemberint:LandSegmentMemberint:Restructuring2020InitiativeMember2022-01-012022-12-3</w:t>
      </w:r>
      <w:r>
        <w:rPr>
          <w:rFonts w:eastAsia="Times New Roman"/>
          <w:vanish/>
        </w:rPr>
        <w:t>10000789460int:MarineSegmentMemberus-gaap:OperatingSegmentsMemberint:Restructuring2020InitiativeMember2022-01-012022-12-310000789460us-gaap:CorporateNonSegmentMemberint:Restructuring2020InitiativeMember2022-01-012022-12-310000789460int:Restructuring2020Ini</w:t>
      </w:r>
      <w:r>
        <w:rPr>
          <w:rFonts w:eastAsia="Times New Roman"/>
          <w:vanish/>
        </w:rPr>
        <w:t>tiativeMember2022-01-012022-12-310000789460int:AviationSegmentMemberus-gaap:OperatingSegmentsMemberint:Restructuring2020InitiativeMember2022-12-310000789460us-gaap:OperatingSegmentsMemberint:LandSegmentMemberint:Restructuring2020InitiativeMember2022-12-310</w:t>
      </w:r>
      <w:r>
        <w:rPr>
          <w:rFonts w:eastAsia="Times New Roman"/>
          <w:vanish/>
        </w:rPr>
        <w:t>000789460int:MarineSegmentMemberus-gaap:OperatingSegmentsMemberint:Restructuring2020InitiativeMember2022-12-310000789460us-gaap:CorporateNonSegmentMemberint:Restructuring2020InitiativeMember2022-12-310000789460int:Restructuring2020InitiativeMember2022-12-3</w:t>
      </w:r>
      <w:r>
        <w:rPr>
          <w:rFonts w:eastAsia="Times New Roman"/>
          <w:vanish/>
        </w:rPr>
        <w:t>10000789460int:Restructuring2020InitiativeMember2021-04-012021-06-30</w:t>
      </w:r>
    </w:p>
    <w:p w:rsidR="00000000" w:rsidRDefault="002223F7">
      <w:pPr>
        <w:jc w:val="both"/>
        <w:divId w:val="1733965343"/>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center"/>
        <w:divId w:val="1928806146"/>
        <w:rPr>
          <w:rFonts w:eastAsia="Times New Roman"/>
        </w:rPr>
      </w:pPr>
      <w:r>
        <w:rPr>
          <w:rFonts w:ascii="Arial" w:eastAsia="Times New Roman" w:hAnsi="Arial" w:cs="Arial"/>
          <w:b/>
          <w:bCs/>
          <w:color w:val="000000"/>
          <w:sz w:val="22"/>
          <w:szCs w:val="22"/>
        </w:rPr>
        <w:t>UNITED STATES SECURITIES AND EXCHANGE COMMISSION</w:t>
      </w:r>
    </w:p>
    <w:p w:rsidR="00000000" w:rsidRDefault="002223F7">
      <w:pPr>
        <w:jc w:val="center"/>
        <w:divId w:val="1041397452"/>
        <w:rPr>
          <w:rFonts w:eastAsia="Times New Roman"/>
        </w:rPr>
      </w:pPr>
      <w:r>
        <w:rPr>
          <w:rFonts w:ascii="Arial" w:eastAsia="Times New Roman" w:hAnsi="Arial" w:cs="Arial"/>
          <w:b/>
          <w:bCs/>
          <w:color w:val="000000"/>
          <w:sz w:val="18"/>
          <w:szCs w:val="18"/>
        </w:rPr>
        <w:t>Wash</w:t>
      </w:r>
      <w:r>
        <w:rPr>
          <w:rFonts w:ascii="Arial" w:eastAsia="Times New Roman" w:hAnsi="Arial" w:cs="Arial"/>
          <w:b/>
          <w:bCs/>
          <w:color w:val="000000"/>
          <w:sz w:val="18"/>
          <w:szCs w:val="18"/>
        </w:rPr>
        <w:t>ington, DC 20549</w:t>
      </w:r>
    </w:p>
    <w:p w:rsidR="00000000" w:rsidRDefault="002223F7">
      <w:pPr>
        <w:jc w:val="center"/>
        <w:divId w:val="310527763"/>
        <w:rPr>
          <w:rFonts w:eastAsia="Times New Roman"/>
        </w:rPr>
      </w:pPr>
      <w:r>
        <w:rPr>
          <w:rFonts w:ascii="Arial" w:eastAsia="Times New Roman" w:hAnsi="Arial" w:cs="Arial"/>
          <w:b/>
          <w:bCs/>
          <w:color w:val="000000"/>
          <w:sz w:val="22"/>
          <w:szCs w:val="22"/>
        </w:rPr>
        <w:t xml:space="preserve">FORM 10-K </w:t>
      </w:r>
    </w:p>
    <w:tbl>
      <w:tblPr>
        <w:tblW w:w="5000" w:type="pct"/>
        <w:tblCellMar>
          <w:top w:w="15" w:type="dxa"/>
          <w:left w:w="15" w:type="dxa"/>
          <w:bottom w:w="15" w:type="dxa"/>
          <w:right w:w="15" w:type="dxa"/>
        </w:tblCellMar>
        <w:tblLook w:val="04A0" w:firstRow="1" w:lastRow="0" w:firstColumn="1" w:lastColumn="0" w:noHBand="0" w:noVBand="1"/>
      </w:tblPr>
      <w:tblGrid>
        <w:gridCol w:w="68"/>
        <w:gridCol w:w="1022"/>
        <w:gridCol w:w="36"/>
        <w:gridCol w:w="68"/>
        <w:gridCol w:w="1035"/>
        <w:gridCol w:w="39"/>
        <w:gridCol w:w="68"/>
        <w:gridCol w:w="1035"/>
        <w:gridCol w:w="39"/>
        <w:gridCol w:w="69"/>
        <w:gridCol w:w="4790"/>
        <w:gridCol w:w="37"/>
      </w:tblGrid>
      <w:tr w:rsidR="00000000">
        <w:trPr>
          <w:divId w:val="1528055343"/>
        </w:trPr>
        <w:tc>
          <w:tcPr>
            <w:tcW w:w="50" w:type="pct"/>
            <w:vAlign w:val="center"/>
            <w:hideMark/>
          </w:tcPr>
          <w:p w:rsidR="00000000" w:rsidRDefault="002223F7">
            <w:pPr>
              <w:jc w:val="center"/>
              <w:rPr>
                <w:rFonts w:eastAsia="Times New Roman"/>
              </w:rPr>
            </w:pPr>
          </w:p>
        </w:tc>
        <w:tc>
          <w:tcPr>
            <w:tcW w:w="62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32"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32"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289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1528055343"/>
        </w:trPr>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(Mark One)</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528055343"/>
        </w:trPr>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Segoe UI Symbol" w:eastAsia="Times New Roman" w:hAnsi="Segoe UI Symbol" w:cs="Segoe UI Symbol"/>
                <w:color w:val="000000"/>
                <w:sz w:val="18"/>
                <w:szCs w:val="18"/>
              </w:rPr>
              <w:t>☒</w:t>
            </w:r>
          </w:p>
        </w:tc>
        <w:tc>
          <w:tcPr>
            <w:tcW w:w="0" w:type="auto"/>
            <w:gridSpan w:val="9"/>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ANNUAL REPORT PURSUANT TO SECTION 13 OR 15(d) OF THE SECURITIES EXCHANGE ACT OF 1934</w:t>
            </w:r>
          </w:p>
        </w:tc>
      </w:tr>
      <w:tr w:rsidR="00000000">
        <w:trPr>
          <w:divId w:val="1528055343"/>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6"/>
            <w:tcMar>
              <w:top w:w="30" w:type="dxa"/>
              <w:left w:w="20" w:type="dxa"/>
              <w:bottom w:w="30" w:type="dxa"/>
              <w:right w:w="20" w:type="dxa"/>
            </w:tcMar>
            <w:vAlign w:val="center"/>
            <w:hideMark/>
          </w:tcPr>
          <w:p w:rsidR="00000000" w:rsidRDefault="002223F7">
            <w:pPr>
              <w:spacing w:after="100"/>
              <w:rPr>
                <w:rFonts w:eastAsia="Times New Roman"/>
              </w:rPr>
            </w:pPr>
            <w:r>
              <w:rPr>
                <w:rFonts w:ascii="Arial" w:eastAsia="Times New Roman" w:hAnsi="Arial" w:cs="Arial"/>
                <w:color w:val="000000"/>
                <w:sz w:val="18"/>
                <w:szCs w:val="18"/>
              </w:rPr>
              <w:t>For the fiscal year ended</w:t>
            </w:r>
          </w:p>
        </w:tc>
        <w:tc>
          <w:tcPr>
            <w:tcW w:w="0" w:type="auto"/>
            <w:gridSpan w:val="3"/>
            <w:tcMar>
              <w:top w:w="30" w:type="dxa"/>
              <w:left w:w="20" w:type="dxa"/>
              <w:bottom w:w="30" w:type="dxa"/>
              <w:right w:w="20" w:type="dxa"/>
            </w:tcMar>
            <w:vAlign w:val="center"/>
            <w:hideMark/>
          </w:tcPr>
          <w:p w:rsidR="00000000" w:rsidRDefault="002223F7">
            <w:pPr>
              <w:spacing w:after="100"/>
              <w:rPr>
                <w:rFonts w:eastAsia="Times New Roman"/>
              </w:rPr>
            </w:pPr>
            <w:r>
              <w:rPr>
                <w:rFonts w:ascii="Arial" w:eastAsia="Times New Roman" w:hAnsi="Arial" w:cs="Arial"/>
                <w:color w:val="000000"/>
                <w:sz w:val="18"/>
                <w:szCs w:val="18"/>
              </w:rPr>
              <w:t>December 31, 2022</w:t>
            </w:r>
          </w:p>
        </w:tc>
      </w:tr>
      <w:tr w:rsidR="00000000">
        <w:trPr>
          <w:divId w:val="1528055343"/>
        </w:trPr>
        <w:tc>
          <w:tcPr>
            <w:tcW w:w="0" w:type="auto"/>
            <w:gridSpan w:val="6"/>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2223F7">
            <w:pPr>
              <w:spacing w:after="100"/>
              <w:rPr>
                <w:rFonts w:eastAsia="Times New Roman"/>
              </w:rPr>
            </w:pPr>
            <w:r>
              <w:rPr>
                <w:rFonts w:ascii="Arial" w:eastAsia="Times New Roman" w:hAnsi="Arial" w:cs="Arial"/>
                <w:color w:val="000000"/>
                <w:sz w:val="18"/>
                <w:szCs w:val="18"/>
              </w:rPr>
              <w:t>OR</w:t>
            </w:r>
          </w:p>
        </w:tc>
      </w:tr>
      <w:tr w:rsidR="00000000">
        <w:trPr>
          <w:divId w:val="1528055343"/>
        </w:trPr>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Segoe UI Symbol" w:eastAsia="Times New Roman" w:hAnsi="Segoe UI Symbol" w:cs="Segoe UI Symbol"/>
                <w:color w:val="000000"/>
                <w:sz w:val="18"/>
                <w:szCs w:val="18"/>
              </w:rPr>
              <w:t>☐</w:t>
            </w:r>
          </w:p>
        </w:tc>
        <w:tc>
          <w:tcPr>
            <w:tcW w:w="0" w:type="auto"/>
            <w:gridSpan w:val="9"/>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TRANSITION REPORT PURSUANT TO SECTION 13 OR 15(d) OF THE SECURITIES EXCHANGE ACT OF 1934</w:t>
            </w:r>
          </w:p>
        </w:tc>
      </w:tr>
      <w:tr w:rsidR="00000000">
        <w:trPr>
          <w:divId w:val="1528055343"/>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2223F7">
            <w:pPr>
              <w:spacing w:after="100"/>
              <w:divId w:val="1391073226"/>
              <w:rPr>
                <w:rFonts w:eastAsia="Times New Roman"/>
              </w:rPr>
            </w:pPr>
            <w:r>
              <w:rPr>
                <w:rFonts w:ascii="Arial" w:eastAsia="Times New Roman" w:hAnsi="Arial" w:cs="Arial"/>
                <w:color w:val="000000"/>
                <w:sz w:val="18"/>
                <w:szCs w:val="18"/>
              </w:rPr>
              <w:t>For the transition period from </w:t>
            </w:r>
            <w:r>
              <w:rPr>
                <w:rFonts w:ascii="Arial" w:eastAsia="Times New Roman" w:hAnsi="Arial" w:cs="Arial"/>
                <w:color w:val="000000"/>
                <w:sz w:val="18"/>
                <w:szCs w:val="18"/>
                <w:u w:val="single"/>
              </w:rPr>
              <w:t>   </w:t>
            </w:r>
            <w:r>
              <w:rPr>
                <w:rFonts w:ascii="Arial" w:eastAsia="Times New Roman" w:hAnsi="Arial" w:cs="Arial"/>
                <w:color w:val="000000"/>
                <w:sz w:val="18"/>
                <w:szCs w:val="18"/>
              </w:rPr>
              <w:t xml:space="preserve"> to </w:t>
            </w:r>
            <w:r>
              <w:rPr>
                <w:rFonts w:ascii="Arial" w:eastAsia="Times New Roman" w:hAnsi="Arial" w:cs="Arial"/>
                <w:color w:val="000000"/>
                <w:sz w:val="18"/>
                <w:szCs w:val="18"/>
                <w:u w:val="single"/>
              </w:rPr>
              <w:t>   </w:t>
            </w:r>
          </w:p>
        </w:tc>
      </w:tr>
      <w:tr w:rsidR="00000000">
        <w:trPr>
          <w:divId w:val="1528055343"/>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6"/>
            <w:tcMar>
              <w:top w:w="30" w:type="dxa"/>
              <w:left w:w="20" w:type="dxa"/>
              <w:bottom w:w="30" w:type="dxa"/>
              <w:right w:w="2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COMMISSION FILE NUMBER</w:t>
            </w:r>
          </w:p>
        </w:tc>
        <w:tc>
          <w:tcPr>
            <w:tcW w:w="0" w:type="auto"/>
            <w:gridSpan w:val="3"/>
            <w:tcMar>
              <w:top w:w="30" w:type="dxa"/>
              <w:left w:w="20" w:type="dxa"/>
              <w:bottom w:w="30" w:type="dxa"/>
              <w:right w:w="20" w:type="dxa"/>
            </w:tcMar>
            <w:vAlign w:val="bottom"/>
            <w:hideMark/>
          </w:tcPr>
          <w:p w:rsidR="00000000" w:rsidRDefault="002223F7">
            <w:pPr>
              <w:spacing w:after="100"/>
              <w:jc w:val="both"/>
              <w:rPr>
                <w:rFonts w:eastAsia="Times New Roman"/>
              </w:rPr>
            </w:pPr>
            <w:r>
              <w:rPr>
                <w:rFonts w:ascii="Arial" w:eastAsia="Times New Roman" w:hAnsi="Arial" w:cs="Arial"/>
                <w:color w:val="000000"/>
                <w:sz w:val="18"/>
                <w:szCs w:val="18"/>
              </w:rPr>
              <w:t>001-09533</w:t>
            </w:r>
          </w:p>
        </w:tc>
      </w:tr>
    </w:tbl>
    <w:p w:rsidR="00000000" w:rsidRDefault="002223F7">
      <w:pPr>
        <w:jc w:val="center"/>
        <w:divId w:val="166213185"/>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2223F7">
      <w:pPr>
        <w:jc w:val="center"/>
        <w:divId w:val="2077823619"/>
        <w:rPr>
          <w:rFonts w:eastAsia="Times New Roman"/>
        </w:rPr>
      </w:pPr>
      <w:r>
        <w:rPr>
          <w:rFonts w:ascii="Arial" w:eastAsia="Times New Roman" w:hAnsi="Arial" w:cs="Arial"/>
          <w:color w:val="000000"/>
          <w:sz w:val="18"/>
          <w:szCs w:val="18"/>
        </w:rPr>
        <w:t xml:space="preserve">WORLD FUEL SERVICES CORPORATION </w:t>
      </w:r>
    </w:p>
    <w:p w:rsidR="00000000" w:rsidRDefault="002223F7">
      <w:pPr>
        <w:jc w:val="center"/>
        <w:divId w:val="1216895245"/>
        <w:rPr>
          <w:rFonts w:eastAsia="Times New Roman"/>
        </w:rPr>
      </w:pPr>
      <w:r>
        <w:rPr>
          <w:rFonts w:ascii="Arial" w:eastAsia="Times New Roman" w:hAnsi="Arial" w:cs="Arial"/>
          <w:color w:val="000000"/>
          <w:sz w:val="18"/>
          <w:szCs w:val="18"/>
        </w:rPr>
        <w:t>(Exact name of registrant as specified in its charter)</w:t>
      </w:r>
    </w:p>
    <w:tbl>
      <w:tblPr>
        <w:tblW w:w="5000" w:type="pct"/>
        <w:tblCellMar>
          <w:top w:w="15" w:type="dxa"/>
          <w:left w:w="15" w:type="dxa"/>
          <w:bottom w:w="15" w:type="dxa"/>
          <w:right w:w="15" w:type="dxa"/>
        </w:tblCellMar>
        <w:tblLook w:val="04A0" w:firstRow="1" w:lastRow="0" w:firstColumn="1" w:lastColumn="0" w:noHBand="0" w:noVBand="1"/>
      </w:tblPr>
      <w:tblGrid>
        <w:gridCol w:w="50"/>
        <w:gridCol w:w="2075"/>
        <w:gridCol w:w="36"/>
        <w:gridCol w:w="50"/>
        <w:gridCol w:w="1175"/>
        <w:gridCol w:w="37"/>
        <w:gridCol w:w="37"/>
        <w:gridCol w:w="83"/>
        <w:gridCol w:w="37"/>
        <w:gridCol w:w="78"/>
        <w:gridCol w:w="288"/>
        <w:gridCol w:w="37"/>
        <w:gridCol w:w="36"/>
        <w:gridCol w:w="44"/>
        <w:gridCol w:w="36"/>
        <w:gridCol w:w="86"/>
        <w:gridCol w:w="569"/>
        <w:gridCol w:w="36"/>
        <w:gridCol w:w="92"/>
        <w:gridCol w:w="606"/>
        <w:gridCol w:w="36"/>
        <w:gridCol w:w="78"/>
        <w:gridCol w:w="512"/>
        <w:gridCol w:w="36"/>
        <w:gridCol w:w="44"/>
        <w:gridCol w:w="2076"/>
        <w:gridCol w:w="36"/>
      </w:tblGrid>
      <w:tr w:rsidR="00000000">
        <w:trPr>
          <w:divId w:val="302933834"/>
        </w:trPr>
        <w:tc>
          <w:tcPr>
            <w:tcW w:w="50" w:type="pct"/>
            <w:vAlign w:val="center"/>
            <w:hideMark/>
          </w:tcPr>
          <w:p w:rsidR="00000000" w:rsidRDefault="002223F7">
            <w:pPr>
              <w:jc w:val="center"/>
              <w:rPr>
                <w:rFonts w:eastAsia="Times New Roman"/>
              </w:rPr>
            </w:pPr>
          </w:p>
        </w:tc>
        <w:tc>
          <w:tcPr>
            <w:tcW w:w="1268"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72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70"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186"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70"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332"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332"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332"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127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302933834"/>
        </w:trPr>
        <w:tc>
          <w:tcPr>
            <w:tcW w:w="0" w:type="auto"/>
            <w:gridSpan w:val="3"/>
            <w:tcMar>
              <w:top w:w="30" w:type="dxa"/>
              <w:left w:w="20" w:type="dxa"/>
              <w:bottom w:w="30" w:type="dxa"/>
              <w:right w:w="20" w:type="dxa"/>
            </w:tcMar>
            <w:vAlign w:val="center"/>
            <w:hideMark/>
          </w:tcPr>
          <w:p w:rsidR="00000000" w:rsidRDefault="002223F7">
            <w:pPr>
              <w:spacing w:after="100"/>
              <w:jc w:val="center"/>
              <w:rPr>
                <w:rFonts w:eastAsia="Times New Roman"/>
              </w:rPr>
            </w:pPr>
            <w:r>
              <w:rPr>
                <w:rFonts w:ascii="Arial" w:eastAsia="Times New Roman" w:hAnsi="Arial" w:cs="Arial"/>
                <w:b/>
                <w:bCs/>
                <w:color w:val="000000"/>
                <w:sz w:val="20"/>
                <w:szCs w:val="20"/>
              </w:rPr>
              <w:t>Florida</w:t>
            </w:r>
          </w:p>
        </w:tc>
        <w:tc>
          <w:tcPr>
            <w:tcW w:w="0" w:type="auto"/>
            <w:gridSpan w:val="12"/>
            <w:tcMar>
              <w:top w:w="30" w:type="dxa"/>
              <w:left w:w="20" w:type="dxa"/>
              <w:bottom w:w="30" w:type="dxa"/>
              <w:right w:w="20" w:type="dxa"/>
            </w:tcMar>
            <w:vAlign w:val="center"/>
            <w:hideMark/>
          </w:tcPr>
          <w:p w:rsidR="00000000" w:rsidRDefault="002223F7">
            <w:pPr>
              <w:spacing w:after="100"/>
              <w:jc w:val="right"/>
              <w:rPr>
                <w:rFonts w:eastAsia="Times New Roman"/>
              </w:rPr>
            </w:pPr>
            <w:r>
              <w:rPr>
                <w:rFonts w:ascii="Arial" w:eastAsia="Times New Roman" w:hAnsi="Arial" w:cs="Arial"/>
                <w:b/>
                <w:bCs/>
                <w:color w:val="000000"/>
                <w:sz w:val="20"/>
                <w:szCs w:val="20"/>
              </w:rPr>
              <w:t>9800 N.W. 41st Street,</w:t>
            </w:r>
          </w:p>
        </w:tc>
        <w:tc>
          <w:tcPr>
            <w:tcW w:w="0" w:type="auto"/>
            <w:gridSpan w:val="3"/>
            <w:tcMar>
              <w:top w:w="30" w:type="dxa"/>
              <w:left w:w="20" w:type="dxa"/>
              <w:bottom w:w="30" w:type="dxa"/>
              <w:right w:w="20" w:type="dxa"/>
            </w:tcMar>
            <w:vAlign w:val="center"/>
            <w:hideMark/>
          </w:tcPr>
          <w:p w:rsidR="00000000" w:rsidRDefault="002223F7">
            <w:pPr>
              <w:spacing w:after="100"/>
              <w:jc w:val="center"/>
              <w:rPr>
                <w:rFonts w:eastAsia="Times New Roman"/>
              </w:rPr>
            </w:pPr>
            <w:r>
              <w:rPr>
                <w:rFonts w:ascii="Arial" w:eastAsia="Times New Roman" w:hAnsi="Arial" w:cs="Arial"/>
                <w:b/>
                <w:bCs/>
                <w:color w:val="000000"/>
                <w:sz w:val="20"/>
                <w:szCs w:val="20"/>
              </w:rPr>
              <w:t>Miami,</w:t>
            </w:r>
          </w:p>
        </w:tc>
        <w:tc>
          <w:tcPr>
            <w:tcW w:w="0" w:type="auto"/>
            <w:gridSpan w:val="3"/>
            <w:tcMar>
              <w:top w:w="30" w:type="dxa"/>
              <w:left w:w="20" w:type="dxa"/>
              <w:bottom w:w="30" w:type="dxa"/>
              <w:right w:w="20" w:type="dxa"/>
            </w:tcMar>
            <w:vAlign w:val="center"/>
            <w:hideMark/>
          </w:tcPr>
          <w:p w:rsidR="00000000" w:rsidRDefault="002223F7">
            <w:pPr>
              <w:spacing w:after="100"/>
              <w:rPr>
                <w:rFonts w:eastAsia="Times New Roman"/>
              </w:rPr>
            </w:pPr>
            <w:r>
              <w:rPr>
                <w:rFonts w:ascii="Arial" w:eastAsia="Times New Roman" w:hAnsi="Arial" w:cs="Arial"/>
                <w:b/>
                <w:bCs/>
                <w:color w:val="000000"/>
                <w:sz w:val="20"/>
                <w:szCs w:val="20"/>
              </w:rPr>
              <w:t>Florida</w:t>
            </w:r>
          </w:p>
        </w:tc>
        <w:tc>
          <w:tcPr>
            <w:tcW w:w="0" w:type="auto"/>
            <w:gridSpan w:val="3"/>
            <w:tcMar>
              <w:top w:w="30" w:type="dxa"/>
              <w:left w:w="20" w:type="dxa"/>
              <w:bottom w:w="30" w:type="dxa"/>
              <w:right w:w="20" w:type="dxa"/>
            </w:tcMar>
            <w:vAlign w:val="center"/>
            <w:hideMark/>
          </w:tcPr>
          <w:p w:rsidR="00000000" w:rsidRDefault="002223F7">
            <w:pPr>
              <w:spacing w:after="100"/>
              <w:rPr>
                <w:rFonts w:eastAsia="Times New Roman"/>
              </w:rPr>
            </w:pPr>
            <w:r>
              <w:rPr>
                <w:rFonts w:ascii="Arial" w:eastAsia="Times New Roman" w:hAnsi="Arial" w:cs="Arial"/>
                <w:b/>
                <w:bCs/>
                <w:color w:val="000000"/>
                <w:sz w:val="20"/>
                <w:szCs w:val="20"/>
              </w:rPr>
              <w:t>33178</w:t>
            </w:r>
          </w:p>
        </w:tc>
        <w:tc>
          <w:tcPr>
            <w:tcW w:w="0" w:type="auto"/>
            <w:gridSpan w:val="3"/>
            <w:tcMar>
              <w:top w:w="30" w:type="dxa"/>
              <w:left w:w="20" w:type="dxa"/>
              <w:bottom w:w="30" w:type="dxa"/>
              <w:right w:w="20" w:type="dxa"/>
            </w:tcMar>
            <w:vAlign w:val="center"/>
            <w:hideMark/>
          </w:tcPr>
          <w:p w:rsidR="00000000" w:rsidRDefault="002223F7">
            <w:pPr>
              <w:spacing w:after="100"/>
              <w:jc w:val="center"/>
              <w:rPr>
                <w:rFonts w:eastAsia="Times New Roman"/>
              </w:rPr>
            </w:pPr>
            <w:r>
              <w:rPr>
                <w:rFonts w:ascii="Arial" w:eastAsia="Times New Roman" w:hAnsi="Arial" w:cs="Arial"/>
                <w:b/>
                <w:bCs/>
                <w:color w:val="000000"/>
                <w:sz w:val="20"/>
                <w:szCs w:val="20"/>
              </w:rPr>
              <w:t>59-2459427</w:t>
            </w:r>
          </w:p>
        </w:tc>
      </w:tr>
      <w:tr w:rsidR="00000000">
        <w:trPr>
          <w:divId w:val="302933834"/>
        </w:trPr>
        <w:tc>
          <w:tcPr>
            <w:tcW w:w="0" w:type="auto"/>
            <w:gridSpan w:val="3"/>
            <w:tcMar>
              <w:top w:w="30" w:type="dxa"/>
              <w:left w:w="20" w:type="dxa"/>
              <w:bottom w:w="30" w:type="dxa"/>
              <w:right w:w="20" w:type="dxa"/>
            </w:tcMar>
            <w:vAlign w:val="center"/>
            <w:hideMark/>
          </w:tcPr>
          <w:p w:rsidR="00000000" w:rsidRDefault="002223F7">
            <w:pPr>
              <w:spacing w:after="100"/>
              <w:jc w:val="center"/>
              <w:rPr>
                <w:rFonts w:eastAsia="Times New Roman"/>
              </w:rPr>
            </w:pPr>
            <w:r>
              <w:rPr>
                <w:rFonts w:ascii="Arial" w:eastAsia="Times New Roman" w:hAnsi="Arial" w:cs="Arial"/>
                <w:color w:val="000000"/>
                <w:sz w:val="20"/>
                <w:szCs w:val="20"/>
              </w:rPr>
              <w:t>(State or other jurisdiction of</w:t>
            </w:r>
            <w:r>
              <w:rPr>
                <w:rFonts w:ascii="Arial" w:eastAsia="Times New Roman" w:hAnsi="Arial" w:cs="Arial"/>
                <w:color w:val="000000"/>
                <w:sz w:val="20"/>
                <w:szCs w:val="20"/>
              </w:rPr>
              <w:br/>
              <w:t>incorporation or organization)</w:t>
            </w:r>
          </w:p>
        </w:tc>
        <w:tc>
          <w:tcPr>
            <w:tcW w:w="0" w:type="auto"/>
            <w:gridSpan w:val="21"/>
            <w:tcMar>
              <w:top w:w="30" w:type="dxa"/>
              <w:left w:w="20" w:type="dxa"/>
              <w:bottom w:w="30" w:type="dxa"/>
              <w:right w:w="20" w:type="dxa"/>
            </w:tcMar>
            <w:vAlign w:val="center"/>
            <w:hideMark/>
          </w:tcPr>
          <w:p w:rsidR="00000000" w:rsidRDefault="002223F7">
            <w:pPr>
              <w:spacing w:after="100"/>
              <w:jc w:val="center"/>
              <w:rPr>
                <w:rFonts w:eastAsia="Times New Roman"/>
              </w:rPr>
            </w:pPr>
            <w:r>
              <w:rPr>
                <w:rFonts w:ascii="Arial" w:eastAsia="Times New Roman" w:hAnsi="Arial" w:cs="Arial"/>
                <w:color w:val="000000"/>
                <w:sz w:val="20"/>
                <w:szCs w:val="20"/>
              </w:rPr>
              <w:t>(Address of Principal Executive Offices) (Zip Code)</w:t>
            </w:r>
          </w:p>
        </w:tc>
        <w:tc>
          <w:tcPr>
            <w:tcW w:w="0" w:type="auto"/>
            <w:gridSpan w:val="3"/>
            <w:tcMar>
              <w:top w:w="30" w:type="dxa"/>
              <w:left w:w="20" w:type="dxa"/>
              <w:bottom w:w="30" w:type="dxa"/>
              <w:right w:w="20" w:type="dxa"/>
            </w:tcMar>
            <w:vAlign w:val="center"/>
            <w:hideMark/>
          </w:tcPr>
          <w:p w:rsidR="00000000" w:rsidRDefault="002223F7">
            <w:pPr>
              <w:spacing w:after="100"/>
              <w:jc w:val="center"/>
              <w:rPr>
                <w:rFonts w:eastAsia="Times New Roman"/>
              </w:rPr>
            </w:pPr>
            <w:r>
              <w:rPr>
                <w:rFonts w:ascii="Arial" w:eastAsia="Times New Roman" w:hAnsi="Arial" w:cs="Arial"/>
                <w:color w:val="000000"/>
                <w:sz w:val="20"/>
                <w:szCs w:val="20"/>
              </w:rPr>
              <w:t>(I.R.S. Employer</w:t>
            </w:r>
            <w:r>
              <w:rPr>
                <w:rFonts w:ascii="Arial" w:eastAsia="Times New Roman" w:hAnsi="Arial" w:cs="Arial"/>
                <w:color w:val="000000"/>
                <w:sz w:val="20"/>
                <w:szCs w:val="20"/>
              </w:rPr>
              <w:br/>
            </w:r>
            <w:r>
              <w:rPr>
                <w:rFonts w:ascii="Arial" w:eastAsia="Times New Roman" w:hAnsi="Arial" w:cs="Arial"/>
                <w:color w:val="000000"/>
                <w:sz w:val="20"/>
                <w:szCs w:val="20"/>
              </w:rPr>
              <w:t>Identification No.)</w:t>
            </w:r>
          </w:p>
        </w:tc>
      </w:tr>
      <w:tr w:rsidR="00000000">
        <w:trPr>
          <w:divId w:val="302933834"/>
        </w:trPr>
        <w:tc>
          <w:tcPr>
            <w:tcW w:w="0" w:type="auto"/>
            <w:gridSpan w:val="3"/>
            <w:tcMar>
              <w:top w:w="30" w:type="dxa"/>
              <w:left w:w="20" w:type="dxa"/>
              <w:bottom w:w="30" w:type="dxa"/>
              <w:right w:w="20" w:type="dxa"/>
            </w:tcMar>
            <w:vAlign w:val="center"/>
            <w:hideMark/>
          </w:tcPr>
          <w:p w:rsidR="00000000" w:rsidRDefault="002223F7">
            <w:pPr>
              <w:spacing w:after="100"/>
              <w:jc w:val="center"/>
              <w:rPr>
                <w:rFonts w:eastAsia="Times New Roman"/>
              </w:rPr>
            </w:pPr>
            <w:r>
              <w:rPr>
                <w:rFonts w:ascii="Arial" w:eastAsia="Times New Roman" w:hAnsi="Arial" w:cs="Arial"/>
                <w:color w:val="000000"/>
                <w:sz w:val="20"/>
                <w:szCs w:val="20"/>
              </w:rPr>
              <w:t> </w:t>
            </w:r>
          </w:p>
        </w:tc>
        <w:tc>
          <w:tcPr>
            <w:tcW w:w="0" w:type="auto"/>
            <w:gridSpan w:val="21"/>
            <w:tcMar>
              <w:top w:w="30" w:type="dxa"/>
              <w:left w:w="20" w:type="dxa"/>
              <w:bottom w:w="30" w:type="dxa"/>
              <w:right w:w="20" w:type="dxa"/>
            </w:tcMar>
            <w:vAlign w:val="center"/>
            <w:hideMark/>
          </w:tcPr>
          <w:p w:rsidR="00000000" w:rsidRDefault="002223F7">
            <w:pPr>
              <w:spacing w:after="100"/>
              <w:jc w:val="center"/>
              <w:rPr>
                <w:rFonts w:eastAsia="Times New Roman"/>
              </w:rPr>
            </w:pPr>
            <w:r>
              <w:rPr>
                <w:rFonts w:ascii="Arial" w:eastAsia="Times New Roman" w:hAnsi="Arial" w:cs="Arial"/>
                <w:color w:val="000000"/>
                <w:sz w:val="20"/>
                <w:szCs w:val="20"/>
                <w:u w:val="single"/>
              </w:rPr>
              <w:t>Registrant’s telephone number, including area code:</w:t>
            </w:r>
          </w:p>
        </w:tc>
        <w:tc>
          <w:tcPr>
            <w:tcW w:w="0" w:type="auto"/>
            <w:gridSpan w:val="3"/>
            <w:tcMar>
              <w:top w:w="30" w:type="dxa"/>
              <w:left w:w="20" w:type="dxa"/>
              <w:bottom w:w="30" w:type="dxa"/>
              <w:right w:w="20" w:type="dxa"/>
            </w:tcMar>
            <w:vAlign w:val="center"/>
            <w:hideMark/>
          </w:tcPr>
          <w:p w:rsidR="00000000" w:rsidRDefault="002223F7">
            <w:pPr>
              <w:spacing w:after="100"/>
              <w:jc w:val="center"/>
              <w:rPr>
                <w:rFonts w:eastAsia="Times New Roman"/>
              </w:rPr>
            </w:pPr>
            <w:r>
              <w:rPr>
                <w:rFonts w:ascii="Arial" w:eastAsia="Times New Roman" w:hAnsi="Arial" w:cs="Arial"/>
                <w:color w:val="000000"/>
                <w:sz w:val="20"/>
                <w:szCs w:val="20"/>
              </w:rPr>
              <w:t> </w:t>
            </w:r>
          </w:p>
        </w:tc>
      </w:tr>
      <w:tr w:rsidR="00000000">
        <w:trPr>
          <w:divId w:val="302933834"/>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2223F7">
            <w:pPr>
              <w:spacing w:after="100"/>
              <w:jc w:val="right"/>
              <w:rPr>
                <w:rFonts w:eastAsia="Times New Roman"/>
              </w:rPr>
            </w:pPr>
            <w:r>
              <w:rPr>
                <w:rFonts w:ascii="Arial" w:eastAsia="Times New Roman" w:hAnsi="Arial" w:cs="Arial"/>
                <w:b/>
                <w:bCs/>
                <w:color w:val="000000"/>
                <w:sz w:val="20"/>
                <w:szCs w:val="20"/>
              </w:rPr>
              <w:t>(</w:t>
            </w:r>
          </w:p>
        </w:tc>
        <w:tc>
          <w:tcPr>
            <w:tcW w:w="0" w:type="auto"/>
            <w:gridSpan w:val="3"/>
            <w:tcMar>
              <w:top w:w="30" w:type="dxa"/>
              <w:left w:w="20" w:type="dxa"/>
              <w:bottom w:w="30" w:type="dxa"/>
              <w:right w:w="20" w:type="dxa"/>
            </w:tcMar>
            <w:vAlign w:val="center"/>
            <w:hideMark/>
          </w:tcPr>
          <w:p w:rsidR="00000000" w:rsidRDefault="002223F7">
            <w:pPr>
              <w:spacing w:after="100"/>
              <w:jc w:val="center"/>
              <w:rPr>
                <w:rFonts w:eastAsia="Times New Roman"/>
              </w:rPr>
            </w:pPr>
            <w:r>
              <w:rPr>
                <w:rFonts w:ascii="Arial" w:eastAsia="Times New Roman" w:hAnsi="Arial" w:cs="Arial"/>
                <w:b/>
                <w:bCs/>
                <w:color w:val="000000"/>
                <w:sz w:val="20"/>
                <w:szCs w:val="20"/>
              </w:rPr>
              <w:t>305</w:t>
            </w:r>
          </w:p>
        </w:tc>
        <w:tc>
          <w:tcPr>
            <w:tcW w:w="0" w:type="auto"/>
            <w:gridSpan w:val="3"/>
            <w:tcMar>
              <w:top w:w="30" w:type="dxa"/>
              <w:left w:w="20" w:type="dxa"/>
              <w:bottom w:w="30" w:type="dxa"/>
              <w:right w:w="20" w:type="dxa"/>
            </w:tcMar>
            <w:vAlign w:val="center"/>
            <w:hideMark/>
          </w:tcPr>
          <w:p w:rsidR="00000000" w:rsidRDefault="002223F7">
            <w:pPr>
              <w:spacing w:after="100"/>
              <w:rPr>
                <w:rFonts w:eastAsia="Times New Roman"/>
              </w:rPr>
            </w:pPr>
            <w:r>
              <w:rPr>
                <w:rFonts w:ascii="Arial" w:eastAsia="Times New Roman" w:hAnsi="Arial" w:cs="Arial"/>
                <w:b/>
                <w:bCs/>
                <w:color w:val="000000"/>
                <w:sz w:val="20"/>
                <w:szCs w:val="20"/>
              </w:rPr>
              <w:t>)</w:t>
            </w:r>
          </w:p>
        </w:tc>
        <w:tc>
          <w:tcPr>
            <w:tcW w:w="0" w:type="auto"/>
            <w:gridSpan w:val="9"/>
            <w:tcMar>
              <w:top w:w="30" w:type="dxa"/>
              <w:left w:w="20" w:type="dxa"/>
              <w:bottom w:w="30" w:type="dxa"/>
              <w:right w:w="20" w:type="dxa"/>
            </w:tcMar>
            <w:vAlign w:val="center"/>
            <w:hideMark/>
          </w:tcPr>
          <w:p w:rsidR="00000000" w:rsidRDefault="002223F7">
            <w:pPr>
              <w:spacing w:after="100"/>
              <w:rPr>
                <w:rFonts w:eastAsia="Times New Roman"/>
              </w:rPr>
            </w:pPr>
            <w:r>
              <w:rPr>
                <w:rFonts w:ascii="Arial" w:eastAsia="Times New Roman" w:hAnsi="Arial" w:cs="Arial"/>
                <w:b/>
                <w:bCs/>
                <w:color w:val="000000"/>
                <w:sz w:val="20"/>
                <w:szCs w:val="20"/>
              </w:rPr>
              <w:t>428-8000</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r>
      <w:tr w:rsidR="00000000">
        <w:trPr>
          <w:divId w:val="302933834"/>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18"/>
                <w:szCs w:val="18"/>
              </w:rPr>
              <w:t>Securities registered pursuant to Section 12(b) of the Act</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r>
      <w:tr w:rsidR="00000000">
        <w:trPr>
          <w:divId w:val="302933834"/>
        </w:trPr>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u w:val="single"/>
              </w:rPr>
              <w:t>Title of each class</w:t>
            </w:r>
          </w:p>
        </w:tc>
        <w:tc>
          <w:tcPr>
            <w:tcW w:w="0" w:type="auto"/>
            <w:gridSpan w:val="21"/>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u w:val="single"/>
              </w:rPr>
              <w:t>Trading Symbol (s)</w:t>
            </w: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u w:val="single"/>
              </w:rPr>
              <w:t>Name of each exchange on which registered</w:t>
            </w:r>
          </w:p>
        </w:tc>
      </w:tr>
      <w:tr w:rsidR="00000000">
        <w:trPr>
          <w:divId w:val="302933834"/>
        </w:trPr>
        <w:tc>
          <w:tcPr>
            <w:tcW w:w="0" w:type="auto"/>
            <w:gridSpan w:val="3"/>
            <w:tcMar>
              <w:top w:w="30" w:type="dxa"/>
              <w:left w:w="20" w:type="dxa"/>
              <w:bottom w:w="30" w:type="dxa"/>
              <w:right w:w="20" w:type="dxa"/>
            </w:tcMar>
            <w:vAlign w:val="center"/>
            <w:hideMark/>
          </w:tcPr>
          <w:p w:rsidR="00000000" w:rsidRDefault="002223F7">
            <w:pPr>
              <w:spacing w:after="100"/>
              <w:jc w:val="center"/>
              <w:rPr>
                <w:rFonts w:eastAsia="Times New Roman"/>
              </w:rPr>
            </w:pPr>
            <w:r>
              <w:rPr>
                <w:rFonts w:ascii="Arial" w:eastAsia="Times New Roman" w:hAnsi="Arial" w:cs="Arial"/>
                <w:b/>
                <w:bCs/>
                <w:color w:val="000000"/>
                <w:sz w:val="20"/>
                <w:szCs w:val="20"/>
              </w:rPr>
              <w:t xml:space="preserve">Common Stock, </w:t>
            </w:r>
            <w:r>
              <w:rPr>
                <w:rFonts w:ascii="Arial" w:eastAsia="Times New Roman" w:hAnsi="Arial" w:cs="Arial"/>
                <w:b/>
                <w:bCs/>
                <w:color w:val="000000"/>
                <w:sz w:val="20"/>
                <w:szCs w:val="20"/>
              </w:rPr>
              <w:br/>
              <w:t>$0.01 par value</w:t>
            </w:r>
          </w:p>
        </w:tc>
        <w:tc>
          <w:tcPr>
            <w:tcW w:w="0" w:type="auto"/>
            <w:gridSpan w:val="21"/>
            <w:tcMar>
              <w:top w:w="30" w:type="dxa"/>
              <w:left w:w="20" w:type="dxa"/>
              <w:bottom w:w="30" w:type="dxa"/>
              <w:right w:w="20" w:type="dxa"/>
            </w:tcMar>
            <w:vAlign w:val="center"/>
            <w:hideMark/>
          </w:tcPr>
          <w:p w:rsidR="00000000" w:rsidRDefault="002223F7">
            <w:pPr>
              <w:spacing w:after="100"/>
              <w:jc w:val="center"/>
              <w:rPr>
                <w:rFonts w:eastAsia="Times New Roman"/>
              </w:rPr>
            </w:pPr>
            <w:r>
              <w:rPr>
                <w:rFonts w:ascii="Arial" w:eastAsia="Times New Roman" w:hAnsi="Arial" w:cs="Arial"/>
                <w:b/>
                <w:bCs/>
                <w:color w:val="000000"/>
                <w:sz w:val="20"/>
                <w:szCs w:val="20"/>
              </w:rPr>
              <w:t>INT</w:t>
            </w:r>
          </w:p>
        </w:tc>
        <w:tc>
          <w:tcPr>
            <w:tcW w:w="0" w:type="auto"/>
            <w:gridSpan w:val="3"/>
            <w:tcMar>
              <w:top w:w="30" w:type="dxa"/>
              <w:left w:w="20" w:type="dxa"/>
              <w:bottom w:w="30" w:type="dxa"/>
              <w:right w:w="20" w:type="dxa"/>
            </w:tcMar>
            <w:vAlign w:val="center"/>
            <w:hideMark/>
          </w:tcPr>
          <w:p w:rsidR="00000000" w:rsidRDefault="002223F7">
            <w:pPr>
              <w:spacing w:after="100"/>
              <w:jc w:val="center"/>
              <w:rPr>
                <w:rFonts w:eastAsia="Times New Roman"/>
              </w:rPr>
            </w:pPr>
            <w:r>
              <w:rPr>
                <w:rFonts w:ascii="Arial" w:eastAsia="Times New Roman" w:hAnsi="Arial" w:cs="Arial"/>
                <w:b/>
                <w:bCs/>
                <w:color w:val="000000"/>
                <w:sz w:val="20"/>
                <w:szCs w:val="20"/>
              </w:rPr>
              <w:t>New York Stock Exchange</w:t>
            </w:r>
          </w:p>
        </w:tc>
      </w:tr>
    </w:tbl>
    <w:p w:rsidR="00000000" w:rsidRDefault="002223F7">
      <w:pPr>
        <w:jc w:val="both"/>
        <w:divId w:val="528563443"/>
        <w:rPr>
          <w:rFonts w:eastAsia="Times New Roman"/>
        </w:rPr>
      </w:pPr>
      <w:r>
        <w:rPr>
          <w:rFonts w:ascii="Arial" w:eastAsia="Times New Roman" w:hAnsi="Arial" w:cs="Arial"/>
          <w:b/>
          <w:bCs/>
          <w:color w:val="000000"/>
          <w:sz w:val="18"/>
          <w:szCs w:val="18"/>
        </w:rPr>
        <w:t>Securities registered pursuant to Section 12(g) of the Act: None</w:t>
      </w:r>
    </w:p>
    <w:p w:rsidR="00000000" w:rsidRDefault="002223F7">
      <w:pPr>
        <w:jc w:val="both"/>
        <w:divId w:val="1175533627"/>
        <w:rPr>
          <w:rFonts w:eastAsia="Times New Roman"/>
        </w:rPr>
      </w:pPr>
      <w:r>
        <w:rPr>
          <w:rFonts w:ascii="Arial" w:eastAsia="Times New Roman" w:hAnsi="Arial" w:cs="Arial"/>
          <w:color w:val="000000"/>
          <w:sz w:val="20"/>
          <w:szCs w:val="20"/>
        </w:rPr>
        <w:t>Indicate by check mark if the registrant is a well-known seasoned issuer, as defined in Rule 405 of the Securities Act. Yes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No </w:t>
      </w:r>
      <w:r>
        <w:rPr>
          <w:rFonts w:ascii="Segoe UI Symbol" w:eastAsia="Times New Roman" w:hAnsi="Segoe UI Symbol" w:cs="Segoe UI Symbol"/>
          <w:color w:val="000000"/>
          <w:sz w:val="20"/>
          <w:szCs w:val="20"/>
        </w:rPr>
        <w:t>☐</w:t>
      </w:r>
    </w:p>
    <w:p w:rsidR="00000000" w:rsidRDefault="002223F7">
      <w:pPr>
        <w:jc w:val="both"/>
        <w:divId w:val="1302660525"/>
        <w:rPr>
          <w:rFonts w:eastAsia="Times New Roman"/>
        </w:rPr>
      </w:pPr>
      <w:r>
        <w:rPr>
          <w:rFonts w:ascii="Arial" w:eastAsia="Times New Roman" w:hAnsi="Arial" w:cs="Arial"/>
          <w:color w:val="000000"/>
          <w:sz w:val="20"/>
          <w:szCs w:val="20"/>
        </w:rPr>
        <w:t xml:space="preserve">Indicate by check mark if the registrant is not required to file reports pursuant to Section 13 or Section 15(d) of the Act. </w:t>
      </w:r>
      <w:r>
        <w:rPr>
          <w:rFonts w:ascii="Arial" w:eastAsia="Times New Roman" w:hAnsi="Arial" w:cs="Arial"/>
          <w:color w:val="000000"/>
          <w:sz w:val="20"/>
          <w:szCs w:val="20"/>
        </w:rPr>
        <w:t>Yes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xml:space="preserve">  No </w:t>
      </w:r>
      <w:r>
        <w:rPr>
          <w:rFonts w:ascii="Segoe UI Symbol" w:eastAsia="Times New Roman" w:hAnsi="Segoe UI Symbol" w:cs="Segoe UI Symbol"/>
          <w:color w:val="000000"/>
          <w:sz w:val="20"/>
          <w:szCs w:val="20"/>
        </w:rPr>
        <w:t>☒</w:t>
      </w:r>
    </w:p>
    <w:p w:rsidR="00000000" w:rsidRDefault="002223F7">
      <w:pPr>
        <w:jc w:val="both"/>
        <w:divId w:val="1187326723"/>
        <w:rPr>
          <w:rFonts w:eastAsia="Times New Roman"/>
        </w:rPr>
      </w:pPr>
      <w:r>
        <w:rPr>
          <w:rFonts w:ascii="Arial" w:eastAsia="Times New Roman" w:hAnsi="Arial" w:cs="Arial"/>
          <w:color w:val="000000"/>
          <w:sz w:val="20"/>
          <w:szCs w:val="20"/>
        </w:rPr>
        <w:t>Indicate by check mark whether the registrant (1) has filed all reports required to be filed by Section </w:t>
      </w:r>
      <w:r>
        <w:rPr>
          <w:rFonts w:ascii="Arial" w:eastAsia="Times New Roman" w:hAnsi="Arial" w:cs="Arial"/>
          <w:color w:val="000000"/>
          <w:sz w:val="20"/>
          <w:szCs w:val="20"/>
        </w:rPr>
        <w:t>13 or 15(d) of the Securities Exchange Act of 1934 during the preceding 12 months (or for such shorter period that the registrant was required to file such reports), and (2) has been subject to such filing requirements for the past 90 days. Yes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No </w:t>
      </w:r>
      <w:r>
        <w:rPr>
          <w:rFonts w:ascii="Segoe UI Symbol" w:eastAsia="Times New Roman" w:hAnsi="Segoe UI Symbol" w:cs="Segoe UI Symbol"/>
          <w:color w:val="000000"/>
          <w:sz w:val="20"/>
          <w:szCs w:val="20"/>
        </w:rPr>
        <w:t>☐</w:t>
      </w:r>
    </w:p>
    <w:p w:rsidR="00000000" w:rsidRDefault="002223F7">
      <w:pPr>
        <w:jc w:val="both"/>
        <w:divId w:val="872888422"/>
        <w:rPr>
          <w:rFonts w:eastAsia="Times New Roman"/>
        </w:rPr>
      </w:pPr>
      <w:r>
        <w:rPr>
          <w:rFonts w:ascii="Arial" w:eastAsia="Times New Roman" w:hAnsi="Arial" w:cs="Arial"/>
          <w:color w:val="000000"/>
          <w:sz w:val="20"/>
          <w:szCs w:val="20"/>
        </w:rPr>
        <w:lastRenderedPageBreak/>
        <w:t>Indi</w:t>
      </w:r>
      <w:r>
        <w:rPr>
          <w:rFonts w:ascii="Arial" w:eastAsia="Times New Roman" w:hAnsi="Arial" w:cs="Arial"/>
          <w:color w:val="000000"/>
          <w:sz w:val="20"/>
          <w:szCs w:val="20"/>
        </w:rPr>
        <w:t>cate by check mark whether the registrant has submitted electronically every Interactive Data File required to be submitted pursuant to Rule 405 of Regulation S-T during the preceding 12 months (or for such shorter period that the registrant was required t</w:t>
      </w:r>
      <w:r>
        <w:rPr>
          <w:rFonts w:ascii="Arial" w:eastAsia="Times New Roman" w:hAnsi="Arial" w:cs="Arial"/>
          <w:color w:val="000000"/>
          <w:sz w:val="20"/>
          <w:szCs w:val="20"/>
        </w:rPr>
        <w:t>o submit and post such files). Yes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No </w:t>
      </w:r>
      <w:r>
        <w:rPr>
          <w:rFonts w:ascii="Segoe UI Symbol" w:eastAsia="Times New Roman" w:hAnsi="Segoe UI Symbol" w:cs="Segoe UI Symbol"/>
          <w:color w:val="000000"/>
          <w:sz w:val="20"/>
          <w:szCs w:val="20"/>
        </w:rPr>
        <w:t>☐</w:t>
      </w:r>
    </w:p>
    <w:p w:rsidR="00000000" w:rsidRDefault="002223F7">
      <w:pPr>
        <w:jc w:val="both"/>
        <w:divId w:val="955209135"/>
        <w:rPr>
          <w:rFonts w:eastAsia="Times New Roman"/>
        </w:rPr>
      </w:pPr>
    </w:p>
    <w:p w:rsidR="00000000" w:rsidRDefault="002223F7">
      <w:pPr>
        <w:rPr>
          <w:rFonts w:eastAsia="Times New Roman"/>
        </w:rPr>
      </w:pPr>
      <w:r>
        <w:rPr>
          <w:rFonts w:eastAsia="Times New Roman"/>
        </w:rPr>
        <w:pict>
          <v:rect id="_x0000_i1026" style="width:0;height:1.5pt" o:hralign="center" o:hrstd="t" o:hr="t" fillcolor="#a0a0a0" stroked="f"/>
        </w:pict>
      </w:r>
    </w:p>
    <w:p w:rsidR="00000000" w:rsidRDefault="002223F7">
      <w:pPr>
        <w:jc w:val="both"/>
        <w:divId w:val="1394086024"/>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543174303"/>
        <w:rPr>
          <w:rFonts w:eastAsia="Times New Roman"/>
        </w:rPr>
      </w:pPr>
      <w:r>
        <w:rPr>
          <w:rFonts w:ascii="Arial" w:eastAsia="Times New Roman" w:hAnsi="Arial" w:cs="Arial"/>
          <w:color w:val="000000"/>
          <w:sz w:val="20"/>
          <w:szCs w:val="20"/>
        </w:rPr>
        <w:t>Indicate by check mark whether the registrant is a large accelerated filer, an accelerated filer, a non-accelerated filer, a smaller reporting company or an emerging growth company. See definitions of "large accelerated filer," "accelerated filer," "smalle</w:t>
      </w:r>
      <w:r>
        <w:rPr>
          <w:rFonts w:ascii="Arial" w:eastAsia="Times New Roman" w:hAnsi="Arial" w:cs="Arial"/>
          <w:color w:val="000000"/>
          <w:sz w:val="20"/>
          <w:szCs w:val="20"/>
        </w:rPr>
        <w:t>r reporting company," and "emerging growth company" in Rule 12b-2 of the Exchange Act. Large accelerated filer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xml:space="preserve"> Accelerated filer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xml:space="preserve"> Non-accelerated filer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xml:space="preserve"> Smaller reporting company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xml:space="preserve"> Emerging growth company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xml:space="preserve"> </w:t>
      </w:r>
    </w:p>
    <w:p w:rsidR="00000000" w:rsidRDefault="002223F7">
      <w:pPr>
        <w:jc w:val="both"/>
        <w:divId w:val="410540232"/>
        <w:rPr>
          <w:rFonts w:eastAsia="Times New Roman"/>
        </w:rPr>
      </w:pPr>
      <w:r>
        <w:rPr>
          <w:rFonts w:ascii="Arial" w:eastAsia="Times New Roman" w:hAnsi="Arial" w:cs="Arial"/>
          <w:color w:val="000000"/>
          <w:sz w:val="20"/>
          <w:szCs w:val="20"/>
        </w:rPr>
        <w:t>If an emerging growth company, indicate by c</w:t>
      </w:r>
      <w:r>
        <w:rPr>
          <w:rFonts w:ascii="Arial" w:eastAsia="Times New Roman" w:hAnsi="Arial" w:cs="Arial"/>
          <w:color w:val="000000"/>
          <w:sz w:val="20"/>
          <w:szCs w:val="20"/>
        </w:rPr>
        <w:t xml:space="preserve">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w:t>
      </w:r>
    </w:p>
    <w:p w:rsidR="00000000" w:rsidRDefault="002223F7">
      <w:pPr>
        <w:jc w:val="both"/>
        <w:divId w:val="149445555"/>
        <w:rPr>
          <w:rFonts w:eastAsia="Times New Roman"/>
        </w:rPr>
      </w:pPr>
      <w:r>
        <w:rPr>
          <w:rFonts w:ascii="Arial" w:eastAsia="Times New Roman" w:hAnsi="Arial" w:cs="Arial"/>
          <w:color w:val="000000"/>
          <w:sz w:val="20"/>
          <w:szCs w:val="20"/>
        </w:rPr>
        <w:t xml:space="preserve">Indicate by check mark whether the registrant </w:t>
      </w:r>
      <w:r>
        <w:rPr>
          <w:rFonts w:ascii="Arial" w:eastAsia="Times New Roman" w:hAnsi="Arial" w:cs="Arial"/>
          <w:color w:val="000000"/>
          <w:sz w:val="20"/>
          <w:szCs w:val="20"/>
        </w:rPr>
        <w:t>has filed a report on and attestation to its management’s assessment of the effectiveness of its internal control over financial reporting under Section 404(b) of the Sarbanes-Oxley Act (15 U.S.C. 7262(b)) by the registered public accounting firm that prep</w:t>
      </w:r>
      <w:r>
        <w:rPr>
          <w:rFonts w:ascii="Arial" w:eastAsia="Times New Roman" w:hAnsi="Arial" w:cs="Arial"/>
          <w:color w:val="000000"/>
          <w:sz w:val="20"/>
          <w:szCs w:val="20"/>
        </w:rPr>
        <w:t xml:space="preserve">ared or issued its audit report. </w:t>
      </w:r>
      <w:r>
        <w:rPr>
          <w:rFonts w:ascii="Segoe UI Symbol" w:eastAsia="Times New Roman" w:hAnsi="Segoe UI Symbol" w:cs="Segoe UI Symbol"/>
          <w:color w:val="000000"/>
          <w:sz w:val="20"/>
          <w:szCs w:val="20"/>
        </w:rPr>
        <w:t>☒</w:t>
      </w:r>
    </w:p>
    <w:p w:rsidR="00000000" w:rsidRDefault="002223F7">
      <w:pPr>
        <w:jc w:val="both"/>
        <w:divId w:val="343632222"/>
        <w:rPr>
          <w:rFonts w:eastAsia="Times New Roman"/>
        </w:rPr>
      </w:pPr>
      <w:r>
        <w:rPr>
          <w:rFonts w:ascii="Arial" w:eastAsia="Times New Roman" w:hAnsi="Arial" w:cs="Arial"/>
          <w:color w:val="000000"/>
          <w:sz w:val="20"/>
          <w:szCs w:val="20"/>
        </w:rPr>
        <w:t>If securities are registered pursuant to Section 12(b) of the Act, indicate by check mark whether the financial statements of the registrant included in the filing reflect the correction of an error to previously issued f</w:t>
      </w:r>
      <w:r>
        <w:rPr>
          <w:rFonts w:ascii="Arial" w:eastAsia="Times New Roman" w:hAnsi="Arial" w:cs="Arial"/>
          <w:color w:val="000000"/>
          <w:sz w:val="20"/>
          <w:szCs w:val="20"/>
        </w:rPr>
        <w:t xml:space="preserve">inancial statements. </w:t>
      </w:r>
      <w:r>
        <w:rPr>
          <w:rFonts w:ascii="Segoe UI Symbol" w:eastAsia="Times New Roman" w:hAnsi="Segoe UI Symbol" w:cs="Segoe UI Symbol"/>
          <w:color w:val="000000"/>
          <w:sz w:val="20"/>
          <w:szCs w:val="20"/>
        </w:rPr>
        <w:t>☐</w:t>
      </w:r>
    </w:p>
    <w:p w:rsidR="00000000" w:rsidRDefault="002223F7">
      <w:pPr>
        <w:jc w:val="both"/>
        <w:divId w:val="1482651845"/>
        <w:rPr>
          <w:rFonts w:eastAsia="Times New Roman"/>
        </w:rPr>
      </w:pPr>
      <w:r>
        <w:rPr>
          <w:rFonts w:ascii="Arial" w:eastAsia="Times New Roman" w:hAnsi="Arial" w:cs="Arial"/>
          <w:color w:val="000000"/>
          <w:sz w:val="20"/>
          <w:szCs w:val="20"/>
        </w:rPr>
        <w:t>Indicate by check mark whether any of those error corrections are restatements that required a recovery analysis of incentive-based compensation received by any of the registrant’s executive officers during the relevant recovery peri</w:t>
      </w:r>
      <w:r>
        <w:rPr>
          <w:rFonts w:ascii="Arial" w:eastAsia="Times New Roman" w:hAnsi="Arial" w:cs="Arial"/>
          <w:color w:val="000000"/>
          <w:sz w:val="20"/>
          <w:szCs w:val="20"/>
        </w:rPr>
        <w:t xml:space="preserve">od pursuant to §240.10D-1(b). </w:t>
      </w:r>
      <w:r>
        <w:rPr>
          <w:rFonts w:ascii="Segoe UI Symbol" w:eastAsia="Times New Roman" w:hAnsi="Segoe UI Symbol" w:cs="Segoe UI Symbol"/>
          <w:color w:val="000000"/>
          <w:sz w:val="20"/>
          <w:szCs w:val="20"/>
        </w:rPr>
        <w:t>☐</w:t>
      </w:r>
    </w:p>
    <w:p w:rsidR="00000000" w:rsidRDefault="002223F7">
      <w:pPr>
        <w:jc w:val="both"/>
        <w:divId w:val="937297341"/>
        <w:rPr>
          <w:rFonts w:eastAsia="Times New Roman"/>
        </w:rPr>
      </w:pPr>
      <w:r>
        <w:rPr>
          <w:rFonts w:ascii="Arial" w:eastAsia="Times New Roman" w:hAnsi="Arial" w:cs="Arial"/>
          <w:color w:val="000000"/>
          <w:sz w:val="20"/>
          <w:szCs w:val="20"/>
        </w:rPr>
        <w:t>Indicate by check mark whether the registrant is a shell company (as defined in 12b-2 of the Exchange Act). Yes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No </w:t>
      </w:r>
      <w:r>
        <w:rPr>
          <w:rFonts w:ascii="Segoe UI Symbol" w:eastAsia="Times New Roman" w:hAnsi="Segoe UI Symbol" w:cs="Segoe UI Symbol"/>
          <w:color w:val="000000"/>
          <w:sz w:val="20"/>
          <w:szCs w:val="20"/>
        </w:rPr>
        <w:t>☒</w:t>
      </w:r>
    </w:p>
    <w:p w:rsidR="00000000" w:rsidRDefault="002223F7">
      <w:pPr>
        <w:jc w:val="both"/>
        <w:divId w:val="854686365"/>
        <w:rPr>
          <w:rFonts w:eastAsia="Times New Roman"/>
        </w:rPr>
      </w:pPr>
      <w:r>
        <w:rPr>
          <w:rFonts w:ascii="Arial" w:eastAsia="Times New Roman" w:hAnsi="Arial" w:cs="Arial"/>
          <w:color w:val="000000"/>
          <w:sz w:val="20"/>
          <w:szCs w:val="20"/>
        </w:rPr>
        <w:t>As of June 30, 2022, the last business day of the registrant’s most recently completed second fiscal quar</w:t>
      </w:r>
      <w:r>
        <w:rPr>
          <w:rFonts w:ascii="Arial" w:eastAsia="Times New Roman" w:hAnsi="Arial" w:cs="Arial"/>
          <w:color w:val="000000"/>
          <w:sz w:val="20"/>
          <w:szCs w:val="20"/>
        </w:rPr>
        <w:t>ter, the aggregate market value of the voting and non-voting common equity held by non-affiliates computed by reference to the market price at which the common equity was last sold was $1.237 billion.</w:t>
      </w:r>
    </w:p>
    <w:p w:rsidR="00000000" w:rsidRDefault="002223F7">
      <w:pPr>
        <w:jc w:val="both"/>
        <w:divId w:val="1999990472"/>
        <w:rPr>
          <w:rFonts w:eastAsia="Times New Roman"/>
        </w:rPr>
      </w:pPr>
      <w:r>
        <w:rPr>
          <w:rFonts w:ascii="Arial" w:eastAsia="Times New Roman" w:hAnsi="Arial" w:cs="Arial"/>
          <w:color w:val="000000"/>
          <w:sz w:val="20"/>
          <w:szCs w:val="20"/>
        </w:rPr>
        <w:t>As of February 17, 2023, the registrant had approximate</w:t>
      </w:r>
      <w:r>
        <w:rPr>
          <w:rFonts w:ascii="Arial" w:eastAsia="Times New Roman" w:hAnsi="Arial" w:cs="Arial"/>
          <w:color w:val="000000"/>
          <w:sz w:val="20"/>
          <w:szCs w:val="20"/>
        </w:rPr>
        <w:t>ly 62,042,282 shares of outstanding common stock, par value $0.01 per share.</w:t>
      </w:r>
    </w:p>
    <w:p w:rsidR="00000000" w:rsidRDefault="002223F7">
      <w:pPr>
        <w:jc w:val="both"/>
        <w:divId w:val="575670536"/>
        <w:rPr>
          <w:rFonts w:eastAsia="Times New Roman"/>
        </w:rPr>
      </w:pPr>
      <w:r>
        <w:rPr>
          <w:rFonts w:ascii="Arial" w:eastAsia="Times New Roman" w:hAnsi="Arial" w:cs="Arial"/>
          <w:b/>
          <w:bCs/>
          <w:color w:val="000000"/>
          <w:sz w:val="20"/>
          <w:szCs w:val="20"/>
        </w:rPr>
        <w:t>Documents Incorporated By Reference</w:t>
      </w:r>
    </w:p>
    <w:p w:rsidR="00000000" w:rsidRDefault="002223F7">
      <w:pPr>
        <w:jc w:val="both"/>
        <w:divId w:val="342175034"/>
        <w:rPr>
          <w:rFonts w:eastAsia="Times New Roman"/>
        </w:rPr>
      </w:pPr>
      <w:r>
        <w:rPr>
          <w:rFonts w:ascii="Arial" w:eastAsia="Times New Roman" w:hAnsi="Arial" w:cs="Arial"/>
          <w:color w:val="000000"/>
          <w:sz w:val="20"/>
          <w:szCs w:val="20"/>
        </w:rPr>
        <w:t xml:space="preserve">Portions of the registrant’s proxy statement relating to its 2023 Annual Meeting of Shareholders, to be filed with the Securities and Exchange </w:t>
      </w:r>
      <w:r>
        <w:rPr>
          <w:rFonts w:ascii="Arial" w:eastAsia="Times New Roman" w:hAnsi="Arial" w:cs="Arial"/>
          <w:color w:val="000000"/>
          <w:sz w:val="20"/>
          <w:szCs w:val="20"/>
        </w:rPr>
        <w:t>Commission pursuant to Regulation 14A under the Securities Exchange Act of 1934, are incorporated by reference to the extent set forth in Part III, Items 10-14 of this Annual Report on Form 10-K.</w:t>
      </w:r>
    </w:p>
    <w:p w:rsidR="00000000" w:rsidRDefault="002223F7">
      <w:pPr>
        <w:jc w:val="both"/>
        <w:divId w:val="696925420"/>
        <w:rPr>
          <w:rFonts w:eastAsia="Times New Roman"/>
        </w:rPr>
      </w:pPr>
    </w:p>
    <w:p w:rsidR="00000000" w:rsidRDefault="002223F7">
      <w:pPr>
        <w:rPr>
          <w:rFonts w:eastAsia="Times New Roman"/>
        </w:rPr>
      </w:pPr>
      <w:r>
        <w:rPr>
          <w:rFonts w:eastAsia="Times New Roman"/>
        </w:rPr>
        <w:pict>
          <v:rect id="_x0000_i1027" style="width:0;height:1.5pt" o:hralign="center" o:hrstd="t" o:hr="t" fillcolor="#a0a0a0" stroked="f"/>
        </w:pict>
      </w:r>
    </w:p>
    <w:p w:rsidR="00000000" w:rsidRDefault="002223F7">
      <w:pPr>
        <w:jc w:val="both"/>
        <w:divId w:val="852576323"/>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1750230537"/>
        <w:rPr>
          <w:rFonts w:eastAsia="Times New Roman"/>
        </w:rPr>
      </w:pPr>
      <w:r>
        <w:rPr>
          <w:rFonts w:ascii="Arial" w:eastAsia="Times New Roman" w:hAnsi="Arial" w:cs="Arial"/>
          <w:b/>
          <w:bCs/>
          <w:color w:val="000000"/>
        </w:rPr>
        <w:t>TABLE OF CONTENTS</w:t>
      </w:r>
    </w:p>
    <w:tbl>
      <w:tblPr>
        <w:tblW w:w="4985" w:type="pct"/>
        <w:tblCellMar>
          <w:top w:w="15" w:type="dxa"/>
          <w:left w:w="15" w:type="dxa"/>
          <w:bottom w:w="15" w:type="dxa"/>
          <w:right w:w="15" w:type="dxa"/>
        </w:tblCellMar>
        <w:tblLook w:val="04A0" w:firstRow="1" w:lastRow="0" w:firstColumn="1" w:lastColumn="0" w:noHBand="0" w:noVBand="1"/>
      </w:tblPr>
      <w:tblGrid>
        <w:gridCol w:w="63"/>
        <w:gridCol w:w="656"/>
        <w:gridCol w:w="36"/>
        <w:gridCol w:w="59"/>
        <w:gridCol w:w="6892"/>
        <w:gridCol w:w="39"/>
        <w:gridCol w:w="85"/>
        <w:gridCol w:w="415"/>
        <w:gridCol w:w="36"/>
      </w:tblGrid>
      <w:tr w:rsidR="00000000">
        <w:trPr>
          <w:divId w:val="968970962"/>
        </w:trPr>
        <w:tc>
          <w:tcPr>
            <w:tcW w:w="50" w:type="pct"/>
            <w:vAlign w:val="center"/>
            <w:hideMark/>
          </w:tcPr>
          <w:p w:rsidR="00000000" w:rsidRDefault="002223F7">
            <w:pPr>
              <w:jc w:val="both"/>
              <w:rPr>
                <w:rFonts w:eastAsia="Times New Roman"/>
              </w:rPr>
            </w:pPr>
          </w:p>
        </w:tc>
        <w:tc>
          <w:tcPr>
            <w:tcW w:w="41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17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24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968970962"/>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Page</w:t>
            </w:r>
          </w:p>
        </w:tc>
      </w:tr>
      <w:tr w:rsidR="00000000">
        <w:trPr>
          <w:divId w:val="968970962"/>
        </w:trPr>
        <w:tc>
          <w:tcPr>
            <w:tcW w:w="0" w:type="auto"/>
            <w:gridSpan w:val="3"/>
            <w:tcMar>
              <w:top w:w="30" w:type="dxa"/>
              <w:left w:w="20" w:type="dxa"/>
              <w:bottom w:w="30" w:type="dxa"/>
              <w:right w:w="20" w:type="dxa"/>
            </w:tcMar>
            <w:hideMark/>
          </w:tcPr>
          <w:p w:rsidR="00000000" w:rsidRDefault="002223F7">
            <w:pPr>
              <w:spacing w:after="100"/>
              <w:divId w:val="2146048453"/>
              <w:rPr>
                <w:rFonts w:eastAsia="Times New Roman"/>
              </w:rPr>
            </w:pPr>
            <w:hyperlink w:anchor="ic88e567e3f8642dcb6f41d9ec77f1b73_10" w:history="1">
              <w:r>
                <w:rPr>
                  <w:rStyle w:val="a3"/>
                  <w:rFonts w:ascii="Arial" w:eastAsia="Times New Roman" w:hAnsi="Arial" w:cs="Arial"/>
                  <w:b/>
                  <w:bCs/>
                  <w:sz w:val="20"/>
                  <w:szCs w:val="20"/>
                </w:rPr>
                <w:t>PART I.</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968970962"/>
        </w:trPr>
        <w:tc>
          <w:tcPr>
            <w:tcW w:w="0" w:type="auto"/>
            <w:gridSpan w:val="3"/>
            <w:tcMar>
              <w:top w:w="30" w:type="dxa"/>
              <w:left w:w="20" w:type="dxa"/>
              <w:bottom w:w="30" w:type="dxa"/>
              <w:right w:w="20" w:type="dxa"/>
            </w:tcMar>
            <w:hideMark/>
          </w:tcPr>
          <w:p w:rsidR="00000000" w:rsidRDefault="002223F7">
            <w:pPr>
              <w:spacing w:after="100"/>
              <w:divId w:val="474639355"/>
              <w:rPr>
                <w:rFonts w:eastAsia="Times New Roman"/>
              </w:rPr>
            </w:pPr>
            <w:hyperlink w:anchor="ic88e567e3f8642dcb6f41d9ec77f1b73_13" w:history="1">
              <w:r>
                <w:rPr>
                  <w:rStyle w:val="a3"/>
                  <w:rFonts w:ascii="Arial" w:eastAsia="Times New Roman" w:hAnsi="Arial" w:cs="Arial"/>
                  <w:sz w:val="20"/>
                  <w:szCs w:val="20"/>
                </w:rPr>
                <w:t>Item 1.</w:t>
              </w:r>
            </w:hyperlink>
          </w:p>
        </w:tc>
        <w:tc>
          <w:tcPr>
            <w:tcW w:w="0" w:type="auto"/>
            <w:gridSpan w:val="3"/>
            <w:tcMar>
              <w:top w:w="30" w:type="dxa"/>
              <w:left w:w="20" w:type="dxa"/>
              <w:bottom w:w="30" w:type="dxa"/>
              <w:right w:w="20" w:type="dxa"/>
            </w:tcMar>
            <w:hideMark/>
          </w:tcPr>
          <w:p w:rsidR="00000000" w:rsidRDefault="002223F7">
            <w:pPr>
              <w:spacing w:after="100"/>
              <w:divId w:val="926840910"/>
              <w:rPr>
                <w:rFonts w:eastAsia="Times New Roman"/>
              </w:rPr>
            </w:pPr>
            <w:hyperlink w:anchor="ic88e567e3f8642dcb6f41d9ec77f1b73_13" w:history="1">
              <w:r>
                <w:rPr>
                  <w:rStyle w:val="a3"/>
                  <w:rFonts w:ascii="Arial" w:eastAsia="Times New Roman" w:hAnsi="Arial" w:cs="Arial"/>
                  <w:sz w:val="20"/>
                  <w:szCs w:val="20"/>
                </w:rPr>
                <w:t>Business</w:t>
              </w:r>
            </w:hyperlink>
          </w:p>
        </w:tc>
        <w:tc>
          <w:tcPr>
            <w:tcW w:w="0" w:type="auto"/>
            <w:gridSpan w:val="3"/>
            <w:tcMar>
              <w:top w:w="30" w:type="dxa"/>
              <w:left w:w="20" w:type="dxa"/>
              <w:bottom w:w="30" w:type="dxa"/>
              <w:right w:w="20" w:type="dxa"/>
            </w:tcMar>
            <w:hideMark/>
          </w:tcPr>
          <w:p w:rsidR="00000000" w:rsidRDefault="002223F7">
            <w:pPr>
              <w:spacing w:after="100"/>
              <w:jc w:val="center"/>
              <w:rPr>
                <w:rFonts w:eastAsia="Times New Roman"/>
              </w:rPr>
            </w:pPr>
            <w:hyperlink w:anchor="ic88e567e3f8642dcb6f41d9ec77f1b73_13" w:history="1">
              <w:r>
                <w:rPr>
                  <w:rStyle w:val="a3"/>
                  <w:rFonts w:ascii="Arial" w:eastAsia="Times New Roman" w:hAnsi="Arial" w:cs="Arial"/>
                  <w:sz w:val="20"/>
                  <w:szCs w:val="20"/>
                  <w:u w:val="none"/>
                </w:rPr>
                <w:t>1</w:t>
              </w:r>
            </w:hyperlink>
          </w:p>
        </w:tc>
      </w:tr>
      <w:tr w:rsidR="00000000">
        <w:trPr>
          <w:divId w:val="968970962"/>
        </w:trPr>
        <w:tc>
          <w:tcPr>
            <w:tcW w:w="0" w:type="auto"/>
            <w:gridSpan w:val="3"/>
            <w:tcMar>
              <w:top w:w="30" w:type="dxa"/>
              <w:left w:w="20" w:type="dxa"/>
              <w:bottom w:w="30" w:type="dxa"/>
              <w:right w:w="20" w:type="dxa"/>
            </w:tcMar>
            <w:hideMark/>
          </w:tcPr>
          <w:p w:rsidR="00000000" w:rsidRDefault="002223F7">
            <w:pPr>
              <w:spacing w:after="100"/>
              <w:divId w:val="1660883064"/>
              <w:rPr>
                <w:rFonts w:eastAsia="Times New Roman"/>
              </w:rPr>
            </w:pPr>
            <w:hyperlink w:anchor="ic88e567e3f8642dcb6f41d9ec77f1b73_16" w:history="1">
              <w:r>
                <w:rPr>
                  <w:rStyle w:val="a3"/>
                  <w:rFonts w:ascii="Arial" w:eastAsia="Times New Roman" w:hAnsi="Arial" w:cs="Arial"/>
                  <w:sz w:val="20"/>
                  <w:szCs w:val="20"/>
                </w:rPr>
                <w:t>Item 1A.</w:t>
              </w:r>
            </w:hyperlink>
          </w:p>
        </w:tc>
        <w:tc>
          <w:tcPr>
            <w:tcW w:w="0" w:type="auto"/>
            <w:gridSpan w:val="3"/>
            <w:tcMar>
              <w:top w:w="30" w:type="dxa"/>
              <w:left w:w="20" w:type="dxa"/>
              <w:bottom w:w="30" w:type="dxa"/>
              <w:right w:w="20" w:type="dxa"/>
            </w:tcMar>
            <w:hideMark/>
          </w:tcPr>
          <w:p w:rsidR="00000000" w:rsidRDefault="002223F7">
            <w:pPr>
              <w:spacing w:after="100"/>
              <w:divId w:val="1678653535"/>
              <w:rPr>
                <w:rFonts w:eastAsia="Times New Roman"/>
              </w:rPr>
            </w:pPr>
            <w:hyperlink w:anchor="ic88e567e3f8642dcb6f41d9ec77f1b73_16" w:history="1">
              <w:r>
                <w:rPr>
                  <w:rStyle w:val="a3"/>
                  <w:rFonts w:ascii="Arial" w:eastAsia="Times New Roman" w:hAnsi="Arial" w:cs="Arial"/>
                  <w:sz w:val="20"/>
                  <w:szCs w:val="20"/>
                </w:rPr>
                <w:t>Risk Factors</w:t>
              </w:r>
            </w:hyperlink>
          </w:p>
        </w:tc>
        <w:tc>
          <w:tcPr>
            <w:tcW w:w="0" w:type="auto"/>
            <w:gridSpan w:val="3"/>
            <w:tcMar>
              <w:top w:w="30" w:type="dxa"/>
              <w:left w:w="20" w:type="dxa"/>
              <w:bottom w:w="30" w:type="dxa"/>
              <w:right w:w="20" w:type="dxa"/>
            </w:tcMar>
            <w:hideMark/>
          </w:tcPr>
          <w:p w:rsidR="00000000" w:rsidRDefault="002223F7">
            <w:pPr>
              <w:spacing w:after="100"/>
              <w:jc w:val="center"/>
              <w:rPr>
                <w:rFonts w:eastAsia="Times New Roman"/>
              </w:rPr>
            </w:pPr>
            <w:hyperlink w:anchor="ic88e567e3f8642dcb6f41d9ec77f1b73_16" w:history="1">
              <w:r>
                <w:rPr>
                  <w:rStyle w:val="a3"/>
                  <w:rFonts w:ascii="Arial" w:eastAsia="Times New Roman" w:hAnsi="Arial" w:cs="Arial"/>
                  <w:sz w:val="20"/>
                  <w:szCs w:val="20"/>
                  <w:u w:val="none"/>
                </w:rPr>
                <w:t>8</w:t>
              </w:r>
            </w:hyperlink>
          </w:p>
        </w:tc>
      </w:tr>
      <w:tr w:rsidR="00000000">
        <w:trPr>
          <w:divId w:val="968970962"/>
        </w:trPr>
        <w:tc>
          <w:tcPr>
            <w:tcW w:w="0" w:type="auto"/>
            <w:gridSpan w:val="3"/>
            <w:tcMar>
              <w:top w:w="30" w:type="dxa"/>
              <w:left w:w="20" w:type="dxa"/>
              <w:bottom w:w="30" w:type="dxa"/>
              <w:right w:w="20" w:type="dxa"/>
            </w:tcMar>
            <w:hideMark/>
          </w:tcPr>
          <w:p w:rsidR="00000000" w:rsidRDefault="002223F7">
            <w:pPr>
              <w:spacing w:after="100"/>
              <w:divId w:val="735318009"/>
              <w:rPr>
                <w:rFonts w:eastAsia="Times New Roman"/>
              </w:rPr>
            </w:pPr>
            <w:hyperlink w:anchor="ic88e567e3f8642dcb6f41d9ec77f1b73_19" w:history="1">
              <w:r>
                <w:rPr>
                  <w:rStyle w:val="a3"/>
                  <w:rFonts w:ascii="Arial" w:eastAsia="Times New Roman" w:hAnsi="Arial" w:cs="Arial"/>
                  <w:sz w:val="20"/>
                  <w:szCs w:val="20"/>
                </w:rPr>
                <w:t>Item 1B.</w:t>
              </w:r>
            </w:hyperlink>
          </w:p>
        </w:tc>
        <w:tc>
          <w:tcPr>
            <w:tcW w:w="0" w:type="auto"/>
            <w:gridSpan w:val="3"/>
            <w:tcMar>
              <w:top w:w="30" w:type="dxa"/>
              <w:left w:w="20" w:type="dxa"/>
              <w:bottom w:w="30" w:type="dxa"/>
              <w:right w:w="20" w:type="dxa"/>
            </w:tcMar>
            <w:hideMark/>
          </w:tcPr>
          <w:p w:rsidR="00000000" w:rsidRDefault="002223F7">
            <w:pPr>
              <w:spacing w:after="100"/>
              <w:divId w:val="1443183332"/>
              <w:rPr>
                <w:rFonts w:eastAsia="Times New Roman"/>
              </w:rPr>
            </w:pPr>
            <w:hyperlink w:anchor="ic88e567e3f8642dcb6f41d9ec77f1b73_19" w:history="1">
              <w:r>
                <w:rPr>
                  <w:rStyle w:val="a3"/>
                  <w:rFonts w:ascii="Arial" w:eastAsia="Times New Roman" w:hAnsi="Arial" w:cs="Arial"/>
                  <w:sz w:val="20"/>
                  <w:szCs w:val="20"/>
                </w:rPr>
                <w:t>Unresolved Staff Comments</w:t>
              </w:r>
            </w:hyperlink>
          </w:p>
        </w:tc>
        <w:tc>
          <w:tcPr>
            <w:tcW w:w="0" w:type="auto"/>
            <w:gridSpan w:val="3"/>
            <w:tcMar>
              <w:top w:w="30" w:type="dxa"/>
              <w:left w:w="20" w:type="dxa"/>
              <w:bottom w:w="30" w:type="dxa"/>
              <w:right w:w="20" w:type="dxa"/>
            </w:tcMar>
            <w:hideMark/>
          </w:tcPr>
          <w:p w:rsidR="00000000" w:rsidRDefault="002223F7">
            <w:pPr>
              <w:spacing w:after="100"/>
              <w:jc w:val="center"/>
              <w:rPr>
                <w:rFonts w:eastAsia="Times New Roman"/>
              </w:rPr>
            </w:pPr>
            <w:hyperlink w:anchor="ic88e567e3f8642dcb6f41d9ec77f1b73_19" w:history="1">
              <w:r>
                <w:rPr>
                  <w:rStyle w:val="a3"/>
                  <w:rFonts w:ascii="Arial" w:eastAsia="Times New Roman" w:hAnsi="Arial" w:cs="Arial"/>
                  <w:sz w:val="20"/>
                  <w:szCs w:val="20"/>
                  <w:u w:val="none"/>
                </w:rPr>
                <w:t>20</w:t>
              </w:r>
            </w:hyperlink>
          </w:p>
        </w:tc>
      </w:tr>
      <w:tr w:rsidR="00000000">
        <w:trPr>
          <w:divId w:val="968970962"/>
        </w:trPr>
        <w:tc>
          <w:tcPr>
            <w:tcW w:w="0" w:type="auto"/>
            <w:gridSpan w:val="3"/>
            <w:tcMar>
              <w:top w:w="30" w:type="dxa"/>
              <w:left w:w="20" w:type="dxa"/>
              <w:bottom w:w="30" w:type="dxa"/>
              <w:right w:w="20" w:type="dxa"/>
            </w:tcMar>
            <w:hideMark/>
          </w:tcPr>
          <w:p w:rsidR="00000000" w:rsidRDefault="002223F7">
            <w:pPr>
              <w:spacing w:after="100"/>
              <w:divId w:val="1664121478"/>
              <w:rPr>
                <w:rFonts w:eastAsia="Times New Roman"/>
              </w:rPr>
            </w:pPr>
            <w:hyperlink w:anchor="ic88e567e3f8642dcb6f41d9ec77f1b73_22" w:history="1">
              <w:r>
                <w:rPr>
                  <w:rStyle w:val="a3"/>
                  <w:rFonts w:ascii="Arial" w:eastAsia="Times New Roman" w:hAnsi="Arial" w:cs="Arial"/>
                  <w:sz w:val="20"/>
                  <w:szCs w:val="20"/>
                </w:rPr>
                <w:t>Item 2.</w:t>
              </w:r>
            </w:hyperlink>
          </w:p>
        </w:tc>
        <w:tc>
          <w:tcPr>
            <w:tcW w:w="0" w:type="auto"/>
            <w:gridSpan w:val="3"/>
            <w:tcMar>
              <w:top w:w="30" w:type="dxa"/>
              <w:left w:w="20" w:type="dxa"/>
              <w:bottom w:w="30" w:type="dxa"/>
              <w:right w:w="20" w:type="dxa"/>
            </w:tcMar>
            <w:hideMark/>
          </w:tcPr>
          <w:p w:rsidR="00000000" w:rsidRDefault="002223F7">
            <w:pPr>
              <w:spacing w:after="100"/>
              <w:divId w:val="515114104"/>
              <w:rPr>
                <w:rFonts w:eastAsia="Times New Roman"/>
              </w:rPr>
            </w:pPr>
            <w:hyperlink w:anchor="ic88e567e3f8642dcb6f41d9ec77f1b73_22" w:history="1">
              <w:r>
                <w:rPr>
                  <w:rStyle w:val="a3"/>
                  <w:rFonts w:ascii="Arial" w:eastAsia="Times New Roman" w:hAnsi="Arial" w:cs="Arial"/>
                  <w:sz w:val="20"/>
                  <w:szCs w:val="20"/>
                </w:rPr>
                <w:t>Properties</w:t>
              </w:r>
            </w:hyperlink>
          </w:p>
        </w:tc>
        <w:tc>
          <w:tcPr>
            <w:tcW w:w="0" w:type="auto"/>
            <w:gridSpan w:val="3"/>
            <w:tcMar>
              <w:top w:w="30" w:type="dxa"/>
              <w:left w:w="20" w:type="dxa"/>
              <w:bottom w:w="30" w:type="dxa"/>
              <w:right w:w="20" w:type="dxa"/>
            </w:tcMar>
            <w:hideMark/>
          </w:tcPr>
          <w:p w:rsidR="00000000" w:rsidRDefault="002223F7">
            <w:pPr>
              <w:spacing w:after="100"/>
              <w:jc w:val="center"/>
              <w:rPr>
                <w:rFonts w:eastAsia="Times New Roman"/>
              </w:rPr>
            </w:pPr>
            <w:hyperlink w:anchor="ic88e567e3f8642dcb6f41d9ec77f1b73_22" w:history="1">
              <w:r>
                <w:rPr>
                  <w:rStyle w:val="a3"/>
                  <w:rFonts w:ascii="Arial" w:eastAsia="Times New Roman" w:hAnsi="Arial" w:cs="Arial"/>
                  <w:sz w:val="20"/>
                  <w:szCs w:val="20"/>
                  <w:u w:val="none"/>
                </w:rPr>
                <w:t>20</w:t>
              </w:r>
            </w:hyperlink>
          </w:p>
        </w:tc>
      </w:tr>
      <w:tr w:rsidR="00000000">
        <w:trPr>
          <w:divId w:val="968970962"/>
        </w:trPr>
        <w:tc>
          <w:tcPr>
            <w:tcW w:w="0" w:type="auto"/>
            <w:gridSpan w:val="3"/>
            <w:tcMar>
              <w:top w:w="30" w:type="dxa"/>
              <w:left w:w="20" w:type="dxa"/>
              <w:bottom w:w="30" w:type="dxa"/>
              <w:right w:w="20" w:type="dxa"/>
            </w:tcMar>
            <w:hideMark/>
          </w:tcPr>
          <w:p w:rsidR="00000000" w:rsidRDefault="002223F7">
            <w:pPr>
              <w:spacing w:after="100"/>
              <w:divId w:val="2055737335"/>
              <w:rPr>
                <w:rFonts w:eastAsia="Times New Roman"/>
              </w:rPr>
            </w:pPr>
            <w:hyperlink w:anchor="ic88e567e3f8642dcb6f41d9ec77f1b73_25" w:history="1">
              <w:r>
                <w:rPr>
                  <w:rStyle w:val="a3"/>
                  <w:rFonts w:ascii="Arial" w:eastAsia="Times New Roman" w:hAnsi="Arial" w:cs="Arial"/>
                  <w:sz w:val="20"/>
                  <w:szCs w:val="20"/>
                </w:rPr>
                <w:t>Item 3.</w:t>
              </w:r>
            </w:hyperlink>
          </w:p>
        </w:tc>
        <w:tc>
          <w:tcPr>
            <w:tcW w:w="0" w:type="auto"/>
            <w:gridSpan w:val="3"/>
            <w:tcMar>
              <w:top w:w="30" w:type="dxa"/>
              <w:left w:w="20" w:type="dxa"/>
              <w:bottom w:w="30" w:type="dxa"/>
              <w:right w:w="20" w:type="dxa"/>
            </w:tcMar>
            <w:hideMark/>
          </w:tcPr>
          <w:p w:rsidR="00000000" w:rsidRDefault="002223F7">
            <w:pPr>
              <w:spacing w:after="100"/>
              <w:divId w:val="312025447"/>
              <w:rPr>
                <w:rFonts w:eastAsia="Times New Roman"/>
              </w:rPr>
            </w:pPr>
            <w:hyperlink w:anchor="ic88e567e3f8642dcb6f41d9ec77f1b73_25" w:history="1">
              <w:r>
                <w:rPr>
                  <w:rStyle w:val="a3"/>
                  <w:rFonts w:ascii="Arial" w:eastAsia="Times New Roman" w:hAnsi="Arial" w:cs="Arial"/>
                  <w:sz w:val="20"/>
                  <w:szCs w:val="20"/>
                </w:rPr>
                <w:t>Legal Proceedings</w:t>
              </w:r>
            </w:hyperlink>
          </w:p>
        </w:tc>
        <w:tc>
          <w:tcPr>
            <w:tcW w:w="0" w:type="auto"/>
            <w:gridSpan w:val="3"/>
            <w:tcMar>
              <w:top w:w="30" w:type="dxa"/>
              <w:left w:w="20" w:type="dxa"/>
              <w:bottom w:w="30" w:type="dxa"/>
              <w:right w:w="20" w:type="dxa"/>
            </w:tcMar>
            <w:hideMark/>
          </w:tcPr>
          <w:p w:rsidR="00000000" w:rsidRDefault="002223F7">
            <w:pPr>
              <w:spacing w:after="100"/>
              <w:jc w:val="center"/>
              <w:rPr>
                <w:rFonts w:eastAsia="Times New Roman"/>
              </w:rPr>
            </w:pPr>
            <w:hyperlink w:anchor="ic88e567e3f8642dcb6f41d9ec77f1b73_25" w:history="1">
              <w:r>
                <w:rPr>
                  <w:rStyle w:val="a3"/>
                  <w:rFonts w:ascii="Arial" w:eastAsia="Times New Roman" w:hAnsi="Arial" w:cs="Arial"/>
                  <w:sz w:val="20"/>
                  <w:szCs w:val="20"/>
                  <w:u w:val="none"/>
                </w:rPr>
                <w:t>20</w:t>
              </w:r>
            </w:hyperlink>
          </w:p>
        </w:tc>
      </w:tr>
      <w:tr w:rsidR="00000000">
        <w:trPr>
          <w:divId w:val="968970962"/>
        </w:trPr>
        <w:tc>
          <w:tcPr>
            <w:tcW w:w="0" w:type="auto"/>
            <w:gridSpan w:val="3"/>
            <w:tcMar>
              <w:top w:w="30" w:type="dxa"/>
              <w:left w:w="20" w:type="dxa"/>
              <w:bottom w:w="30" w:type="dxa"/>
              <w:right w:w="20" w:type="dxa"/>
            </w:tcMar>
            <w:hideMark/>
          </w:tcPr>
          <w:p w:rsidR="00000000" w:rsidRDefault="002223F7">
            <w:pPr>
              <w:spacing w:after="100"/>
              <w:divId w:val="1928688285"/>
              <w:rPr>
                <w:rFonts w:eastAsia="Times New Roman"/>
              </w:rPr>
            </w:pPr>
            <w:hyperlink w:anchor="ic88e567e3f8642dcb6f41d9ec77f1b73_28" w:history="1">
              <w:r>
                <w:rPr>
                  <w:rStyle w:val="a3"/>
                  <w:rFonts w:ascii="Arial" w:eastAsia="Times New Roman" w:hAnsi="Arial" w:cs="Arial"/>
                  <w:sz w:val="20"/>
                  <w:szCs w:val="20"/>
                </w:rPr>
                <w:t>Item 4.</w:t>
              </w:r>
            </w:hyperlink>
          </w:p>
        </w:tc>
        <w:tc>
          <w:tcPr>
            <w:tcW w:w="0" w:type="auto"/>
            <w:gridSpan w:val="3"/>
            <w:tcMar>
              <w:top w:w="30" w:type="dxa"/>
              <w:left w:w="20" w:type="dxa"/>
              <w:bottom w:w="30" w:type="dxa"/>
              <w:right w:w="20" w:type="dxa"/>
            </w:tcMar>
            <w:hideMark/>
          </w:tcPr>
          <w:p w:rsidR="00000000" w:rsidRDefault="002223F7">
            <w:pPr>
              <w:spacing w:after="100"/>
              <w:divId w:val="434176100"/>
              <w:rPr>
                <w:rFonts w:eastAsia="Times New Roman"/>
              </w:rPr>
            </w:pPr>
            <w:hyperlink w:anchor="ic88e567e3f8642dcb6f41d9ec77f1b73_28" w:history="1">
              <w:r>
                <w:rPr>
                  <w:rStyle w:val="a3"/>
                  <w:rFonts w:ascii="Arial" w:eastAsia="Times New Roman" w:hAnsi="Arial" w:cs="Arial"/>
                  <w:sz w:val="20"/>
                  <w:szCs w:val="20"/>
                </w:rPr>
                <w:t>Mine Safety Disclosures</w:t>
              </w:r>
            </w:hyperlink>
          </w:p>
        </w:tc>
        <w:tc>
          <w:tcPr>
            <w:tcW w:w="0" w:type="auto"/>
            <w:gridSpan w:val="3"/>
            <w:tcMar>
              <w:top w:w="30" w:type="dxa"/>
              <w:left w:w="20" w:type="dxa"/>
              <w:bottom w:w="30" w:type="dxa"/>
              <w:right w:w="20" w:type="dxa"/>
            </w:tcMar>
            <w:hideMark/>
          </w:tcPr>
          <w:p w:rsidR="00000000" w:rsidRDefault="002223F7">
            <w:pPr>
              <w:spacing w:after="100"/>
              <w:jc w:val="center"/>
              <w:rPr>
                <w:rFonts w:eastAsia="Times New Roman"/>
              </w:rPr>
            </w:pPr>
            <w:hyperlink w:anchor="ic88e567e3f8642dcb6f41d9ec77f1b73_28" w:history="1">
              <w:r>
                <w:rPr>
                  <w:rStyle w:val="a3"/>
                  <w:rFonts w:ascii="Arial" w:eastAsia="Times New Roman" w:hAnsi="Arial" w:cs="Arial"/>
                  <w:sz w:val="20"/>
                  <w:szCs w:val="20"/>
                  <w:u w:val="none"/>
                </w:rPr>
                <w:t>20</w:t>
              </w:r>
            </w:hyperlink>
          </w:p>
        </w:tc>
      </w:tr>
      <w:tr w:rsidR="00000000">
        <w:trPr>
          <w:divId w:val="968970962"/>
          <w:trHeight w:val="60"/>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968970962"/>
        </w:trPr>
        <w:tc>
          <w:tcPr>
            <w:tcW w:w="0" w:type="auto"/>
            <w:gridSpan w:val="3"/>
            <w:tcMar>
              <w:top w:w="30" w:type="dxa"/>
              <w:left w:w="20" w:type="dxa"/>
              <w:bottom w:w="30" w:type="dxa"/>
              <w:right w:w="20" w:type="dxa"/>
            </w:tcMar>
            <w:hideMark/>
          </w:tcPr>
          <w:p w:rsidR="00000000" w:rsidRDefault="002223F7">
            <w:pPr>
              <w:spacing w:after="100"/>
              <w:divId w:val="81336524"/>
              <w:rPr>
                <w:rFonts w:eastAsia="Times New Roman"/>
              </w:rPr>
            </w:pPr>
            <w:hyperlink w:anchor="ic88e567e3f8642dcb6f41d9ec77f1b73_31" w:history="1">
              <w:r>
                <w:rPr>
                  <w:rStyle w:val="a3"/>
                  <w:rFonts w:ascii="Arial" w:eastAsia="Times New Roman" w:hAnsi="Arial" w:cs="Arial"/>
                  <w:b/>
                  <w:bCs/>
                  <w:sz w:val="20"/>
                  <w:szCs w:val="20"/>
                </w:rPr>
                <w:t>PART II.</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968970962"/>
        </w:trPr>
        <w:tc>
          <w:tcPr>
            <w:tcW w:w="0" w:type="auto"/>
            <w:gridSpan w:val="3"/>
            <w:tcMar>
              <w:top w:w="30" w:type="dxa"/>
              <w:left w:w="20" w:type="dxa"/>
              <w:bottom w:w="30" w:type="dxa"/>
              <w:right w:w="20" w:type="dxa"/>
            </w:tcMar>
            <w:hideMark/>
          </w:tcPr>
          <w:p w:rsidR="00000000" w:rsidRDefault="002223F7">
            <w:pPr>
              <w:spacing w:after="100"/>
              <w:divId w:val="1786339502"/>
              <w:rPr>
                <w:rFonts w:eastAsia="Times New Roman"/>
              </w:rPr>
            </w:pPr>
            <w:hyperlink w:anchor="ic88e567e3f8642dcb6f41d9ec77f1b73_34" w:history="1">
              <w:r>
                <w:rPr>
                  <w:rStyle w:val="a3"/>
                  <w:rFonts w:ascii="Arial" w:eastAsia="Times New Roman" w:hAnsi="Arial" w:cs="Arial"/>
                  <w:sz w:val="20"/>
                  <w:szCs w:val="20"/>
                </w:rPr>
                <w:t>Item 5.</w:t>
              </w:r>
            </w:hyperlink>
          </w:p>
        </w:tc>
        <w:tc>
          <w:tcPr>
            <w:tcW w:w="0" w:type="auto"/>
            <w:gridSpan w:val="3"/>
            <w:tcMar>
              <w:top w:w="30" w:type="dxa"/>
              <w:left w:w="20" w:type="dxa"/>
              <w:bottom w:w="30" w:type="dxa"/>
              <w:right w:w="20" w:type="dxa"/>
            </w:tcMar>
            <w:hideMark/>
          </w:tcPr>
          <w:p w:rsidR="00000000" w:rsidRDefault="002223F7">
            <w:pPr>
              <w:spacing w:after="100"/>
              <w:divId w:val="612635289"/>
              <w:rPr>
                <w:rFonts w:eastAsia="Times New Roman"/>
              </w:rPr>
            </w:pPr>
            <w:hyperlink w:anchor="ic88e567e3f8642dcb6f41d9ec77f1b73_34" w:history="1">
              <w:r>
                <w:rPr>
                  <w:rStyle w:val="a3"/>
                  <w:rFonts w:ascii="Arial" w:eastAsia="Times New Roman" w:hAnsi="Arial" w:cs="Arial"/>
                  <w:sz w:val="20"/>
                  <w:szCs w:val="20"/>
                </w:rPr>
                <w:t>Market for Registrant’s Common Equity, Related Shareholder Matters and Issuer Purchases of Equity Securities</w:t>
              </w:r>
            </w:hyperlink>
          </w:p>
        </w:tc>
        <w:tc>
          <w:tcPr>
            <w:tcW w:w="0" w:type="auto"/>
            <w:gridSpan w:val="3"/>
            <w:tcMar>
              <w:top w:w="30" w:type="dxa"/>
              <w:left w:w="20" w:type="dxa"/>
              <w:bottom w:w="30" w:type="dxa"/>
              <w:right w:w="20" w:type="dxa"/>
            </w:tcMar>
            <w:hideMark/>
          </w:tcPr>
          <w:p w:rsidR="00000000" w:rsidRDefault="002223F7">
            <w:pPr>
              <w:spacing w:after="100"/>
              <w:jc w:val="center"/>
              <w:rPr>
                <w:rFonts w:eastAsia="Times New Roman"/>
              </w:rPr>
            </w:pPr>
            <w:hyperlink w:anchor="ic88e567e3f8642dcb6f41d9ec77f1b73_34" w:history="1">
              <w:r>
                <w:rPr>
                  <w:rStyle w:val="a3"/>
                  <w:rFonts w:ascii="Arial" w:eastAsia="Times New Roman" w:hAnsi="Arial" w:cs="Arial"/>
                  <w:sz w:val="20"/>
                  <w:szCs w:val="20"/>
                  <w:u w:val="none"/>
                </w:rPr>
                <w:t>21</w:t>
              </w:r>
            </w:hyperlink>
          </w:p>
        </w:tc>
      </w:tr>
      <w:tr w:rsidR="00000000">
        <w:trPr>
          <w:divId w:val="968970962"/>
        </w:trPr>
        <w:tc>
          <w:tcPr>
            <w:tcW w:w="0" w:type="auto"/>
            <w:gridSpan w:val="3"/>
            <w:tcMar>
              <w:top w:w="30" w:type="dxa"/>
              <w:left w:w="20" w:type="dxa"/>
              <w:bottom w:w="30" w:type="dxa"/>
              <w:right w:w="20" w:type="dxa"/>
            </w:tcMar>
            <w:hideMark/>
          </w:tcPr>
          <w:p w:rsidR="00000000" w:rsidRDefault="002223F7">
            <w:pPr>
              <w:spacing w:after="100"/>
              <w:divId w:val="313265976"/>
              <w:rPr>
                <w:rFonts w:eastAsia="Times New Roman"/>
              </w:rPr>
            </w:pPr>
            <w:hyperlink w:anchor="ic88e567e3f8642dcb6f41d9ec77f1b73_37" w:history="1">
              <w:r>
                <w:rPr>
                  <w:rStyle w:val="a3"/>
                  <w:rFonts w:ascii="Arial" w:eastAsia="Times New Roman" w:hAnsi="Arial" w:cs="Arial"/>
                  <w:sz w:val="20"/>
                  <w:szCs w:val="20"/>
                </w:rPr>
                <w:t>Item 6.</w:t>
              </w:r>
            </w:hyperlink>
          </w:p>
        </w:tc>
        <w:tc>
          <w:tcPr>
            <w:tcW w:w="0" w:type="auto"/>
            <w:gridSpan w:val="3"/>
            <w:tcMar>
              <w:top w:w="30" w:type="dxa"/>
              <w:left w:w="20" w:type="dxa"/>
              <w:bottom w:w="30" w:type="dxa"/>
              <w:right w:w="20" w:type="dxa"/>
            </w:tcMar>
            <w:hideMark/>
          </w:tcPr>
          <w:p w:rsidR="00000000" w:rsidRDefault="002223F7">
            <w:pPr>
              <w:spacing w:after="100"/>
              <w:divId w:val="1354526890"/>
              <w:rPr>
                <w:rFonts w:eastAsia="Times New Roman"/>
              </w:rPr>
            </w:pPr>
            <w:hyperlink w:anchor="ic88e567e3f8642dcb6f41d9ec77f1b73_37" w:history="1">
              <w:r>
                <w:rPr>
                  <w:rStyle w:val="a3"/>
                  <w:rFonts w:ascii="Arial" w:eastAsia="Times New Roman" w:hAnsi="Arial" w:cs="Arial"/>
                  <w:sz w:val="20"/>
                  <w:szCs w:val="20"/>
                </w:rPr>
                <w:t>Reserved</w:t>
              </w:r>
            </w:hyperlink>
          </w:p>
        </w:tc>
        <w:tc>
          <w:tcPr>
            <w:tcW w:w="0" w:type="auto"/>
            <w:gridSpan w:val="3"/>
            <w:tcMar>
              <w:top w:w="30" w:type="dxa"/>
              <w:left w:w="20" w:type="dxa"/>
              <w:bottom w:w="30" w:type="dxa"/>
              <w:right w:w="20" w:type="dxa"/>
            </w:tcMar>
            <w:hideMark/>
          </w:tcPr>
          <w:p w:rsidR="00000000" w:rsidRDefault="002223F7">
            <w:pPr>
              <w:spacing w:after="100"/>
              <w:jc w:val="center"/>
              <w:rPr>
                <w:rFonts w:eastAsia="Times New Roman"/>
              </w:rPr>
            </w:pPr>
            <w:hyperlink w:anchor="ic88e567e3f8642dcb6f41d9ec77f1b73_37" w:history="1">
              <w:r>
                <w:rPr>
                  <w:rStyle w:val="a3"/>
                  <w:rFonts w:ascii="Arial" w:eastAsia="Times New Roman" w:hAnsi="Arial" w:cs="Arial"/>
                  <w:sz w:val="20"/>
                  <w:szCs w:val="20"/>
                  <w:u w:val="none"/>
                </w:rPr>
                <w:t>22</w:t>
              </w:r>
            </w:hyperlink>
          </w:p>
        </w:tc>
      </w:tr>
      <w:tr w:rsidR="00000000">
        <w:trPr>
          <w:divId w:val="968970962"/>
        </w:trPr>
        <w:tc>
          <w:tcPr>
            <w:tcW w:w="0" w:type="auto"/>
            <w:gridSpan w:val="3"/>
            <w:tcMar>
              <w:top w:w="30" w:type="dxa"/>
              <w:left w:w="20" w:type="dxa"/>
              <w:bottom w:w="30" w:type="dxa"/>
              <w:right w:w="20" w:type="dxa"/>
            </w:tcMar>
            <w:hideMark/>
          </w:tcPr>
          <w:p w:rsidR="00000000" w:rsidRDefault="002223F7">
            <w:pPr>
              <w:spacing w:after="100"/>
              <w:divId w:val="1476483329"/>
              <w:rPr>
                <w:rFonts w:eastAsia="Times New Roman"/>
              </w:rPr>
            </w:pPr>
            <w:hyperlink w:anchor="ic88e567e3f8642dcb6f41d9ec77f1b73_40" w:history="1">
              <w:r>
                <w:rPr>
                  <w:rStyle w:val="a3"/>
                  <w:rFonts w:ascii="Arial" w:eastAsia="Times New Roman" w:hAnsi="Arial" w:cs="Arial"/>
                  <w:sz w:val="20"/>
                  <w:szCs w:val="20"/>
                </w:rPr>
                <w:t>Item 7.</w:t>
              </w:r>
            </w:hyperlink>
          </w:p>
        </w:tc>
        <w:tc>
          <w:tcPr>
            <w:tcW w:w="0" w:type="auto"/>
            <w:gridSpan w:val="3"/>
            <w:tcMar>
              <w:top w:w="30" w:type="dxa"/>
              <w:left w:w="20" w:type="dxa"/>
              <w:bottom w:w="30" w:type="dxa"/>
              <w:right w:w="20" w:type="dxa"/>
            </w:tcMar>
            <w:hideMark/>
          </w:tcPr>
          <w:p w:rsidR="00000000" w:rsidRDefault="002223F7">
            <w:pPr>
              <w:spacing w:after="100"/>
              <w:divId w:val="714308292"/>
              <w:rPr>
                <w:rFonts w:eastAsia="Times New Roman"/>
              </w:rPr>
            </w:pPr>
            <w:hyperlink w:anchor="ic88e567e3f8642dcb6f41d9ec77f1b73_40" w:history="1">
              <w:r>
                <w:rPr>
                  <w:rStyle w:val="a3"/>
                  <w:rFonts w:ascii="Arial" w:eastAsia="Times New Roman" w:hAnsi="Arial" w:cs="Arial"/>
                  <w:sz w:val="20"/>
                  <w:szCs w:val="20"/>
                </w:rPr>
                <w:t>Management’s Discussion and Analysis of Financial Condition and</w:t>
              </w:r>
              <w:r>
                <w:rPr>
                  <w:rStyle w:val="a3"/>
                  <w:rFonts w:ascii="Arial" w:eastAsia="Times New Roman" w:hAnsi="Arial" w:cs="Arial"/>
                  <w:sz w:val="20"/>
                  <w:szCs w:val="20"/>
                </w:rPr>
                <w:t xml:space="preserve"> Results of Operations</w:t>
              </w:r>
            </w:hyperlink>
          </w:p>
        </w:tc>
        <w:tc>
          <w:tcPr>
            <w:tcW w:w="0" w:type="auto"/>
            <w:gridSpan w:val="3"/>
            <w:tcMar>
              <w:top w:w="30" w:type="dxa"/>
              <w:left w:w="20" w:type="dxa"/>
              <w:bottom w:w="30" w:type="dxa"/>
              <w:right w:w="20" w:type="dxa"/>
            </w:tcMar>
            <w:hideMark/>
          </w:tcPr>
          <w:p w:rsidR="00000000" w:rsidRDefault="002223F7">
            <w:pPr>
              <w:spacing w:after="100"/>
              <w:jc w:val="center"/>
              <w:rPr>
                <w:rFonts w:eastAsia="Times New Roman"/>
              </w:rPr>
            </w:pPr>
            <w:hyperlink w:anchor="ic88e567e3f8642dcb6f41d9ec77f1b73_40" w:history="1">
              <w:r>
                <w:rPr>
                  <w:rStyle w:val="a3"/>
                  <w:rFonts w:ascii="Arial" w:eastAsia="Times New Roman" w:hAnsi="Arial" w:cs="Arial"/>
                  <w:sz w:val="20"/>
                  <w:szCs w:val="20"/>
                  <w:u w:val="none"/>
                </w:rPr>
                <w:t>22</w:t>
              </w:r>
            </w:hyperlink>
          </w:p>
        </w:tc>
      </w:tr>
      <w:tr w:rsidR="00000000">
        <w:trPr>
          <w:divId w:val="968970962"/>
        </w:trPr>
        <w:tc>
          <w:tcPr>
            <w:tcW w:w="0" w:type="auto"/>
            <w:gridSpan w:val="3"/>
            <w:tcMar>
              <w:top w:w="30" w:type="dxa"/>
              <w:left w:w="20" w:type="dxa"/>
              <w:bottom w:w="30" w:type="dxa"/>
              <w:right w:w="20" w:type="dxa"/>
            </w:tcMar>
            <w:hideMark/>
          </w:tcPr>
          <w:p w:rsidR="00000000" w:rsidRDefault="002223F7">
            <w:pPr>
              <w:spacing w:after="100"/>
              <w:divId w:val="1518807076"/>
              <w:rPr>
                <w:rFonts w:eastAsia="Times New Roman"/>
              </w:rPr>
            </w:pPr>
            <w:hyperlink w:anchor="ic88e567e3f8642dcb6f41d9ec77f1b73_79" w:history="1">
              <w:r>
                <w:rPr>
                  <w:rStyle w:val="a3"/>
                  <w:rFonts w:ascii="Arial" w:eastAsia="Times New Roman" w:hAnsi="Arial" w:cs="Arial"/>
                  <w:sz w:val="20"/>
                  <w:szCs w:val="20"/>
                </w:rPr>
                <w:t>Item 7A.</w:t>
              </w:r>
            </w:hyperlink>
          </w:p>
        </w:tc>
        <w:tc>
          <w:tcPr>
            <w:tcW w:w="0" w:type="auto"/>
            <w:gridSpan w:val="3"/>
            <w:tcMar>
              <w:top w:w="30" w:type="dxa"/>
              <w:left w:w="20" w:type="dxa"/>
              <w:bottom w:w="30" w:type="dxa"/>
              <w:right w:w="20" w:type="dxa"/>
            </w:tcMar>
            <w:hideMark/>
          </w:tcPr>
          <w:p w:rsidR="00000000" w:rsidRDefault="002223F7">
            <w:pPr>
              <w:spacing w:after="100"/>
              <w:divId w:val="2128813475"/>
              <w:rPr>
                <w:rFonts w:eastAsia="Times New Roman"/>
              </w:rPr>
            </w:pPr>
            <w:hyperlink w:anchor="ic88e567e3f8642dcb6f41d9ec77f1b73_79" w:history="1">
              <w:r>
                <w:rPr>
                  <w:rStyle w:val="a3"/>
                  <w:rFonts w:ascii="Arial" w:eastAsia="Times New Roman" w:hAnsi="Arial" w:cs="Arial"/>
                  <w:sz w:val="20"/>
                  <w:szCs w:val="20"/>
                </w:rPr>
                <w:t>Quantitative and Qualitative Disclosures About Market Risk</w:t>
              </w:r>
            </w:hyperlink>
          </w:p>
        </w:tc>
        <w:tc>
          <w:tcPr>
            <w:tcW w:w="0" w:type="auto"/>
            <w:gridSpan w:val="3"/>
            <w:tcMar>
              <w:top w:w="30" w:type="dxa"/>
              <w:left w:w="20" w:type="dxa"/>
              <w:bottom w:w="30" w:type="dxa"/>
              <w:right w:w="20" w:type="dxa"/>
            </w:tcMar>
            <w:hideMark/>
          </w:tcPr>
          <w:p w:rsidR="00000000" w:rsidRDefault="002223F7">
            <w:pPr>
              <w:spacing w:after="100"/>
              <w:jc w:val="center"/>
              <w:rPr>
                <w:rFonts w:eastAsia="Times New Roman"/>
              </w:rPr>
            </w:pPr>
            <w:hyperlink w:anchor="ic88e567e3f8642dcb6f41d9ec77f1b73_79" w:history="1">
              <w:r>
                <w:rPr>
                  <w:rStyle w:val="a3"/>
                  <w:rFonts w:ascii="Arial" w:eastAsia="Times New Roman" w:hAnsi="Arial" w:cs="Arial"/>
                  <w:sz w:val="20"/>
                  <w:szCs w:val="20"/>
                  <w:u w:val="none"/>
                </w:rPr>
                <w:t>32</w:t>
              </w:r>
            </w:hyperlink>
          </w:p>
        </w:tc>
      </w:tr>
      <w:tr w:rsidR="00000000">
        <w:trPr>
          <w:divId w:val="968970962"/>
        </w:trPr>
        <w:tc>
          <w:tcPr>
            <w:tcW w:w="0" w:type="auto"/>
            <w:gridSpan w:val="3"/>
            <w:tcMar>
              <w:top w:w="30" w:type="dxa"/>
              <w:left w:w="20" w:type="dxa"/>
              <w:bottom w:w="30" w:type="dxa"/>
              <w:right w:w="20" w:type="dxa"/>
            </w:tcMar>
            <w:hideMark/>
          </w:tcPr>
          <w:p w:rsidR="00000000" w:rsidRDefault="002223F7">
            <w:pPr>
              <w:spacing w:after="100"/>
              <w:divId w:val="236790211"/>
              <w:rPr>
                <w:rFonts w:eastAsia="Times New Roman"/>
              </w:rPr>
            </w:pPr>
            <w:hyperlink w:anchor="ic88e567e3f8642dcb6f41d9ec77f1b73_82" w:history="1">
              <w:r>
                <w:rPr>
                  <w:rStyle w:val="a3"/>
                  <w:rFonts w:ascii="Arial" w:eastAsia="Times New Roman" w:hAnsi="Arial" w:cs="Arial"/>
                  <w:sz w:val="20"/>
                  <w:szCs w:val="20"/>
                </w:rPr>
                <w:t>Item 8.</w:t>
              </w:r>
            </w:hyperlink>
          </w:p>
        </w:tc>
        <w:tc>
          <w:tcPr>
            <w:tcW w:w="0" w:type="auto"/>
            <w:gridSpan w:val="3"/>
            <w:tcMar>
              <w:top w:w="30" w:type="dxa"/>
              <w:left w:w="20" w:type="dxa"/>
              <w:bottom w:w="30" w:type="dxa"/>
              <w:right w:w="20" w:type="dxa"/>
            </w:tcMar>
            <w:hideMark/>
          </w:tcPr>
          <w:p w:rsidR="00000000" w:rsidRDefault="002223F7">
            <w:pPr>
              <w:spacing w:after="100"/>
              <w:divId w:val="1455757728"/>
              <w:rPr>
                <w:rFonts w:eastAsia="Times New Roman"/>
              </w:rPr>
            </w:pPr>
            <w:hyperlink w:anchor="ic88e567e3f8642dcb6f41d9ec77f1b73_82" w:history="1">
              <w:r>
                <w:rPr>
                  <w:rStyle w:val="a3"/>
                  <w:rFonts w:ascii="Arial" w:eastAsia="Times New Roman" w:hAnsi="Arial" w:cs="Arial"/>
                  <w:sz w:val="20"/>
                  <w:szCs w:val="20"/>
                </w:rPr>
                <w:t>Financial Statements and Supplementary Data</w:t>
              </w:r>
            </w:hyperlink>
          </w:p>
        </w:tc>
        <w:tc>
          <w:tcPr>
            <w:tcW w:w="0" w:type="auto"/>
            <w:gridSpan w:val="3"/>
            <w:tcMar>
              <w:top w:w="30" w:type="dxa"/>
              <w:left w:w="20" w:type="dxa"/>
              <w:bottom w:w="30" w:type="dxa"/>
              <w:right w:w="20" w:type="dxa"/>
            </w:tcMar>
            <w:hideMark/>
          </w:tcPr>
          <w:p w:rsidR="00000000" w:rsidRDefault="002223F7">
            <w:pPr>
              <w:spacing w:after="100"/>
              <w:jc w:val="center"/>
              <w:rPr>
                <w:rFonts w:eastAsia="Times New Roman"/>
              </w:rPr>
            </w:pPr>
            <w:hyperlink w:anchor="ic88e567e3f8642dcb6f41d9ec77f1b73_82" w:history="1">
              <w:r>
                <w:rPr>
                  <w:rStyle w:val="a3"/>
                  <w:rFonts w:ascii="Arial" w:eastAsia="Times New Roman" w:hAnsi="Arial" w:cs="Arial"/>
                  <w:sz w:val="20"/>
                  <w:szCs w:val="20"/>
                  <w:u w:val="none"/>
                </w:rPr>
                <w:t>35</w:t>
              </w:r>
            </w:hyperlink>
          </w:p>
        </w:tc>
      </w:tr>
      <w:tr w:rsidR="00000000">
        <w:trPr>
          <w:divId w:val="968970962"/>
        </w:trPr>
        <w:tc>
          <w:tcPr>
            <w:tcW w:w="0" w:type="auto"/>
            <w:gridSpan w:val="3"/>
            <w:tcMar>
              <w:top w:w="30" w:type="dxa"/>
              <w:left w:w="20" w:type="dxa"/>
              <w:bottom w:w="30" w:type="dxa"/>
              <w:right w:w="20" w:type="dxa"/>
            </w:tcMar>
            <w:hideMark/>
          </w:tcPr>
          <w:p w:rsidR="00000000" w:rsidRDefault="002223F7">
            <w:pPr>
              <w:spacing w:after="100"/>
              <w:divId w:val="601424514"/>
              <w:rPr>
                <w:rFonts w:eastAsia="Times New Roman"/>
              </w:rPr>
            </w:pPr>
            <w:hyperlink w:anchor="ic88e567e3f8642dcb6f41d9ec77f1b73_85" w:history="1">
              <w:r>
                <w:rPr>
                  <w:rStyle w:val="a3"/>
                  <w:rFonts w:ascii="Arial" w:eastAsia="Times New Roman" w:hAnsi="Arial" w:cs="Arial"/>
                  <w:sz w:val="20"/>
                  <w:szCs w:val="20"/>
                </w:rPr>
                <w:t>Item 9.</w:t>
              </w:r>
            </w:hyperlink>
          </w:p>
        </w:tc>
        <w:tc>
          <w:tcPr>
            <w:tcW w:w="0" w:type="auto"/>
            <w:gridSpan w:val="3"/>
            <w:tcMar>
              <w:top w:w="30" w:type="dxa"/>
              <w:left w:w="20" w:type="dxa"/>
              <w:bottom w:w="30" w:type="dxa"/>
              <w:right w:w="20" w:type="dxa"/>
            </w:tcMar>
            <w:hideMark/>
          </w:tcPr>
          <w:p w:rsidR="00000000" w:rsidRDefault="002223F7">
            <w:pPr>
              <w:spacing w:after="100"/>
              <w:divId w:val="1354846885"/>
              <w:rPr>
                <w:rFonts w:eastAsia="Times New Roman"/>
              </w:rPr>
            </w:pPr>
            <w:hyperlink w:anchor="ic88e567e3f8642dcb6f41d9ec77f1b73_85" w:history="1">
              <w:r>
                <w:rPr>
                  <w:rStyle w:val="a3"/>
                  <w:rFonts w:ascii="Arial" w:eastAsia="Times New Roman" w:hAnsi="Arial" w:cs="Arial"/>
                  <w:sz w:val="20"/>
                  <w:szCs w:val="20"/>
                </w:rPr>
                <w:t>Changes in and Disagreements with Accountants on Accounting and Financial Disclosure</w:t>
              </w:r>
            </w:hyperlink>
          </w:p>
        </w:tc>
        <w:tc>
          <w:tcPr>
            <w:tcW w:w="0" w:type="auto"/>
            <w:gridSpan w:val="3"/>
            <w:tcMar>
              <w:top w:w="30" w:type="dxa"/>
              <w:left w:w="20" w:type="dxa"/>
              <w:bottom w:w="30" w:type="dxa"/>
              <w:right w:w="20" w:type="dxa"/>
            </w:tcMar>
            <w:hideMark/>
          </w:tcPr>
          <w:p w:rsidR="00000000" w:rsidRDefault="002223F7">
            <w:pPr>
              <w:spacing w:after="100"/>
              <w:jc w:val="center"/>
              <w:rPr>
                <w:rFonts w:eastAsia="Times New Roman"/>
              </w:rPr>
            </w:pPr>
            <w:hyperlink w:anchor="ic88e567e3f8642dcb6f41d9ec77f1b73_85" w:history="1">
              <w:r>
                <w:rPr>
                  <w:rStyle w:val="a3"/>
                  <w:rFonts w:ascii="Arial" w:eastAsia="Times New Roman" w:hAnsi="Arial" w:cs="Arial"/>
                  <w:sz w:val="20"/>
                  <w:szCs w:val="20"/>
                  <w:u w:val="none"/>
                </w:rPr>
                <w:t>35</w:t>
              </w:r>
            </w:hyperlink>
          </w:p>
        </w:tc>
      </w:tr>
      <w:tr w:rsidR="00000000">
        <w:trPr>
          <w:divId w:val="968970962"/>
        </w:trPr>
        <w:tc>
          <w:tcPr>
            <w:tcW w:w="0" w:type="auto"/>
            <w:gridSpan w:val="3"/>
            <w:tcMar>
              <w:top w:w="30" w:type="dxa"/>
              <w:left w:w="20" w:type="dxa"/>
              <w:bottom w:w="30" w:type="dxa"/>
              <w:right w:w="20" w:type="dxa"/>
            </w:tcMar>
            <w:hideMark/>
          </w:tcPr>
          <w:p w:rsidR="00000000" w:rsidRDefault="002223F7">
            <w:pPr>
              <w:spacing w:after="100"/>
              <w:divId w:val="755056510"/>
              <w:rPr>
                <w:rFonts w:eastAsia="Times New Roman"/>
              </w:rPr>
            </w:pPr>
            <w:hyperlink w:anchor="ic88e567e3f8642dcb6f41d9ec77f1b73_88" w:history="1">
              <w:r>
                <w:rPr>
                  <w:rStyle w:val="a3"/>
                  <w:rFonts w:ascii="Arial" w:eastAsia="Times New Roman" w:hAnsi="Arial" w:cs="Arial"/>
                  <w:sz w:val="20"/>
                  <w:szCs w:val="20"/>
                </w:rPr>
                <w:t>Item 9A.</w:t>
              </w:r>
            </w:hyperlink>
          </w:p>
        </w:tc>
        <w:tc>
          <w:tcPr>
            <w:tcW w:w="0" w:type="auto"/>
            <w:gridSpan w:val="3"/>
            <w:tcMar>
              <w:top w:w="30" w:type="dxa"/>
              <w:left w:w="20" w:type="dxa"/>
              <w:bottom w:w="30" w:type="dxa"/>
              <w:right w:w="20" w:type="dxa"/>
            </w:tcMar>
            <w:hideMark/>
          </w:tcPr>
          <w:p w:rsidR="00000000" w:rsidRDefault="002223F7">
            <w:pPr>
              <w:spacing w:after="100"/>
              <w:divId w:val="1719863932"/>
              <w:rPr>
                <w:rFonts w:eastAsia="Times New Roman"/>
              </w:rPr>
            </w:pPr>
            <w:hyperlink w:anchor="ic88e567e3f8642dcb6f41d9ec77f1b73_88" w:history="1">
              <w:r>
                <w:rPr>
                  <w:rStyle w:val="a3"/>
                  <w:rFonts w:ascii="Arial" w:eastAsia="Times New Roman" w:hAnsi="Arial" w:cs="Arial"/>
                  <w:sz w:val="20"/>
                  <w:szCs w:val="20"/>
                </w:rPr>
                <w:t>Controls and Procedures</w:t>
              </w:r>
            </w:hyperlink>
          </w:p>
        </w:tc>
        <w:tc>
          <w:tcPr>
            <w:tcW w:w="0" w:type="auto"/>
            <w:gridSpan w:val="3"/>
            <w:tcMar>
              <w:top w:w="30" w:type="dxa"/>
              <w:left w:w="20" w:type="dxa"/>
              <w:bottom w:w="30" w:type="dxa"/>
              <w:right w:w="20" w:type="dxa"/>
            </w:tcMar>
            <w:hideMark/>
          </w:tcPr>
          <w:p w:rsidR="00000000" w:rsidRDefault="002223F7">
            <w:pPr>
              <w:spacing w:after="100"/>
              <w:jc w:val="center"/>
              <w:rPr>
                <w:rFonts w:eastAsia="Times New Roman"/>
              </w:rPr>
            </w:pPr>
            <w:hyperlink w:anchor="ic88e567e3f8642dcb6f41d9ec77f1b73_88" w:history="1">
              <w:r>
                <w:rPr>
                  <w:rStyle w:val="a3"/>
                  <w:rFonts w:ascii="Arial" w:eastAsia="Times New Roman" w:hAnsi="Arial" w:cs="Arial"/>
                  <w:sz w:val="20"/>
                  <w:szCs w:val="20"/>
                  <w:u w:val="none"/>
                </w:rPr>
                <w:t>35</w:t>
              </w:r>
            </w:hyperlink>
          </w:p>
        </w:tc>
      </w:tr>
      <w:tr w:rsidR="00000000">
        <w:trPr>
          <w:divId w:val="968970962"/>
        </w:trPr>
        <w:tc>
          <w:tcPr>
            <w:tcW w:w="0" w:type="auto"/>
            <w:gridSpan w:val="3"/>
            <w:tcMar>
              <w:top w:w="30" w:type="dxa"/>
              <w:left w:w="20" w:type="dxa"/>
              <w:bottom w:w="30" w:type="dxa"/>
              <w:right w:w="20" w:type="dxa"/>
            </w:tcMar>
            <w:hideMark/>
          </w:tcPr>
          <w:p w:rsidR="00000000" w:rsidRDefault="002223F7">
            <w:pPr>
              <w:spacing w:after="100"/>
              <w:divId w:val="1352534236"/>
              <w:rPr>
                <w:rFonts w:eastAsia="Times New Roman"/>
              </w:rPr>
            </w:pPr>
            <w:hyperlink w:anchor="ic88e567e3f8642dcb6f41d9ec77f1b73_91" w:history="1">
              <w:r>
                <w:rPr>
                  <w:rStyle w:val="a3"/>
                  <w:rFonts w:ascii="Arial" w:eastAsia="Times New Roman" w:hAnsi="Arial" w:cs="Arial"/>
                  <w:sz w:val="20"/>
                  <w:szCs w:val="20"/>
                </w:rPr>
                <w:t>Item 9B.</w:t>
              </w:r>
            </w:hyperlink>
          </w:p>
        </w:tc>
        <w:tc>
          <w:tcPr>
            <w:tcW w:w="0" w:type="auto"/>
            <w:gridSpan w:val="3"/>
            <w:tcMar>
              <w:top w:w="30" w:type="dxa"/>
              <w:left w:w="20" w:type="dxa"/>
              <w:bottom w:w="30" w:type="dxa"/>
              <w:right w:w="20" w:type="dxa"/>
            </w:tcMar>
            <w:hideMark/>
          </w:tcPr>
          <w:p w:rsidR="00000000" w:rsidRDefault="002223F7">
            <w:pPr>
              <w:spacing w:after="100"/>
              <w:divId w:val="1716927857"/>
              <w:rPr>
                <w:rFonts w:eastAsia="Times New Roman"/>
              </w:rPr>
            </w:pPr>
            <w:hyperlink w:anchor="ic88e567e3f8642dcb6f41d9ec77f1b73_91" w:history="1">
              <w:r>
                <w:rPr>
                  <w:rStyle w:val="a3"/>
                  <w:rFonts w:ascii="Arial" w:eastAsia="Times New Roman" w:hAnsi="Arial" w:cs="Arial"/>
                  <w:sz w:val="20"/>
                  <w:szCs w:val="20"/>
                </w:rPr>
                <w:t>Other Information</w:t>
              </w:r>
            </w:hyperlink>
          </w:p>
        </w:tc>
        <w:tc>
          <w:tcPr>
            <w:tcW w:w="0" w:type="auto"/>
            <w:gridSpan w:val="3"/>
            <w:tcMar>
              <w:top w:w="30" w:type="dxa"/>
              <w:left w:w="20" w:type="dxa"/>
              <w:bottom w:w="30" w:type="dxa"/>
              <w:right w:w="20" w:type="dxa"/>
            </w:tcMar>
            <w:hideMark/>
          </w:tcPr>
          <w:p w:rsidR="00000000" w:rsidRDefault="002223F7">
            <w:pPr>
              <w:spacing w:after="100"/>
              <w:jc w:val="center"/>
              <w:rPr>
                <w:rFonts w:eastAsia="Times New Roman"/>
              </w:rPr>
            </w:pPr>
            <w:hyperlink w:anchor="ic88e567e3f8642dcb6f41d9ec77f1b73_91" w:history="1">
              <w:r>
                <w:rPr>
                  <w:rStyle w:val="a3"/>
                  <w:rFonts w:ascii="Arial" w:eastAsia="Times New Roman" w:hAnsi="Arial" w:cs="Arial"/>
                  <w:sz w:val="20"/>
                  <w:szCs w:val="20"/>
                  <w:u w:val="none"/>
                </w:rPr>
                <w:t>36</w:t>
              </w:r>
            </w:hyperlink>
          </w:p>
        </w:tc>
      </w:tr>
      <w:tr w:rsidR="00000000">
        <w:trPr>
          <w:divId w:val="968970962"/>
        </w:trPr>
        <w:tc>
          <w:tcPr>
            <w:tcW w:w="0" w:type="auto"/>
            <w:gridSpan w:val="3"/>
            <w:tcMar>
              <w:top w:w="30" w:type="dxa"/>
              <w:left w:w="20" w:type="dxa"/>
              <w:bottom w:w="30" w:type="dxa"/>
              <w:right w:w="20" w:type="dxa"/>
            </w:tcMar>
            <w:hideMark/>
          </w:tcPr>
          <w:p w:rsidR="00000000" w:rsidRDefault="002223F7">
            <w:pPr>
              <w:spacing w:after="100"/>
              <w:divId w:val="1153256387"/>
              <w:rPr>
                <w:rFonts w:eastAsia="Times New Roman"/>
              </w:rPr>
            </w:pPr>
            <w:hyperlink w:anchor="ic88e567e3f8642dcb6f41d9ec77f1b73_94" w:history="1">
              <w:r>
                <w:rPr>
                  <w:rStyle w:val="a3"/>
                  <w:rFonts w:ascii="Arial" w:eastAsia="Times New Roman" w:hAnsi="Arial" w:cs="Arial"/>
                  <w:sz w:val="20"/>
                  <w:szCs w:val="20"/>
                </w:rPr>
                <w:t>Item 9</w:t>
              </w:r>
            </w:hyperlink>
            <w:hyperlink w:anchor="ic88e567e3f8642dcb6f41d9ec77f1b73_94" w:history="1">
              <w:r>
                <w:rPr>
                  <w:rStyle w:val="a3"/>
                  <w:rFonts w:ascii="Arial" w:eastAsia="Times New Roman" w:hAnsi="Arial" w:cs="Arial"/>
                  <w:sz w:val="20"/>
                  <w:szCs w:val="20"/>
                </w:rPr>
                <w:t>C</w:t>
              </w:r>
            </w:hyperlink>
            <w:hyperlink w:anchor="ic88e567e3f8642dcb6f41d9ec77f1b73_94" w:history="1">
              <w:r>
                <w:rPr>
                  <w:rStyle w:val="a3"/>
                  <w:rFonts w:ascii="Arial" w:eastAsia="Times New Roman" w:hAnsi="Arial" w:cs="Arial"/>
                  <w:sz w:val="20"/>
                  <w:szCs w:val="20"/>
                </w:rPr>
                <w:t>.</w:t>
              </w:r>
            </w:hyperlink>
          </w:p>
        </w:tc>
        <w:tc>
          <w:tcPr>
            <w:tcW w:w="0" w:type="auto"/>
            <w:gridSpan w:val="3"/>
            <w:tcMar>
              <w:top w:w="30" w:type="dxa"/>
              <w:left w:w="20" w:type="dxa"/>
              <w:bottom w:w="30" w:type="dxa"/>
              <w:right w:w="20" w:type="dxa"/>
            </w:tcMar>
            <w:hideMark/>
          </w:tcPr>
          <w:p w:rsidR="00000000" w:rsidRDefault="002223F7">
            <w:pPr>
              <w:spacing w:after="100"/>
              <w:divId w:val="463080609"/>
              <w:rPr>
                <w:rFonts w:eastAsia="Times New Roman"/>
              </w:rPr>
            </w:pPr>
            <w:hyperlink w:anchor="ic88e567e3f8642dcb6f41d9ec77f1b73_94" w:history="1">
              <w:r>
                <w:rPr>
                  <w:rStyle w:val="a3"/>
                  <w:rFonts w:ascii="Arial" w:eastAsia="Times New Roman" w:hAnsi="Arial" w:cs="Arial"/>
                  <w:sz w:val="20"/>
                  <w:szCs w:val="20"/>
                </w:rPr>
                <w:t>Disclosure Regarding Foreign Jurisdictions that Prevent Inspections</w:t>
              </w:r>
            </w:hyperlink>
          </w:p>
        </w:tc>
        <w:tc>
          <w:tcPr>
            <w:tcW w:w="0" w:type="auto"/>
            <w:gridSpan w:val="3"/>
            <w:tcMar>
              <w:top w:w="30" w:type="dxa"/>
              <w:left w:w="20" w:type="dxa"/>
              <w:bottom w:w="30" w:type="dxa"/>
              <w:right w:w="20" w:type="dxa"/>
            </w:tcMar>
            <w:hideMark/>
          </w:tcPr>
          <w:p w:rsidR="00000000" w:rsidRDefault="002223F7">
            <w:pPr>
              <w:spacing w:after="100"/>
              <w:jc w:val="center"/>
              <w:rPr>
                <w:rFonts w:eastAsia="Times New Roman"/>
              </w:rPr>
            </w:pPr>
            <w:hyperlink w:anchor="ic88e567e3f8642dcb6f41d9ec77f1b73_94" w:history="1">
              <w:r>
                <w:rPr>
                  <w:rStyle w:val="a3"/>
                  <w:rFonts w:ascii="Arial" w:eastAsia="Times New Roman" w:hAnsi="Arial" w:cs="Arial"/>
                  <w:sz w:val="20"/>
                  <w:szCs w:val="20"/>
                  <w:u w:val="none"/>
                </w:rPr>
                <w:t>36</w:t>
              </w:r>
            </w:hyperlink>
          </w:p>
        </w:tc>
      </w:tr>
      <w:tr w:rsidR="00000000">
        <w:trPr>
          <w:divId w:val="968970962"/>
          <w:trHeight w:val="60"/>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968970962"/>
        </w:trPr>
        <w:tc>
          <w:tcPr>
            <w:tcW w:w="0" w:type="auto"/>
            <w:gridSpan w:val="3"/>
            <w:tcMar>
              <w:top w:w="30" w:type="dxa"/>
              <w:left w:w="20" w:type="dxa"/>
              <w:bottom w:w="30" w:type="dxa"/>
              <w:right w:w="20" w:type="dxa"/>
            </w:tcMar>
            <w:hideMark/>
          </w:tcPr>
          <w:p w:rsidR="00000000" w:rsidRDefault="002223F7">
            <w:pPr>
              <w:spacing w:after="100"/>
              <w:divId w:val="1969554580"/>
              <w:rPr>
                <w:rFonts w:eastAsia="Times New Roman"/>
              </w:rPr>
            </w:pPr>
            <w:hyperlink w:anchor="ic88e567e3f8642dcb6f41d9ec77f1b73_97" w:history="1">
              <w:r>
                <w:rPr>
                  <w:rStyle w:val="a3"/>
                  <w:rFonts w:ascii="Arial" w:eastAsia="Times New Roman" w:hAnsi="Arial" w:cs="Arial"/>
                  <w:b/>
                  <w:bCs/>
                  <w:sz w:val="20"/>
                  <w:szCs w:val="20"/>
                </w:rPr>
                <w:t>PART III.</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968970962"/>
        </w:trPr>
        <w:tc>
          <w:tcPr>
            <w:tcW w:w="0" w:type="auto"/>
            <w:gridSpan w:val="3"/>
            <w:tcMar>
              <w:top w:w="30" w:type="dxa"/>
              <w:left w:w="20" w:type="dxa"/>
              <w:bottom w:w="30" w:type="dxa"/>
              <w:right w:w="20" w:type="dxa"/>
            </w:tcMar>
            <w:hideMark/>
          </w:tcPr>
          <w:p w:rsidR="00000000" w:rsidRDefault="002223F7">
            <w:pPr>
              <w:spacing w:after="100"/>
              <w:divId w:val="551189110"/>
              <w:rPr>
                <w:rFonts w:eastAsia="Times New Roman"/>
              </w:rPr>
            </w:pPr>
            <w:hyperlink w:anchor="ic88e567e3f8642dcb6f41d9ec77f1b73_100" w:history="1">
              <w:r>
                <w:rPr>
                  <w:rStyle w:val="a3"/>
                  <w:rFonts w:ascii="Arial" w:eastAsia="Times New Roman" w:hAnsi="Arial" w:cs="Arial"/>
                  <w:sz w:val="20"/>
                  <w:szCs w:val="20"/>
                </w:rPr>
                <w:t>Item 10.</w:t>
              </w:r>
            </w:hyperlink>
          </w:p>
        </w:tc>
        <w:tc>
          <w:tcPr>
            <w:tcW w:w="0" w:type="auto"/>
            <w:gridSpan w:val="3"/>
            <w:tcMar>
              <w:top w:w="30" w:type="dxa"/>
              <w:left w:w="20" w:type="dxa"/>
              <w:bottom w:w="30" w:type="dxa"/>
              <w:right w:w="20" w:type="dxa"/>
            </w:tcMar>
            <w:hideMark/>
          </w:tcPr>
          <w:p w:rsidR="00000000" w:rsidRDefault="002223F7">
            <w:pPr>
              <w:spacing w:after="100"/>
              <w:divId w:val="856963845"/>
              <w:rPr>
                <w:rFonts w:eastAsia="Times New Roman"/>
              </w:rPr>
            </w:pPr>
            <w:hyperlink w:anchor="ic88e567e3f8642dcb6f41d9ec77f1b73_100" w:history="1">
              <w:r>
                <w:rPr>
                  <w:rStyle w:val="a3"/>
                  <w:rFonts w:ascii="Arial" w:eastAsia="Times New Roman" w:hAnsi="Arial" w:cs="Arial"/>
                  <w:sz w:val="20"/>
                  <w:szCs w:val="20"/>
                </w:rPr>
                <w:t>Directors, Executive Officers and Corporate Governance</w:t>
              </w:r>
            </w:hyperlink>
          </w:p>
        </w:tc>
        <w:tc>
          <w:tcPr>
            <w:tcW w:w="0" w:type="auto"/>
            <w:gridSpan w:val="3"/>
            <w:tcMar>
              <w:top w:w="30" w:type="dxa"/>
              <w:left w:w="20" w:type="dxa"/>
              <w:bottom w:w="30" w:type="dxa"/>
              <w:right w:w="20" w:type="dxa"/>
            </w:tcMar>
            <w:hideMark/>
          </w:tcPr>
          <w:p w:rsidR="00000000" w:rsidRDefault="002223F7">
            <w:pPr>
              <w:spacing w:after="100"/>
              <w:jc w:val="center"/>
              <w:rPr>
                <w:rFonts w:eastAsia="Times New Roman"/>
              </w:rPr>
            </w:pPr>
            <w:hyperlink w:anchor="ic88e567e3f8642dcb6f41d9ec77f1b73_100" w:history="1">
              <w:r>
                <w:rPr>
                  <w:rStyle w:val="a3"/>
                  <w:rFonts w:ascii="Arial" w:eastAsia="Times New Roman" w:hAnsi="Arial" w:cs="Arial"/>
                  <w:sz w:val="20"/>
                  <w:szCs w:val="20"/>
                  <w:u w:val="none"/>
                </w:rPr>
                <w:t>37</w:t>
              </w:r>
            </w:hyperlink>
          </w:p>
        </w:tc>
      </w:tr>
      <w:tr w:rsidR="00000000">
        <w:trPr>
          <w:divId w:val="968970962"/>
        </w:trPr>
        <w:tc>
          <w:tcPr>
            <w:tcW w:w="0" w:type="auto"/>
            <w:gridSpan w:val="3"/>
            <w:tcMar>
              <w:top w:w="30" w:type="dxa"/>
              <w:left w:w="20" w:type="dxa"/>
              <w:bottom w:w="30" w:type="dxa"/>
              <w:right w:w="20" w:type="dxa"/>
            </w:tcMar>
            <w:hideMark/>
          </w:tcPr>
          <w:p w:rsidR="00000000" w:rsidRDefault="002223F7">
            <w:pPr>
              <w:spacing w:after="100"/>
              <w:divId w:val="1419786496"/>
              <w:rPr>
                <w:rFonts w:eastAsia="Times New Roman"/>
              </w:rPr>
            </w:pPr>
            <w:hyperlink w:anchor="ic88e567e3f8642dcb6f41d9ec77f1b73_103" w:history="1">
              <w:r>
                <w:rPr>
                  <w:rStyle w:val="a3"/>
                  <w:rFonts w:ascii="Arial" w:eastAsia="Times New Roman" w:hAnsi="Arial" w:cs="Arial"/>
                  <w:sz w:val="20"/>
                  <w:szCs w:val="20"/>
                </w:rPr>
                <w:t>Item 11.</w:t>
              </w:r>
            </w:hyperlink>
          </w:p>
        </w:tc>
        <w:tc>
          <w:tcPr>
            <w:tcW w:w="0" w:type="auto"/>
            <w:gridSpan w:val="3"/>
            <w:tcMar>
              <w:top w:w="30" w:type="dxa"/>
              <w:left w:w="20" w:type="dxa"/>
              <w:bottom w:w="30" w:type="dxa"/>
              <w:right w:w="20" w:type="dxa"/>
            </w:tcMar>
            <w:hideMark/>
          </w:tcPr>
          <w:p w:rsidR="00000000" w:rsidRDefault="002223F7">
            <w:pPr>
              <w:spacing w:after="100"/>
              <w:divId w:val="1449158611"/>
              <w:rPr>
                <w:rFonts w:eastAsia="Times New Roman"/>
              </w:rPr>
            </w:pPr>
            <w:hyperlink w:anchor="ic88e567e3f8642dcb6f41d9ec77f1b73_103" w:history="1">
              <w:r>
                <w:rPr>
                  <w:rStyle w:val="a3"/>
                  <w:rFonts w:ascii="Arial" w:eastAsia="Times New Roman" w:hAnsi="Arial" w:cs="Arial"/>
                  <w:sz w:val="20"/>
                  <w:szCs w:val="20"/>
                </w:rPr>
                <w:t>Executive Compensation</w:t>
              </w:r>
            </w:hyperlink>
          </w:p>
        </w:tc>
        <w:tc>
          <w:tcPr>
            <w:tcW w:w="0" w:type="auto"/>
            <w:gridSpan w:val="3"/>
            <w:tcMar>
              <w:top w:w="30" w:type="dxa"/>
              <w:left w:w="20" w:type="dxa"/>
              <w:bottom w:w="30" w:type="dxa"/>
              <w:right w:w="20" w:type="dxa"/>
            </w:tcMar>
            <w:hideMark/>
          </w:tcPr>
          <w:p w:rsidR="00000000" w:rsidRDefault="002223F7">
            <w:pPr>
              <w:spacing w:after="100"/>
              <w:jc w:val="center"/>
              <w:rPr>
                <w:rFonts w:eastAsia="Times New Roman"/>
              </w:rPr>
            </w:pPr>
            <w:hyperlink w:anchor="ic88e567e3f8642dcb6f41d9ec77f1b73_103" w:history="1">
              <w:r>
                <w:rPr>
                  <w:rStyle w:val="a3"/>
                  <w:rFonts w:ascii="Arial" w:eastAsia="Times New Roman" w:hAnsi="Arial" w:cs="Arial"/>
                  <w:sz w:val="20"/>
                  <w:szCs w:val="20"/>
                  <w:u w:val="none"/>
                </w:rPr>
                <w:t>37</w:t>
              </w:r>
            </w:hyperlink>
          </w:p>
        </w:tc>
      </w:tr>
      <w:tr w:rsidR="00000000">
        <w:trPr>
          <w:divId w:val="968970962"/>
        </w:trPr>
        <w:tc>
          <w:tcPr>
            <w:tcW w:w="0" w:type="auto"/>
            <w:gridSpan w:val="3"/>
            <w:tcMar>
              <w:top w:w="30" w:type="dxa"/>
              <w:left w:w="20" w:type="dxa"/>
              <w:bottom w:w="30" w:type="dxa"/>
              <w:right w:w="20" w:type="dxa"/>
            </w:tcMar>
            <w:hideMark/>
          </w:tcPr>
          <w:p w:rsidR="00000000" w:rsidRDefault="002223F7">
            <w:pPr>
              <w:spacing w:after="100"/>
              <w:divId w:val="858003831"/>
              <w:rPr>
                <w:rFonts w:eastAsia="Times New Roman"/>
              </w:rPr>
            </w:pPr>
            <w:hyperlink w:anchor="ic88e567e3f8642dcb6f41d9ec77f1b73_106" w:history="1">
              <w:r>
                <w:rPr>
                  <w:rStyle w:val="a3"/>
                  <w:rFonts w:ascii="Arial" w:eastAsia="Times New Roman" w:hAnsi="Arial" w:cs="Arial"/>
                  <w:sz w:val="20"/>
                  <w:szCs w:val="20"/>
                </w:rPr>
                <w:t>Item 12.</w:t>
              </w:r>
            </w:hyperlink>
          </w:p>
        </w:tc>
        <w:tc>
          <w:tcPr>
            <w:tcW w:w="0" w:type="auto"/>
            <w:gridSpan w:val="3"/>
            <w:tcMar>
              <w:top w:w="30" w:type="dxa"/>
              <w:left w:w="20" w:type="dxa"/>
              <w:bottom w:w="30" w:type="dxa"/>
              <w:right w:w="20" w:type="dxa"/>
            </w:tcMar>
            <w:hideMark/>
          </w:tcPr>
          <w:p w:rsidR="00000000" w:rsidRDefault="002223F7">
            <w:pPr>
              <w:spacing w:after="100"/>
              <w:divId w:val="1839736880"/>
              <w:rPr>
                <w:rFonts w:eastAsia="Times New Roman"/>
              </w:rPr>
            </w:pPr>
            <w:hyperlink w:anchor="ic88e567e3f8642dcb6f41d9ec77f1b73_106" w:history="1">
              <w:r>
                <w:rPr>
                  <w:rStyle w:val="a3"/>
                  <w:rFonts w:ascii="Arial" w:eastAsia="Times New Roman" w:hAnsi="Arial" w:cs="Arial"/>
                  <w:sz w:val="20"/>
                  <w:szCs w:val="20"/>
                </w:rPr>
                <w:t>Security Ownership of Certain Beneficial Owners and Management and Related Shareholder Matters</w:t>
              </w:r>
            </w:hyperlink>
          </w:p>
        </w:tc>
        <w:tc>
          <w:tcPr>
            <w:tcW w:w="0" w:type="auto"/>
            <w:gridSpan w:val="3"/>
            <w:tcMar>
              <w:top w:w="30" w:type="dxa"/>
              <w:left w:w="20" w:type="dxa"/>
              <w:bottom w:w="30" w:type="dxa"/>
              <w:right w:w="20" w:type="dxa"/>
            </w:tcMar>
            <w:hideMark/>
          </w:tcPr>
          <w:p w:rsidR="00000000" w:rsidRDefault="002223F7">
            <w:pPr>
              <w:spacing w:after="100"/>
              <w:jc w:val="center"/>
              <w:rPr>
                <w:rFonts w:eastAsia="Times New Roman"/>
              </w:rPr>
            </w:pPr>
            <w:hyperlink w:anchor="ic88e567e3f8642dcb6f41d9ec77f1b73_106" w:history="1">
              <w:r>
                <w:rPr>
                  <w:rStyle w:val="a3"/>
                  <w:rFonts w:ascii="Arial" w:eastAsia="Times New Roman" w:hAnsi="Arial" w:cs="Arial"/>
                  <w:sz w:val="20"/>
                  <w:szCs w:val="20"/>
                  <w:u w:val="none"/>
                </w:rPr>
                <w:t>37</w:t>
              </w:r>
            </w:hyperlink>
          </w:p>
        </w:tc>
      </w:tr>
      <w:tr w:rsidR="00000000">
        <w:trPr>
          <w:divId w:val="968970962"/>
        </w:trPr>
        <w:tc>
          <w:tcPr>
            <w:tcW w:w="0" w:type="auto"/>
            <w:gridSpan w:val="3"/>
            <w:tcMar>
              <w:top w:w="30" w:type="dxa"/>
              <w:left w:w="20" w:type="dxa"/>
              <w:bottom w:w="30" w:type="dxa"/>
              <w:right w:w="20" w:type="dxa"/>
            </w:tcMar>
            <w:hideMark/>
          </w:tcPr>
          <w:p w:rsidR="00000000" w:rsidRDefault="002223F7">
            <w:pPr>
              <w:spacing w:after="100"/>
              <w:divId w:val="1326324115"/>
              <w:rPr>
                <w:rFonts w:eastAsia="Times New Roman"/>
              </w:rPr>
            </w:pPr>
            <w:hyperlink w:anchor="ic88e567e3f8642dcb6f41d9ec77f1b73_109" w:history="1">
              <w:r>
                <w:rPr>
                  <w:rStyle w:val="a3"/>
                  <w:rFonts w:ascii="Arial" w:eastAsia="Times New Roman" w:hAnsi="Arial" w:cs="Arial"/>
                  <w:sz w:val="20"/>
                  <w:szCs w:val="20"/>
                </w:rPr>
                <w:t>Item 13.</w:t>
              </w:r>
            </w:hyperlink>
          </w:p>
        </w:tc>
        <w:tc>
          <w:tcPr>
            <w:tcW w:w="0" w:type="auto"/>
            <w:gridSpan w:val="3"/>
            <w:tcMar>
              <w:top w:w="30" w:type="dxa"/>
              <w:left w:w="20" w:type="dxa"/>
              <w:bottom w:w="30" w:type="dxa"/>
              <w:right w:w="20" w:type="dxa"/>
            </w:tcMar>
            <w:hideMark/>
          </w:tcPr>
          <w:p w:rsidR="00000000" w:rsidRDefault="002223F7">
            <w:pPr>
              <w:spacing w:after="100"/>
              <w:divId w:val="578440179"/>
              <w:rPr>
                <w:rFonts w:eastAsia="Times New Roman"/>
              </w:rPr>
            </w:pPr>
            <w:hyperlink w:anchor="ic88e567e3f8642dcb6f41d9ec77f1b73_109" w:history="1">
              <w:r>
                <w:rPr>
                  <w:rStyle w:val="a3"/>
                  <w:rFonts w:ascii="Arial" w:eastAsia="Times New Roman" w:hAnsi="Arial" w:cs="Arial"/>
                  <w:sz w:val="20"/>
                  <w:szCs w:val="20"/>
                </w:rPr>
                <w:t>Certain Relationships and Related Transactions, and Director Independence</w:t>
              </w:r>
            </w:hyperlink>
          </w:p>
        </w:tc>
        <w:tc>
          <w:tcPr>
            <w:tcW w:w="0" w:type="auto"/>
            <w:gridSpan w:val="3"/>
            <w:tcMar>
              <w:top w:w="30" w:type="dxa"/>
              <w:left w:w="20" w:type="dxa"/>
              <w:bottom w:w="30" w:type="dxa"/>
              <w:right w:w="20" w:type="dxa"/>
            </w:tcMar>
            <w:hideMark/>
          </w:tcPr>
          <w:p w:rsidR="00000000" w:rsidRDefault="002223F7">
            <w:pPr>
              <w:spacing w:after="100"/>
              <w:jc w:val="center"/>
              <w:rPr>
                <w:rFonts w:eastAsia="Times New Roman"/>
              </w:rPr>
            </w:pPr>
            <w:hyperlink w:anchor="ic88e567e3f8642dcb6f41d9ec77f1b73_109" w:history="1">
              <w:r>
                <w:rPr>
                  <w:rStyle w:val="a3"/>
                  <w:rFonts w:ascii="Arial" w:eastAsia="Times New Roman" w:hAnsi="Arial" w:cs="Arial"/>
                  <w:sz w:val="20"/>
                  <w:szCs w:val="20"/>
                  <w:u w:val="none"/>
                </w:rPr>
                <w:t>37</w:t>
              </w:r>
            </w:hyperlink>
          </w:p>
        </w:tc>
      </w:tr>
      <w:tr w:rsidR="00000000">
        <w:trPr>
          <w:divId w:val="968970962"/>
        </w:trPr>
        <w:tc>
          <w:tcPr>
            <w:tcW w:w="0" w:type="auto"/>
            <w:gridSpan w:val="3"/>
            <w:tcMar>
              <w:top w:w="30" w:type="dxa"/>
              <w:left w:w="20" w:type="dxa"/>
              <w:bottom w:w="30" w:type="dxa"/>
              <w:right w:w="20" w:type="dxa"/>
            </w:tcMar>
            <w:hideMark/>
          </w:tcPr>
          <w:p w:rsidR="00000000" w:rsidRDefault="002223F7">
            <w:pPr>
              <w:spacing w:after="100"/>
              <w:divId w:val="1501459261"/>
              <w:rPr>
                <w:rFonts w:eastAsia="Times New Roman"/>
              </w:rPr>
            </w:pPr>
            <w:hyperlink w:anchor="ic88e567e3f8642dcb6f41d9ec77f1b73_112" w:history="1">
              <w:r>
                <w:rPr>
                  <w:rStyle w:val="a3"/>
                  <w:rFonts w:ascii="Arial" w:eastAsia="Times New Roman" w:hAnsi="Arial" w:cs="Arial"/>
                  <w:sz w:val="20"/>
                  <w:szCs w:val="20"/>
                </w:rPr>
                <w:t>Item 14.</w:t>
              </w:r>
            </w:hyperlink>
          </w:p>
        </w:tc>
        <w:tc>
          <w:tcPr>
            <w:tcW w:w="0" w:type="auto"/>
            <w:gridSpan w:val="3"/>
            <w:tcMar>
              <w:top w:w="30" w:type="dxa"/>
              <w:left w:w="20" w:type="dxa"/>
              <w:bottom w:w="30" w:type="dxa"/>
              <w:right w:w="20" w:type="dxa"/>
            </w:tcMar>
            <w:hideMark/>
          </w:tcPr>
          <w:p w:rsidR="00000000" w:rsidRDefault="002223F7">
            <w:pPr>
              <w:spacing w:after="100"/>
              <w:divId w:val="372467698"/>
              <w:rPr>
                <w:rFonts w:eastAsia="Times New Roman"/>
              </w:rPr>
            </w:pPr>
            <w:hyperlink w:anchor="ic88e567e3f8642dcb6f41d9ec77f1b73_112" w:history="1">
              <w:r>
                <w:rPr>
                  <w:rStyle w:val="a3"/>
                  <w:rFonts w:ascii="Arial" w:eastAsia="Times New Roman" w:hAnsi="Arial" w:cs="Arial"/>
                  <w:sz w:val="20"/>
                  <w:szCs w:val="20"/>
                </w:rPr>
                <w:t>Principal Account</w:t>
              </w:r>
            </w:hyperlink>
            <w:hyperlink w:anchor="ic88e567e3f8642dcb6f41d9ec77f1b73_112" w:history="1">
              <w:r>
                <w:rPr>
                  <w:rStyle w:val="a3"/>
                  <w:rFonts w:ascii="Arial" w:eastAsia="Times New Roman" w:hAnsi="Arial" w:cs="Arial"/>
                  <w:sz w:val="20"/>
                  <w:szCs w:val="20"/>
                </w:rPr>
                <w:t>ant</w:t>
              </w:r>
            </w:hyperlink>
            <w:hyperlink w:anchor="ic88e567e3f8642dcb6f41d9ec77f1b73_112" w:history="1">
              <w:r>
                <w:rPr>
                  <w:rStyle w:val="a3"/>
                  <w:rFonts w:ascii="Arial" w:eastAsia="Times New Roman" w:hAnsi="Arial" w:cs="Arial"/>
                  <w:sz w:val="20"/>
                  <w:szCs w:val="20"/>
                </w:rPr>
                <w:t xml:space="preserve"> Fees and Services</w:t>
              </w:r>
            </w:hyperlink>
          </w:p>
        </w:tc>
        <w:tc>
          <w:tcPr>
            <w:tcW w:w="0" w:type="auto"/>
            <w:gridSpan w:val="3"/>
            <w:tcMar>
              <w:top w:w="30" w:type="dxa"/>
              <w:left w:w="20" w:type="dxa"/>
              <w:bottom w:w="30" w:type="dxa"/>
              <w:right w:w="20" w:type="dxa"/>
            </w:tcMar>
            <w:hideMark/>
          </w:tcPr>
          <w:p w:rsidR="00000000" w:rsidRDefault="002223F7">
            <w:pPr>
              <w:spacing w:after="100"/>
              <w:jc w:val="center"/>
              <w:rPr>
                <w:rFonts w:eastAsia="Times New Roman"/>
              </w:rPr>
            </w:pPr>
            <w:hyperlink w:anchor="ic88e567e3f8642dcb6f41d9ec77f1b73_112" w:history="1">
              <w:r>
                <w:rPr>
                  <w:rStyle w:val="a3"/>
                  <w:rFonts w:ascii="Arial" w:eastAsia="Times New Roman" w:hAnsi="Arial" w:cs="Arial"/>
                  <w:sz w:val="20"/>
                  <w:szCs w:val="20"/>
                  <w:u w:val="none"/>
                </w:rPr>
                <w:t>37</w:t>
              </w:r>
            </w:hyperlink>
          </w:p>
        </w:tc>
      </w:tr>
      <w:tr w:rsidR="00000000">
        <w:trPr>
          <w:divId w:val="968970962"/>
          <w:trHeight w:val="60"/>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968970962"/>
        </w:trPr>
        <w:tc>
          <w:tcPr>
            <w:tcW w:w="0" w:type="auto"/>
            <w:gridSpan w:val="3"/>
            <w:tcMar>
              <w:top w:w="30" w:type="dxa"/>
              <w:left w:w="20" w:type="dxa"/>
              <w:bottom w:w="30" w:type="dxa"/>
              <w:right w:w="20" w:type="dxa"/>
            </w:tcMar>
            <w:hideMark/>
          </w:tcPr>
          <w:p w:rsidR="00000000" w:rsidRDefault="002223F7">
            <w:pPr>
              <w:spacing w:after="100"/>
              <w:divId w:val="1696614261"/>
              <w:rPr>
                <w:rFonts w:eastAsia="Times New Roman"/>
              </w:rPr>
            </w:pPr>
            <w:hyperlink w:anchor="ic88e567e3f8642dcb6f41d9ec77f1b73_115" w:history="1">
              <w:r>
                <w:rPr>
                  <w:rStyle w:val="a3"/>
                  <w:rFonts w:ascii="Arial" w:eastAsia="Times New Roman" w:hAnsi="Arial" w:cs="Arial"/>
                  <w:b/>
                  <w:bCs/>
                  <w:sz w:val="20"/>
                  <w:szCs w:val="20"/>
                </w:rPr>
                <w:t>PART IV.</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968970962"/>
        </w:trPr>
        <w:tc>
          <w:tcPr>
            <w:tcW w:w="0" w:type="auto"/>
            <w:gridSpan w:val="3"/>
            <w:tcMar>
              <w:top w:w="30" w:type="dxa"/>
              <w:left w:w="20" w:type="dxa"/>
              <w:bottom w:w="30" w:type="dxa"/>
              <w:right w:w="20" w:type="dxa"/>
            </w:tcMar>
            <w:hideMark/>
          </w:tcPr>
          <w:p w:rsidR="00000000" w:rsidRDefault="002223F7">
            <w:pPr>
              <w:spacing w:after="100"/>
              <w:divId w:val="2010909229"/>
              <w:rPr>
                <w:rFonts w:eastAsia="Times New Roman"/>
              </w:rPr>
            </w:pPr>
            <w:hyperlink w:anchor="ic88e567e3f8642dcb6f41d9ec77f1b73_118" w:history="1">
              <w:r>
                <w:rPr>
                  <w:rStyle w:val="a3"/>
                  <w:rFonts w:ascii="Arial" w:eastAsia="Times New Roman" w:hAnsi="Arial" w:cs="Arial"/>
                  <w:sz w:val="20"/>
                  <w:szCs w:val="20"/>
                </w:rPr>
                <w:t>Item 15.</w:t>
              </w:r>
            </w:hyperlink>
          </w:p>
        </w:tc>
        <w:tc>
          <w:tcPr>
            <w:tcW w:w="0" w:type="auto"/>
            <w:gridSpan w:val="3"/>
            <w:tcMar>
              <w:top w:w="30" w:type="dxa"/>
              <w:left w:w="20" w:type="dxa"/>
              <w:bottom w:w="30" w:type="dxa"/>
              <w:right w:w="20" w:type="dxa"/>
            </w:tcMar>
            <w:hideMark/>
          </w:tcPr>
          <w:p w:rsidR="00000000" w:rsidRDefault="002223F7">
            <w:pPr>
              <w:spacing w:after="100"/>
              <w:divId w:val="2043507827"/>
              <w:rPr>
                <w:rFonts w:eastAsia="Times New Roman"/>
              </w:rPr>
            </w:pPr>
            <w:hyperlink w:anchor="ic88e567e3f8642dcb6f41d9ec77f1b73_118" w:history="1">
              <w:r>
                <w:rPr>
                  <w:rStyle w:val="a3"/>
                  <w:rFonts w:ascii="Arial" w:eastAsia="Times New Roman" w:hAnsi="Arial" w:cs="Arial"/>
                  <w:sz w:val="20"/>
                  <w:szCs w:val="20"/>
                </w:rPr>
                <w:t>Exhibits</w:t>
              </w:r>
            </w:hyperlink>
            <w:hyperlink w:anchor="ic88e567e3f8642dcb6f41d9ec77f1b73_118" w:history="1">
              <w:r>
                <w:rPr>
                  <w:rStyle w:val="a3"/>
                  <w:rFonts w:ascii="Arial" w:eastAsia="Times New Roman" w:hAnsi="Arial" w:cs="Arial"/>
                  <w:sz w:val="20"/>
                  <w:szCs w:val="20"/>
                </w:rPr>
                <w:t xml:space="preserve"> and </w:t>
              </w:r>
            </w:hyperlink>
            <w:hyperlink w:anchor="ic88e567e3f8642dcb6f41d9ec77f1b73_118" w:history="1">
              <w:r>
                <w:rPr>
                  <w:rStyle w:val="a3"/>
                  <w:rFonts w:ascii="Arial" w:eastAsia="Times New Roman" w:hAnsi="Arial" w:cs="Arial"/>
                  <w:sz w:val="20"/>
                  <w:szCs w:val="20"/>
                </w:rPr>
                <w:t>Financial Statement Schedules</w:t>
              </w:r>
            </w:hyperlink>
          </w:p>
        </w:tc>
        <w:tc>
          <w:tcPr>
            <w:tcW w:w="0" w:type="auto"/>
            <w:gridSpan w:val="3"/>
            <w:tcMar>
              <w:top w:w="30" w:type="dxa"/>
              <w:left w:w="20" w:type="dxa"/>
              <w:bottom w:w="30" w:type="dxa"/>
              <w:right w:w="20" w:type="dxa"/>
            </w:tcMar>
            <w:hideMark/>
          </w:tcPr>
          <w:p w:rsidR="00000000" w:rsidRDefault="002223F7">
            <w:pPr>
              <w:spacing w:after="100"/>
              <w:jc w:val="center"/>
              <w:rPr>
                <w:rFonts w:eastAsia="Times New Roman"/>
              </w:rPr>
            </w:pPr>
            <w:hyperlink w:anchor="ic88e567e3f8642dcb6f41d9ec77f1b73_118" w:history="1">
              <w:r>
                <w:rPr>
                  <w:rStyle w:val="a3"/>
                  <w:rFonts w:ascii="Arial" w:eastAsia="Times New Roman" w:hAnsi="Arial" w:cs="Arial"/>
                  <w:sz w:val="20"/>
                  <w:szCs w:val="20"/>
                  <w:u w:val="none"/>
                </w:rPr>
                <w:t>38</w:t>
              </w:r>
            </w:hyperlink>
          </w:p>
        </w:tc>
      </w:tr>
      <w:tr w:rsidR="00000000">
        <w:trPr>
          <w:divId w:val="968970962"/>
        </w:trPr>
        <w:tc>
          <w:tcPr>
            <w:tcW w:w="0" w:type="auto"/>
            <w:gridSpan w:val="3"/>
            <w:tcMar>
              <w:top w:w="30" w:type="dxa"/>
              <w:left w:w="20" w:type="dxa"/>
              <w:bottom w:w="30" w:type="dxa"/>
              <w:right w:w="20" w:type="dxa"/>
            </w:tcMar>
            <w:hideMark/>
          </w:tcPr>
          <w:p w:rsidR="00000000" w:rsidRDefault="002223F7">
            <w:pPr>
              <w:spacing w:after="100"/>
              <w:divId w:val="279187328"/>
              <w:rPr>
                <w:rFonts w:eastAsia="Times New Roman"/>
              </w:rPr>
            </w:pPr>
            <w:hyperlink w:anchor="ic88e567e3f8642dcb6f41d9ec77f1b73_217" w:history="1">
              <w:r>
                <w:rPr>
                  <w:rStyle w:val="a3"/>
                  <w:rFonts w:ascii="Arial" w:eastAsia="Times New Roman" w:hAnsi="Arial" w:cs="Arial"/>
                  <w:sz w:val="20"/>
                  <w:szCs w:val="20"/>
                </w:rPr>
                <w:t>Item 16.</w:t>
              </w:r>
            </w:hyperlink>
          </w:p>
        </w:tc>
        <w:tc>
          <w:tcPr>
            <w:tcW w:w="0" w:type="auto"/>
            <w:gridSpan w:val="3"/>
            <w:tcMar>
              <w:top w:w="30" w:type="dxa"/>
              <w:left w:w="20" w:type="dxa"/>
              <w:bottom w:w="30" w:type="dxa"/>
              <w:right w:w="20" w:type="dxa"/>
            </w:tcMar>
            <w:hideMark/>
          </w:tcPr>
          <w:p w:rsidR="00000000" w:rsidRDefault="002223F7">
            <w:pPr>
              <w:spacing w:after="100"/>
              <w:divId w:val="627323353"/>
              <w:rPr>
                <w:rFonts w:eastAsia="Times New Roman"/>
              </w:rPr>
            </w:pPr>
            <w:hyperlink w:anchor="ic88e567e3f8642dcb6f41d9ec77f1b73_217" w:history="1">
              <w:r>
                <w:rPr>
                  <w:rStyle w:val="a3"/>
                  <w:rFonts w:ascii="Arial" w:eastAsia="Times New Roman" w:hAnsi="Arial" w:cs="Arial"/>
                  <w:sz w:val="20"/>
                  <w:szCs w:val="20"/>
                </w:rPr>
                <w:t>Form 10-K Summary</w:t>
              </w:r>
            </w:hyperlink>
          </w:p>
        </w:tc>
        <w:tc>
          <w:tcPr>
            <w:tcW w:w="0" w:type="auto"/>
            <w:gridSpan w:val="3"/>
            <w:tcMar>
              <w:top w:w="30" w:type="dxa"/>
              <w:left w:w="20" w:type="dxa"/>
              <w:bottom w:w="30" w:type="dxa"/>
              <w:right w:w="20" w:type="dxa"/>
            </w:tcMar>
            <w:hideMark/>
          </w:tcPr>
          <w:p w:rsidR="00000000" w:rsidRDefault="002223F7">
            <w:pPr>
              <w:spacing w:after="100"/>
              <w:jc w:val="center"/>
              <w:rPr>
                <w:rFonts w:eastAsia="Times New Roman"/>
              </w:rPr>
            </w:pPr>
            <w:hyperlink w:anchor="ic88e567e3f8642dcb6f41d9ec77f1b73_217" w:history="1">
              <w:r>
                <w:rPr>
                  <w:rStyle w:val="a3"/>
                  <w:rFonts w:ascii="Arial" w:eastAsia="Times New Roman" w:hAnsi="Arial" w:cs="Arial"/>
                  <w:sz w:val="20"/>
                  <w:szCs w:val="20"/>
                  <w:u w:val="none"/>
                </w:rPr>
                <w:t>84</w:t>
              </w:r>
            </w:hyperlink>
          </w:p>
        </w:tc>
      </w:tr>
      <w:tr w:rsidR="00000000">
        <w:trPr>
          <w:divId w:val="968970962"/>
          <w:trHeight w:val="60"/>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968970962"/>
        </w:trPr>
        <w:tc>
          <w:tcPr>
            <w:tcW w:w="0" w:type="auto"/>
            <w:gridSpan w:val="6"/>
            <w:tcMar>
              <w:top w:w="30" w:type="dxa"/>
              <w:left w:w="20" w:type="dxa"/>
              <w:bottom w:w="30" w:type="dxa"/>
              <w:right w:w="20" w:type="dxa"/>
            </w:tcMar>
            <w:hideMark/>
          </w:tcPr>
          <w:p w:rsidR="00000000" w:rsidRDefault="002223F7">
            <w:pPr>
              <w:spacing w:after="100"/>
              <w:divId w:val="1696928447"/>
              <w:rPr>
                <w:rFonts w:eastAsia="Times New Roman"/>
              </w:rPr>
            </w:pPr>
            <w:hyperlink w:anchor="ic88e567e3f8642dcb6f41d9ec77f1b73_220" w:history="1">
              <w:r>
                <w:rPr>
                  <w:rStyle w:val="a3"/>
                  <w:rFonts w:ascii="Arial" w:eastAsia="Times New Roman" w:hAnsi="Arial" w:cs="Arial"/>
                  <w:b/>
                  <w:bCs/>
                  <w:sz w:val="20"/>
                  <w:szCs w:val="20"/>
                </w:rPr>
                <w:t>SIGNATURES</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r>
    </w:tbl>
    <w:p w:rsidR="00000000" w:rsidRDefault="002223F7">
      <w:pPr>
        <w:jc w:val="both"/>
        <w:divId w:val="1391420226"/>
        <w:rPr>
          <w:rFonts w:eastAsia="Times New Roman"/>
        </w:rPr>
      </w:pPr>
    </w:p>
    <w:p w:rsidR="00000000" w:rsidRDefault="002223F7">
      <w:pPr>
        <w:rPr>
          <w:rFonts w:eastAsia="Times New Roman"/>
        </w:rPr>
      </w:pPr>
      <w:r>
        <w:rPr>
          <w:rFonts w:eastAsia="Times New Roman"/>
        </w:rPr>
        <w:pict>
          <v:rect id="_x0000_i1028" style="width:0;height:1.5pt" o:hralign="center" o:hrstd="t" o:hr="t" fillcolor="#a0a0a0" stroked="f"/>
        </w:pict>
      </w:r>
    </w:p>
    <w:p w:rsidR="00000000" w:rsidRDefault="002223F7">
      <w:pPr>
        <w:jc w:val="both"/>
        <w:divId w:val="2097433208"/>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divId w:val="1481340615"/>
        <w:rPr>
          <w:rFonts w:eastAsia="Times New Roman"/>
        </w:rPr>
      </w:pPr>
      <w:r>
        <w:rPr>
          <w:rFonts w:ascii="Arial" w:eastAsia="Times New Roman" w:hAnsi="Arial" w:cs="Arial"/>
          <w:b/>
          <w:bCs/>
          <w:color w:val="000000"/>
        </w:rPr>
        <w:t>PART I</w:t>
      </w:r>
    </w:p>
    <w:p w:rsidR="00000000" w:rsidRDefault="002223F7">
      <w:pPr>
        <w:divId w:val="1483932497"/>
        <w:rPr>
          <w:rFonts w:eastAsia="Times New Roman"/>
        </w:rPr>
      </w:pPr>
      <w:r>
        <w:rPr>
          <w:rFonts w:ascii="Arial" w:eastAsia="Times New Roman" w:hAnsi="Arial" w:cs="Arial"/>
          <w:b/>
          <w:bCs/>
          <w:color w:val="000000"/>
        </w:rPr>
        <w:t>Item 1. Business</w:t>
      </w:r>
    </w:p>
    <w:p w:rsidR="00000000" w:rsidRDefault="002223F7">
      <w:pPr>
        <w:divId w:val="1297183283"/>
        <w:rPr>
          <w:rFonts w:eastAsia="Times New Roman"/>
        </w:rPr>
      </w:pPr>
      <w:r>
        <w:rPr>
          <w:rFonts w:ascii="Arial" w:eastAsia="Times New Roman" w:hAnsi="Arial" w:cs="Arial"/>
          <w:b/>
          <w:bCs/>
          <w:color w:val="000000"/>
          <w:sz w:val="20"/>
          <w:szCs w:val="20"/>
        </w:rPr>
        <w:t>Overview</w:t>
      </w:r>
    </w:p>
    <w:p w:rsidR="00000000" w:rsidRDefault="002223F7">
      <w:pPr>
        <w:jc w:val="both"/>
        <w:divId w:val="665472819"/>
        <w:rPr>
          <w:rFonts w:eastAsia="Times New Roman"/>
        </w:rPr>
      </w:pPr>
      <w:r>
        <w:rPr>
          <w:rFonts w:ascii="Arial" w:eastAsia="Times New Roman" w:hAnsi="Arial" w:cs="Arial"/>
          <w:color w:val="000000"/>
          <w:sz w:val="20"/>
          <w:szCs w:val="20"/>
        </w:rPr>
        <w:t>World Fuel Services Corporation (the "Company") was i</w:t>
      </w:r>
      <w:r>
        <w:rPr>
          <w:rFonts w:ascii="Arial" w:eastAsia="Times New Roman" w:hAnsi="Arial" w:cs="Arial"/>
          <w:color w:val="000000"/>
          <w:sz w:val="20"/>
          <w:szCs w:val="20"/>
        </w:rPr>
        <w:t>ncorporated in Florida in July 1984 and along with its consolidated subsidiaries is referred to collectively in this Annual Report on Form 10-K ("2022 10-K Report") as "World Fuel," "we," "our," and "us."</w:t>
      </w:r>
    </w:p>
    <w:p w:rsidR="00000000" w:rsidRDefault="002223F7">
      <w:pPr>
        <w:jc w:val="both"/>
        <w:divId w:val="37632980"/>
        <w:rPr>
          <w:rFonts w:eastAsia="Times New Roman"/>
        </w:rPr>
      </w:pPr>
      <w:r>
        <w:rPr>
          <w:rFonts w:ascii="Arial" w:eastAsia="Times New Roman" w:hAnsi="Arial" w:cs="Arial"/>
          <w:color w:val="000000"/>
          <w:sz w:val="20"/>
          <w:szCs w:val="20"/>
        </w:rPr>
        <w:t xml:space="preserve">We are a leading global energy management company, </w:t>
      </w:r>
      <w:r>
        <w:rPr>
          <w:rFonts w:ascii="Arial" w:eastAsia="Times New Roman" w:hAnsi="Arial" w:cs="Arial"/>
          <w:color w:val="000000"/>
          <w:sz w:val="20"/>
          <w:szCs w:val="20"/>
        </w:rPr>
        <w:t>offering a broad suite of energy advisory, management and fulfillment services, digital and other technology solutions, as well as sustainability products and services across the energy product spectrum. We are principally involved in providing energy proc</w:t>
      </w:r>
      <w:r>
        <w:rPr>
          <w:rFonts w:ascii="Arial" w:eastAsia="Times New Roman" w:hAnsi="Arial" w:cs="Arial"/>
          <w:color w:val="000000"/>
          <w:sz w:val="20"/>
          <w:szCs w:val="20"/>
        </w:rPr>
        <w:t>urement and related products and services to commercial and industrial customers in the aviation, land, and marine transportation industries. We have also expanded our product and service offerings to include energy advisory services, sustainability and re</w:t>
      </w:r>
      <w:r>
        <w:rPr>
          <w:rFonts w:ascii="Arial" w:eastAsia="Times New Roman" w:hAnsi="Arial" w:cs="Arial"/>
          <w:color w:val="000000"/>
          <w:sz w:val="20"/>
          <w:szCs w:val="20"/>
        </w:rPr>
        <w:t>newable energy solutions, as well as supply fulfillment for natural gas and power. We are continuing to focus on advancing the energy transition to lower carbon alternatives through expanding our portfolio of energy solutions and providing customers with g</w:t>
      </w:r>
      <w:r>
        <w:rPr>
          <w:rFonts w:ascii="Arial" w:eastAsia="Times New Roman" w:hAnsi="Arial" w:cs="Arial"/>
          <w:color w:val="000000"/>
          <w:sz w:val="20"/>
          <w:szCs w:val="20"/>
        </w:rPr>
        <w:t>reater access to sustainably sourced energy as well as mechanisms to compensate for residual emissions in the near term.</w:t>
      </w:r>
    </w:p>
    <w:p w:rsidR="00000000" w:rsidRDefault="002223F7">
      <w:pPr>
        <w:jc w:val="both"/>
        <w:divId w:val="1310675212"/>
        <w:rPr>
          <w:rFonts w:eastAsia="Times New Roman"/>
        </w:rPr>
      </w:pPr>
      <w:r>
        <w:rPr>
          <w:rFonts w:ascii="Arial" w:eastAsia="Times New Roman" w:hAnsi="Arial" w:cs="Arial"/>
          <w:color w:val="000000"/>
          <w:sz w:val="20"/>
          <w:szCs w:val="20"/>
        </w:rPr>
        <w:t>We are a signatory to the United Nations ("U.N.") Global Compact and are focused on supporting the U.N.'s principles on human rights, l</w:t>
      </w:r>
      <w:r>
        <w:rPr>
          <w:rFonts w:ascii="Arial" w:eastAsia="Times New Roman" w:hAnsi="Arial" w:cs="Arial"/>
          <w:color w:val="000000"/>
          <w:sz w:val="20"/>
          <w:szCs w:val="20"/>
        </w:rPr>
        <w:t>abor, the environment and anti-corruption through progressing our goals and objectives. We have implemented enhancements to our policies, processes, and governance structure to further strengthen our support of environmental, health, safety, sustainability</w:t>
      </w:r>
      <w:r>
        <w:rPr>
          <w:rFonts w:ascii="Arial" w:eastAsia="Times New Roman" w:hAnsi="Arial" w:cs="Arial"/>
          <w:color w:val="000000"/>
          <w:sz w:val="20"/>
          <w:szCs w:val="20"/>
        </w:rPr>
        <w:t>, diversity, equity and inclusion and other social responsibility issues and impacts.</w:t>
      </w:r>
    </w:p>
    <w:p w:rsidR="00000000" w:rsidRDefault="002223F7">
      <w:pPr>
        <w:jc w:val="both"/>
        <w:divId w:val="1658147142"/>
        <w:rPr>
          <w:rFonts w:eastAsia="Times New Roman"/>
        </w:rPr>
      </w:pPr>
      <w:r>
        <w:rPr>
          <w:rFonts w:ascii="Arial" w:eastAsia="Times New Roman" w:hAnsi="Arial" w:cs="Arial"/>
          <w:color w:val="000000"/>
          <w:sz w:val="20"/>
          <w:szCs w:val="20"/>
        </w:rPr>
        <w:t>We conduct our operations through numerous locations both within the United States ("U.S.") and throughout various foreign jurisdictions. Our principal executive office i</w:t>
      </w:r>
      <w:r>
        <w:rPr>
          <w:rFonts w:ascii="Arial" w:eastAsia="Times New Roman" w:hAnsi="Arial" w:cs="Arial"/>
          <w:color w:val="000000"/>
          <w:sz w:val="20"/>
          <w:szCs w:val="20"/>
        </w:rPr>
        <w:t>s located at 9800 Northwest 41st Street, Miami, Florida 33178 and our telephone number at this address is 305</w:t>
      </w:r>
      <w:r>
        <w:rPr>
          <w:rFonts w:ascii="Arial" w:eastAsia="Times New Roman" w:hAnsi="Arial" w:cs="Arial"/>
          <w:color w:val="000000"/>
          <w:sz w:val="20"/>
          <w:szCs w:val="20"/>
        </w:rPr>
        <w:noBreakHyphen/>
        <w:t>428</w:t>
      </w:r>
      <w:r>
        <w:rPr>
          <w:rFonts w:ascii="Arial" w:eastAsia="Times New Roman" w:hAnsi="Arial" w:cs="Arial"/>
          <w:color w:val="000000"/>
          <w:sz w:val="20"/>
          <w:szCs w:val="20"/>
        </w:rPr>
        <w:noBreakHyphen/>
        <w:t xml:space="preserve">8000. Our internet address is https://www.wfscorp.com and the investor relations section of our website is located at https://ir.wfscorp.com. </w:t>
      </w:r>
      <w:r>
        <w:rPr>
          <w:rFonts w:ascii="Arial" w:eastAsia="Times New Roman" w:hAnsi="Arial" w:cs="Arial"/>
          <w:color w:val="000000"/>
          <w:sz w:val="20"/>
          <w:szCs w:val="20"/>
        </w:rPr>
        <w:t>We make available free of charge, on or through the investor relations section of our website, our Annual Reports on Form 10-K, Quarterly Reports on Form 10-Q, Current Reports on Form 8-K, Proxy Statements and amendments to those reports filed or furnished</w:t>
      </w:r>
      <w:r>
        <w:rPr>
          <w:rFonts w:ascii="Arial" w:eastAsia="Times New Roman" w:hAnsi="Arial" w:cs="Arial"/>
          <w:color w:val="000000"/>
          <w:sz w:val="20"/>
          <w:szCs w:val="20"/>
        </w:rPr>
        <w:t xml:space="preserve"> pursuant to Section 13(a) or 15(d) of the Securities Exchange Act of 1934, as amended (the "Exchange Act") with the Securities and Exchange Commission ("SEC") as soon as reasonably practicable after such material is electronically filed with, or furnished</w:t>
      </w:r>
      <w:r>
        <w:rPr>
          <w:rFonts w:ascii="Arial" w:eastAsia="Times New Roman" w:hAnsi="Arial" w:cs="Arial"/>
          <w:color w:val="000000"/>
          <w:sz w:val="20"/>
          <w:szCs w:val="20"/>
        </w:rPr>
        <w:t xml:space="preserve"> to, the SEC. Also posted on our website are our Code of Conduct ("Code of Conduct"), Board of Directors’ committee charters and Corporate Governance Principles. Our internet website and information contained on our internet website are not part of this 20</w:t>
      </w:r>
      <w:r>
        <w:rPr>
          <w:rFonts w:ascii="Arial" w:eastAsia="Times New Roman" w:hAnsi="Arial" w:cs="Arial"/>
          <w:color w:val="000000"/>
          <w:sz w:val="20"/>
          <w:szCs w:val="20"/>
        </w:rPr>
        <w:t>22 10-K Report and are not incorporated by reference in this 2022 10-K Report.</w:t>
      </w:r>
    </w:p>
    <w:p w:rsidR="00000000" w:rsidRDefault="002223F7">
      <w:pPr>
        <w:jc w:val="both"/>
        <w:divId w:val="439840726"/>
        <w:rPr>
          <w:rFonts w:eastAsia="Times New Roman"/>
        </w:rPr>
      </w:pPr>
      <w:r>
        <w:rPr>
          <w:rFonts w:ascii="Arial" w:eastAsia="Times New Roman" w:hAnsi="Arial" w:cs="Arial"/>
          <w:color w:val="000000"/>
          <w:sz w:val="20"/>
          <w:szCs w:val="20"/>
        </w:rPr>
        <w:t xml:space="preserve">A reference to a "Note" herein refers to the accompanying Notes to the Consolidated Financial Statements within Part IV. Item 15. Notes to the Consolidated Financial Statements </w:t>
      </w:r>
      <w:r>
        <w:rPr>
          <w:rFonts w:ascii="Arial" w:eastAsia="Times New Roman" w:hAnsi="Arial" w:cs="Arial"/>
          <w:color w:val="000000"/>
          <w:sz w:val="20"/>
          <w:szCs w:val="20"/>
        </w:rPr>
        <w:t>included in this 2022 10-K Report.</w:t>
      </w:r>
    </w:p>
    <w:p w:rsidR="00000000" w:rsidRDefault="002223F7">
      <w:pPr>
        <w:divId w:val="397947509"/>
        <w:rPr>
          <w:rFonts w:eastAsia="Times New Roman"/>
        </w:rPr>
      </w:pPr>
      <w:r>
        <w:rPr>
          <w:rFonts w:ascii="Arial" w:eastAsia="Times New Roman" w:hAnsi="Arial" w:cs="Arial"/>
          <w:b/>
          <w:bCs/>
          <w:color w:val="000000"/>
          <w:sz w:val="20"/>
          <w:szCs w:val="20"/>
        </w:rPr>
        <w:t>Reportable Segments</w:t>
      </w:r>
    </w:p>
    <w:p w:rsidR="00000000" w:rsidRDefault="002223F7">
      <w:pPr>
        <w:jc w:val="both"/>
        <w:divId w:val="1315186264"/>
        <w:rPr>
          <w:rFonts w:eastAsia="Times New Roman"/>
        </w:rPr>
      </w:pPr>
      <w:r>
        <w:rPr>
          <w:rFonts w:ascii="Arial" w:eastAsia="Times New Roman" w:hAnsi="Arial" w:cs="Arial"/>
          <w:color w:val="000000"/>
          <w:sz w:val="20"/>
          <w:szCs w:val="20"/>
        </w:rPr>
        <w:t>We operate in three reportable segments consisting of aviation, land, and marine, where we offer fuel and related products and services to customers in these transportation industries.</w:t>
      </w:r>
    </w:p>
    <w:p w:rsidR="00000000" w:rsidRDefault="002223F7">
      <w:pPr>
        <w:jc w:val="both"/>
        <w:divId w:val="298732841"/>
        <w:rPr>
          <w:rFonts w:eastAsia="Times New Roman"/>
        </w:rPr>
      </w:pPr>
      <w:r>
        <w:rPr>
          <w:rFonts w:ascii="Arial" w:eastAsia="Times New Roman" w:hAnsi="Arial" w:cs="Arial"/>
          <w:color w:val="000000"/>
          <w:sz w:val="20"/>
          <w:szCs w:val="20"/>
        </w:rPr>
        <w:t xml:space="preserve">Profit from our </w:t>
      </w:r>
      <w:r>
        <w:rPr>
          <w:rFonts w:ascii="Arial" w:eastAsia="Times New Roman" w:hAnsi="Arial" w:cs="Arial"/>
          <w:color w:val="000000"/>
          <w:sz w:val="20"/>
          <w:szCs w:val="20"/>
        </w:rPr>
        <w:t xml:space="preserve">segments is generally determined by the volume and the unit margin achieved on fuel resales. Profitability in our segments also depends on our operating expenses, which may be materially affected to the extent that we are required to provide for potential </w:t>
      </w:r>
      <w:r>
        <w:rPr>
          <w:rFonts w:ascii="Arial" w:eastAsia="Times New Roman" w:hAnsi="Arial" w:cs="Arial"/>
          <w:color w:val="000000"/>
          <w:sz w:val="20"/>
          <w:szCs w:val="20"/>
        </w:rPr>
        <w:t xml:space="preserve">credit </w:t>
      </w:r>
      <w:r>
        <w:rPr>
          <w:rFonts w:ascii="Arial" w:eastAsia="Times New Roman" w:hAnsi="Arial" w:cs="Arial"/>
          <w:color w:val="000000"/>
          <w:sz w:val="20"/>
          <w:szCs w:val="20"/>
        </w:rPr>
        <w:lastRenderedPageBreak/>
        <w:t>losses. Corporate expenses are allocated to each segment based on usage, where possible, or other factors according to the nature of the activity. We evaluate and manage our business segments using the performance measure of income from operations.</w:t>
      </w:r>
    </w:p>
    <w:p w:rsidR="00000000" w:rsidRDefault="002223F7">
      <w:pPr>
        <w:jc w:val="both"/>
        <w:divId w:val="748964809"/>
        <w:rPr>
          <w:rFonts w:eastAsia="Times New Roman"/>
        </w:rPr>
      </w:pPr>
      <w:r>
        <w:rPr>
          <w:rFonts w:ascii="Arial" w:eastAsia="Times New Roman" w:hAnsi="Arial" w:cs="Arial"/>
          <w:color w:val="000000"/>
          <w:sz w:val="20"/>
          <w:szCs w:val="20"/>
        </w:rPr>
        <w:t>Financial information with respect to our business segments, the geographic areas of our business and our customers is provided below and within Note 14. Business Segments, Geographic Information, and Major Customers.</w:t>
      </w:r>
    </w:p>
    <w:p w:rsidR="00000000" w:rsidRDefault="002223F7">
      <w:pPr>
        <w:divId w:val="1793942608"/>
        <w:rPr>
          <w:rFonts w:eastAsia="Times New Roman"/>
        </w:rPr>
      </w:pPr>
      <w:r>
        <w:rPr>
          <w:rFonts w:ascii="Arial" w:eastAsia="Times New Roman" w:hAnsi="Arial" w:cs="Arial"/>
          <w:color w:val="000000"/>
          <w:sz w:val="20"/>
          <w:szCs w:val="20"/>
          <w:u w:val="single"/>
        </w:rPr>
        <w:t>Aviation Segment</w:t>
      </w:r>
    </w:p>
    <w:p w:rsidR="00000000" w:rsidRDefault="002223F7">
      <w:pPr>
        <w:jc w:val="both"/>
        <w:divId w:val="1681934244"/>
        <w:rPr>
          <w:rFonts w:eastAsia="Times New Roman"/>
        </w:rPr>
      </w:pPr>
      <w:r>
        <w:rPr>
          <w:rFonts w:ascii="Arial" w:eastAsia="Times New Roman" w:hAnsi="Arial" w:cs="Arial"/>
          <w:color w:val="000000"/>
          <w:sz w:val="20"/>
          <w:szCs w:val="20"/>
        </w:rPr>
        <w:t>We provide global aviation fuel supply and comprehensive service solutions to major commercial airlines, second and third-tier airlines, cargo carriers, regional and low-cost carriers, airports, fixed-based operators, corporate fleets, charter and fraction</w:t>
      </w:r>
      <w:r>
        <w:rPr>
          <w:rFonts w:ascii="Arial" w:eastAsia="Times New Roman" w:hAnsi="Arial" w:cs="Arial"/>
          <w:color w:val="000000"/>
          <w:sz w:val="20"/>
          <w:szCs w:val="20"/>
        </w:rPr>
        <w:t xml:space="preserve">al operators and private aircraft. Our aviation-related service offerings include fuel management, price risk management, ground handling, 24/7 global dispatch services, and trip planning services, including flight planning and scheduling, weather reports </w:t>
      </w:r>
      <w:r>
        <w:rPr>
          <w:rFonts w:ascii="Arial" w:eastAsia="Times New Roman" w:hAnsi="Arial" w:cs="Arial"/>
          <w:color w:val="000000"/>
          <w:sz w:val="20"/>
          <w:szCs w:val="20"/>
        </w:rPr>
        <w:t xml:space="preserve">and overflight permits. We also supply fuel and provide services to U.S. </w:t>
      </w:r>
    </w:p>
    <w:p w:rsidR="00000000" w:rsidRDefault="002223F7">
      <w:pPr>
        <w:jc w:val="center"/>
        <w:divId w:val="2106028658"/>
        <w:rPr>
          <w:rFonts w:eastAsia="Times New Roman"/>
        </w:rPr>
      </w:pPr>
      <w:r>
        <w:rPr>
          <w:rFonts w:ascii="Arial" w:eastAsia="Times New Roman" w:hAnsi="Arial" w:cs="Arial"/>
          <w:color w:val="000000"/>
          <w:sz w:val="16"/>
          <w:szCs w:val="16"/>
        </w:rPr>
        <w:t>1</w:t>
      </w:r>
    </w:p>
    <w:p w:rsidR="00000000" w:rsidRDefault="002223F7">
      <w:pPr>
        <w:rPr>
          <w:rFonts w:eastAsia="Times New Roman"/>
        </w:rPr>
      </w:pPr>
      <w:r>
        <w:rPr>
          <w:rFonts w:eastAsia="Times New Roman"/>
        </w:rPr>
        <w:pict>
          <v:rect id="_x0000_i1029" style="width:0;height:1.5pt" o:hralign="center" o:hrstd="t" o:hr="t" fillcolor="#a0a0a0" stroked="f"/>
        </w:pict>
      </w:r>
    </w:p>
    <w:p w:rsidR="00000000" w:rsidRDefault="002223F7">
      <w:pPr>
        <w:jc w:val="both"/>
        <w:divId w:val="892041668"/>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1544708261"/>
        <w:rPr>
          <w:rFonts w:eastAsia="Times New Roman"/>
        </w:rPr>
      </w:pPr>
      <w:r>
        <w:rPr>
          <w:rFonts w:ascii="Arial" w:eastAsia="Times New Roman" w:hAnsi="Arial" w:cs="Arial"/>
          <w:color w:val="000000"/>
          <w:sz w:val="20"/>
          <w:szCs w:val="20"/>
        </w:rPr>
        <w:t xml:space="preserve">and foreign government and military customers, such as the U.S. Defense Logistics Agency and the North Atlantic Treaty Organization ("NATO") (collectively, "government customers"). In addition, we offer a growing suite of digital and technology solutions, </w:t>
      </w:r>
      <w:r>
        <w:rPr>
          <w:rFonts w:ascii="Arial" w:eastAsia="Times New Roman" w:hAnsi="Arial" w:cs="Arial"/>
          <w:color w:val="000000"/>
          <w:sz w:val="20"/>
          <w:szCs w:val="20"/>
        </w:rPr>
        <w:t>including payment and processing services, as well as operate a web-based marketplace platform that facilitates aircraft charter arrangements.</w:t>
      </w:r>
    </w:p>
    <w:p w:rsidR="00000000" w:rsidRDefault="002223F7">
      <w:pPr>
        <w:jc w:val="both"/>
        <w:divId w:val="848183368"/>
        <w:rPr>
          <w:rFonts w:eastAsia="Times New Roman"/>
        </w:rPr>
      </w:pPr>
      <w:r>
        <w:rPr>
          <w:rFonts w:ascii="Arial" w:eastAsia="Times New Roman" w:hAnsi="Arial" w:cs="Arial"/>
          <w:color w:val="000000"/>
          <w:sz w:val="20"/>
          <w:szCs w:val="20"/>
        </w:rPr>
        <w:t>Given that fuel is a major component of an aircraft’s operating costs, our customers require cost-effective and p</w:t>
      </w:r>
      <w:r>
        <w:rPr>
          <w:rFonts w:ascii="Arial" w:eastAsia="Times New Roman" w:hAnsi="Arial" w:cs="Arial"/>
          <w:color w:val="000000"/>
          <w:sz w:val="20"/>
          <w:szCs w:val="20"/>
        </w:rPr>
        <w:t xml:space="preserve">rofessional fuel services. We have developed an extensive network consisting of on-airport fueling operations and third-party suppliers and service providers that enable us to provide aviation fuel and related services throughout the world. We believe the </w:t>
      </w:r>
      <w:r>
        <w:rPr>
          <w:rFonts w:ascii="Arial" w:eastAsia="Times New Roman" w:hAnsi="Arial" w:cs="Arial"/>
          <w:color w:val="000000"/>
          <w:sz w:val="20"/>
          <w:szCs w:val="20"/>
        </w:rPr>
        <w:t>breadth of our service offerings combined with our global supplier network is a strategic differentiator that allows customers to secure fuel and high-quality services in locations worldwide.</w:t>
      </w:r>
    </w:p>
    <w:p w:rsidR="00000000" w:rsidRDefault="002223F7">
      <w:pPr>
        <w:jc w:val="both"/>
        <w:divId w:val="341323802"/>
        <w:rPr>
          <w:rFonts w:eastAsia="Times New Roman"/>
        </w:rPr>
      </w:pPr>
      <w:r>
        <w:rPr>
          <w:rFonts w:ascii="Arial" w:eastAsia="Times New Roman" w:hAnsi="Arial" w:cs="Arial"/>
          <w:color w:val="000000"/>
          <w:sz w:val="20"/>
          <w:szCs w:val="20"/>
        </w:rPr>
        <w:t>We purchase our aviation fuel from suppliers worldwide. Fuel may</w:t>
      </w:r>
      <w:r>
        <w:rPr>
          <w:rFonts w:ascii="Arial" w:eastAsia="Times New Roman" w:hAnsi="Arial" w:cs="Arial"/>
          <w:color w:val="000000"/>
          <w:sz w:val="20"/>
          <w:szCs w:val="20"/>
        </w:rPr>
        <w:t xml:space="preserve"> be delivered into our customers’ aircraft or to a designated storage facility located at one of our locations or our suppliers’ locations pursuant to arrangements with them. Inventory is purchased at airport locations or shipped, typically via pipelines o</w:t>
      </w:r>
      <w:r>
        <w:rPr>
          <w:rFonts w:ascii="Arial" w:eastAsia="Times New Roman" w:hAnsi="Arial" w:cs="Arial"/>
          <w:color w:val="000000"/>
          <w:sz w:val="20"/>
          <w:szCs w:val="20"/>
        </w:rPr>
        <w:t xml:space="preserve">r truck, and held at multiple locations in order to meet the needs of our customers. We engage in contract sales, which are sales made pursuant to fuel purchase contracts with customers who commit to purchasing fuel from us over the contract term. We also </w:t>
      </w:r>
      <w:r>
        <w:rPr>
          <w:rFonts w:ascii="Arial" w:eastAsia="Times New Roman" w:hAnsi="Arial" w:cs="Arial"/>
          <w:color w:val="000000"/>
          <w:sz w:val="20"/>
          <w:szCs w:val="20"/>
        </w:rPr>
        <w:t>conduct spot sales, which are sales that do not involve continuing contractual obligations by our customers to purchase fuel from us. Our cost of fuel is generally tied to market-based formulas or government-controlled prices. Additionally, we have been ta</w:t>
      </w:r>
      <w:r>
        <w:rPr>
          <w:rFonts w:ascii="Arial" w:eastAsia="Times New Roman" w:hAnsi="Arial" w:cs="Arial"/>
          <w:color w:val="000000"/>
          <w:sz w:val="20"/>
          <w:szCs w:val="20"/>
        </w:rPr>
        <w:t>king actions designed to increase the availability of renewable and lower-carbon fuels such as sustainable aviation fuel ("SAF") and are working to expand and develop our supply chain with the vision to make SAF an everyday purchase.</w:t>
      </w:r>
    </w:p>
    <w:p w:rsidR="00000000" w:rsidRDefault="002223F7">
      <w:pPr>
        <w:divId w:val="2045786971"/>
        <w:rPr>
          <w:rFonts w:eastAsia="Times New Roman"/>
        </w:rPr>
      </w:pPr>
      <w:r>
        <w:rPr>
          <w:rFonts w:ascii="Arial" w:eastAsia="Times New Roman" w:hAnsi="Arial" w:cs="Arial"/>
          <w:color w:val="000000"/>
          <w:sz w:val="20"/>
          <w:szCs w:val="20"/>
          <w:u w:val="single"/>
        </w:rPr>
        <w:t>Land Segment</w:t>
      </w:r>
    </w:p>
    <w:p w:rsidR="00000000" w:rsidRDefault="002223F7">
      <w:pPr>
        <w:jc w:val="both"/>
        <w:divId w:val="941692280"/>
        <w:rPr>
          <w:rFonts w:eastAsia="Times New Roman"/>
        </w:rPr>
      </w:pPr>
      <w:r>
        <w:rPr>
          <w:rFonts w:ascii="Arial" w:eastAsia="Times New Roman" w:hAnsi="Arial" w:cs="Arial"/>
          <w:color w:val="000000"/>
          <w:sz w:val="20"/>
          <w:szCs w:val="20"/>
        </w:rPr>
        <w:t>In our la</w:t>
      </w:r>
      <w:r>
        <w:rPr>
          <w:rFonts w:ascii="Arial" w:eastAsia="Times New Roman" w:hAnsi="Arial" w:cs="Arial"/>
          <w:color w:val="000000"/>
          <w:sz w:val="20"/>
          <w:szCs w:val="20"/>
        </w:rPr>
        <w:t>nd segment, we primarily offer fuel, lubricants, heating oil, natural gas, power, and related products and related services to commercial, industrial, residential and government customers, as well as retail petroleum operators. We have also expanded our of</w:t>
      </w:r>
      <w:r>
        <w:rPr>
          <w:rFonts w:ascii="Arial" w:eastAsia="Times New Roman" w:hAnsi="Arial" w:cs="Arial"/>
          <w:color w:val="000000"/>
          <w:sz w:val="20"/>
          <w:szCs w:val="20"/>
        </w:rPr>
        <w:t>ferings to include lower carbon alternatives, such as renewable diesel (also known as hydrotreated vegetable oil or "HVO"), biodiesel, and renewable natural gas (biogas). We primarily conduct these activities throughout most of the U.S. as well as parts of</w:t>
      </w:r>
      <w:r>
        <w:rPr>
          <w:rFonts w:ascii="Arial" w:eastAsia="Times New Roman" w:hAnsi="Arial" w:cs="Arial"/>
          <w:color w:val="000000"/>
          <w:sz w:val="20"/>
          <w:szCs w:val="20"/>
        </w:rPr>
        <w:t xml:space="preserve"> the United Kingdom ("U.K.") and Brazil. Our services include energy procurement management, price risk management, as well as sustainability solutions, such as carbon management and renewable energy solutions through World Kinect, our global energy manage</w:t>
      </w:r>
      <w:r>
        <w:rPr>
          <w:rFonts w:ascii="Arial" w:eastAsia="Times New Roman" w:hAnsi="Arial" w:cs="Arial"/>
          <w:color w:val="000000"/>
          <w:sz w:val="20"/>
          <w:szCs w:val="20"/>
        </w:rPr>
        <w:t>ment brand.</w:t>
      </w:r>
    </w:p>
    <w:p w:rsidR="00000000" w:rsidRDefault="002223F7">
      <w:pPr>
        <w:jc w:val="both"/>
        <w:divId w:val="869954641"/>
        <w:rPr>
          <w:rFonts w:eastAsia="Times New Roman"/>
        </w:rPr>
      </w:pPr>
      <w:r>
        <w:rPr>
          <w:rFonts w:ascii="Arial" w:eastAsia="Times New Roman" w:hAnsi="Arial" w:cs="Arial"/>
          <w:color w:val="000000"/>
          <w:sz w:val="20"/>
          <w:szCs w:val="20"/>
        </w:rPr>
        <w:t>In connection with our fuel marketing activities, we distribute fuel under long-term contracts to branded and unbranded distributors, convenience stores and retail fuel outlets operated by third parties. We also distribute heating oil to reside</w:t>
      </w:r>
      <w:r>
        <w:rPr>
          <w:rFonts w:ascii="Arial" w:eastAsia="Times New Roman" w:hAnsi="Arial" w:cs="Arial"/>
          <w:color w:val="000000"/>
          <w:sz w:val="20"/>
          <w:szCs w:val="20"/>
        </w:rPr>
        <w:t xml:space="preserve">ntial customers and unbranded fuel to numerous </w:t>
      </w:r>
      <w:r>
        <w:rPr>
          <w:rFonts w:ascii="Arial" w:eastAsia="Times New Roman" w:hAnsi="Arial" w:cs="Arial"/>
          <w:color w:val="000000"/>
          <w:sz w:val="20"/>
          <w:szCs w:val="20"/>
        </w:rPr>
        <w:lastRenderedPageBreak/>
        <w:t>other customers, including commercial and industrial customers, such as manufacturing, mining, agriculture, construction, and oil and gas exploration companies. These transactions may be pursuant to fuel purch</w:t>
      </w:r>
      <w:r>
        <w:rPr>
          <w:rFonts w:ascii="Arial" w:eastAsia="Times New Roman" w:hAnsi="Arial" w:cs="Arial"/>
          <w:color w:val="000000"/>
          <w:sz w:val="20"/>
          <w:szCs w:val="20"/>
        </w:rPr>
        <w:t>ase contracts or through spot sales. In certain instances, we serve as a reseller, where we purchase fuel from a supplier and contemporaneously resell it to our customers through spot and contract sales. We also maintain inventory in certain strategic loca</w:t>
      </w:r>
      <w:r>
        <w:rPr>
          <w:rFonts w:ascii="Arial" w:eastAsia="Times New Roman" w:hAnsi="Arial" w:cs="Arial"/>
          <w:color w:val="000000"/>
          <w:sz w:val="20"/>
          <w:szCs w:val="20"/>
        </w:rPr>
        <w:t>tions, the cost of which is generally tied to market-based formulas.</w:t>
      </w:r>
    </w:p>
    <w:p w:rsidR="00000000" w:rsidRDefault="002223F7">
      <w:pPr>
        <w:jc w:val="both"/>
        <w:divId w:val="1682078075"/>
        <w:rPr>
          <w:rFonts w:eastAsia="Times New Roman"/>
        </w:rPr>
      </w:pPr>
      <w:r>
        <w:rPr>
          <w:rFonts w:ascii="Arial" w:eastAsia="Times New Roman" w:hAnsi="Arial" w:cs="Arial"/>
          <w:color w:val="000000"/>
          <w:sz w:val="20"/>
          <w:szCs w:val="20"/>
        </w:rPr>
        <w:t>Finally, we also provide transportation logistics for our product deliveries, including arranging for fuel products to be delivered from storage terminals to the appropriate sites through</w:t>
      </w:r>
      <w:r>
        <w:rPr>
          <w:rFonts w:ascii="Arial" w:eastAsia="Times New Roman" w:hAnsi="Arial" w:cs="Arial"/>
          <w:color w:val="000000"/>
          <w:sz w:val="20"/>
          <w:szCs w:val="20"/>
        </w:rPr>
        <w:t xml:space="preserve"> our own fleet of trucks as well as third-party transportation providers. The fuel is generally delivered to our customers directly or to a designated tanker truck loading terminal commonly referred to as "racks," which are owned and operated by our suppli</w:t>
      </w:r>
      <w:r>
        <w:rPr>
          <w:rFonts w:ascii="Arial" w:eastAsia="Times New Roman" w:hAnsi="Arial" w:cs="Arial"/>
          <w:color w:val="000000"/>
          <w:sz w:val="20"/>
          <w:szCs w:val="20"/>
        </w:rPr>
        <w:t>ers or other third-parties.</w:t>
      </w:r>
    </w:p>
    <w:p w:rsidR="00000000" w:rsidRDefault="002223F7">
      <w:pPr>
        <w:jc w:val="both"/>
        <w:divId w:val="512382190"/>
        <w:rPr>
          <w:rFonts w:eastAsia="Times New Roman"/>
        </w:rPr>
      </w:pPr>
      <w:r>
        <w:rPr>
          <w:rFonts w:ascii="Arial" w:eastAsia="Times New Roman" w:hAnsi="Arial" w:cs="Arial"/>
          <w:color w:val="000000"/>
          <w:sz w:val="20"/>
          <w:szCs w:val="20"/>
        </w:rPr>
        <w:t>On January 3, 2022, we closed the acquisition of all of the outstanding equity interest in Flyers Energy Group, LLC ("Flyers"). Flyers' operations include transportation, commercial fleet fueling, lubricants distribution, and th</w:t>
      </w:r>
      <w:r>
        <w:rPr>
          <w:rFonts w:ascii="Arial" w:eastAsia="Times New Roman" w:hAnsi="Arial" w:cs="Arial"/>
          <w:color w:val="000000"/>
          <w:sz w:val="20"/>
          <w:szCs w:val="20"/>
        </w:rPr>
        <w:t>e supply of wholesale, branded and renewable fuels. See Note 3. Acquisitions and Divestitures for additional information.</w:t>
      </w:r>
    </w:p>
    <w:p w:rsidR="00000000" w:rsidRDefault="002223F7">
      <w:pPr>
        <w:divId w:val="1224489509"/>
        <w:rPr>
          <w:rFonts w:eastAsia="Times New Roman"/>
        </w:rPr>
      </w:pPr>
      <w:r>
        <w:rPr>
          <w:rFonts w:ascii="Arial" w:eastAsia="Times New Roman" w:hAnsi="Arial" w:cs="Arial"/>
          <w:color w:val="000000"/>
          <w:sz w:val="20"/>
          <w:szCs w:val="20"/>
          <w:u w:val="single"/>
        </w:rPr>
        <w:t>Marine Segment</w:t>
      </w:r>
    </w:p>
    <w:p w:rsidR="00000000" w:rsidRDefault="002223F7">
      <w:pPr>
        <w:jc w:val="both"/>
        <w:divId w:val="901452299"/>
        <w:rPr>
          <w:rFonts w:eastAsia="Times New Roman"/>
        </w:rPr>
      </w:pPr>
      <w:r>
        <w:rPr>
          <w:rFonts w:ascii="Arial" w:eastAsia="Times New Roman" w:hAnsi="Arial" w:cs="Arial"/>
          <w:color w:val="000000"/>
          <w:sz w:val="20"/>
          <w:szCs w:val="20"/>
        </w:rPr>
        <w:t>Through our extensive network, we market fuel, lubricants and related products and services to a broad base of marine c</w:t>
      </w:r>
      <w:r>
        <w:rPr>
          <w:rFonts w:ascii="Arial" w:eastAsia="Times New Roman" w:hAnsi="Arial" w:cs="Arial"/>
          <w:color w:val="000000"/>
          <w:sz w:val="20"/>
          <w:szCs w:val="20"/>
        </w:rPr>
        <w:t>ustomers, including international container, dry bulk and tanker fleets, commercial cruise lines, yachts and time-charter operators, U.S. and foreign governments, as well as other fuel suppliers. We provide our customers with real-time global market intell</w:t>
      </w:r>
      <w:r>
        <w:rPr>
          <w:rFonts w:ascii="Arial" w:eastAsia="Times New Roman" w:hAnsi="Arial" w:cs="Arial"/>
          <w:color w:val="000000"/>
          <w:sz w:val="20"/>
          <w:szCs w:val="20"/>
        </w:rPr>
        <w:t>igence and rapid access to quality and competitively priced marine fuel 24 hours a day, every day of the year. Our marine fuel-related services include management services for the procurement of fuel, cost control through the use of price risk management o</w:t>
      </w:r>
      <w:r>
        <w:rPr>
          <w:rFonts w:ascii="Arial" w:eastAsia="Times New Roman" w:hAnsi="Arial" w:cs="Arial"/>
          <w:color w:val="000000"/>
          <w:sz w:val="20"/>
          <w:szCs w:val="20"/>
        </w:rPr>
        <w:t>fferings, quality control and claims management. We have also sought to take a leading role in developing a sustainable marine fuel supply chain. Through collaboration with suppliers, customers and other industry participants, we are actively working to cr</w:t>
      </w:r>
      <w:r>
        <w:rPr>
          <w:rFonts w:ascii="Arial" w:eastAsia="Times New Roman" w:hAnsi="Arial" w:cs="Arial"/>
          <w:color w:val="000000"/>
          <w:sz w:val="20"/>
          <w:szCs w:val="20"/>
        </w:rPr>
        <w:t>eate near-term solutions and identify lower carbon alternatives that will enable the acceleration of the energy transition in the maritime industry.</w:t>
      </w:r>
    </w:p>
    <w:p w:rsidR="00000000" w:rsidRDefault="002223F7">
      <w:pPr>
        <w:jc w:val="center"/>
        <w:divId w:val="1326203200"/>
        <w:rPr>
          <w:rFonts w:eastAsia="Times New Roman"/>
        </w:rPr>
      </w:pPr>
      <w:r>
        <w:rPr>
          <w:rFonts w:ascii="Arial" w:eastAsia="Times New Roman" w:hAnsi="Arial" w:cs="Arial"/>
          <w:color w:val="000000"/>
          <w:sz w:val="16"/>
          <w:szCs w:val="16"/>
        </w:rPr>
        <w:t>2</w:t>
      </w:r>
    </w:p>
    <w:p w:rsidR="00000000" w:rsidRDefault="002223F7">
      <w:pPr>
        <w:rPr>
          <w:rFonts w:eastAsia="Times New Roman"/>
        </w:rPr>
      </w:pPr>
      <w:r>
        <w:rPr>
          <w:rFonts w:eastAsia="Times New Roman"/>
        </w:rPr>
        <w:pict>
          <v:rect id="_x0000_i1030" style="width:0;height:1.5pt" o:hralign="center" o:hrstd="t" o:hr="t" fillcolor="#a0a0a0" stroked="f"/>
        </w:pict>
      </w:r>
    </w:p>
    <w:p w:rsidR="00000000" w:rsidRDefault="002223F7">
      <w:pPr>
        <w:jc w:val="both"/>
        <w:divId w:val="577524885"/>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1957446221"/>
        <w:rPr>
          <w:rFonts w:eastAsia="Times New Roman"/>
        </w:rPr>
      </w:pPr>
      <w:r>
        <w:rPr>
          <w:rFonts w:ascii="Arial" w:eastAsia="Times New Roman" w:hAnsi="Arial" w:cs="Arial"/>
          <w:color w:val="000000"/>
          <w:sz w:val="20"/>
          <w:szCs w:val="20"/>
        </w:rPr>
        <w:t>We serve primarily as a reseller, where we take delivery for fuel purchased from our supplier at the same place and time as the fuel is sold to our customer. We also sell fuel from our inventory, which we maintain in storage facilities that we own or lease</w:t>
      </w:r>
      <w:r>
        <w:rPr>
          <w:rFonts w:ascii="Arial" w:eastAsia="Times New Roman" w:hAnsi="Arial" w:cs="Arial"/>
          <w:color w:val="000000"/>
          <w:sz w:val="20"/>
          <w:szCs w:val="20"/>
        </w:rPr>
        <w:t>. In certain cases, we serve as a broker and are paid a commission for negotiating the fuel purchase transaction between the supplier and the end-user, as well as for expediting delivery of the fuel.</w:t>
      </w:r>
    </w:p>
    <w:p w:rsidR="00000000" w:rsidRDefault="002223F7">
      <w:pPr>
        <w:jc w:val="both"/>
        <w:divId w:val="443379850"/>
        <w:rPr>
          <w:rFonts w:eastAsia="Times New Roman"/>
        </w:rPr>
      </w:pPr>
      <w:r>
        <w:rPr>
          <w:rFonts w:ascii="Arial" w:eastAsia="Times New Roman" w:hAnsi="Arial" w:cs="Arial"/>
          <w:color w:val="000000"/>
          <w:sz w:val="20"/>
          <w:szCs w:val="20"/>
        </w:rPr>
        <w:t xml:space="preserve">The majority of our marine segment activity consists of </w:t>
      </w:r>
      <w:r>
        <w:rPr>
          <w:rFonts w:ascii="Arial" w:eastAsia="Times New Roman" w:hAnsi="Arial" w:cs="Arial"/>
          <w:color w:val="000000"/>
          <w:sz w:val="20"/>
          <w:szCs w:val="20"/>
        </w:rPr>
        <w:t xml:space="preserve">spot sales. Our cost of fuel is generally tied to spot pricing, market-based formulas, or government-controlled prices. We also contract with third parties to provide various services for our customers, including fueling of vessels in ports and at sea and </w:t>
      </w:r>
      <w:r>
        <w:rPr>
          <w:rFonts w:ascii="Arial" w:eastAsia="Times New Roman" w:hAnsi="Arial" w:cs="Arial"/>
          <w:color w:val="000000"/>
          <w:sz w:val="20"/>
          <w:szCs w:val="20"/>
        </w:rPr>
        <w:t>transportation and delivery of fuel and fuel-related products.</w:t>
      </w:r>
    </w:p>
    <w:p w:rsidR="00000000" w:rsidRDefault="002223F7">
      <w:pPr>
        <w:divId w:val="197357605"/>
        <w:rPr>
          <w:rFonts w:eastAsia="Times New Roman"/>
        </w:rPr>
      </w:pPr>
      <w:r>
        <w:rPr>
          <w:rFonts w:ascii="Arial" w:eastAsia="Times New Roman" w:hAnsi="Arial" w:cs="Arial"/>
          <w:b/>
          <w:bCs/>
          <w:color w:val="000000"/>
          <w:sz w:val="20"/>
          <w:szCs w:val="20"/>
        </w:rPr>
        <w:t>Competitors</w:t>
      </w:r>
    </w:p>
    <w:p w:rsidR="00000000" w:rsidRDefault="002223F7">
      <w:pPr>
        <w:jc w:val="both"/>
        <w:divId w:val="1588271956"/>
        <w:rPr>
          <w:rFonts w:eastAsia="Times New Roman"/>
        </w:rPr>
      </w:pPr>
      <w:r>
        <w:rPr>
          <w:rFonts w:ascii="Arial" w:eastAsia="Times New Roman" w:hAnsi="Arial" w:cs="Arial"/>
          <w:color w:val="000000"/>
          <w:sz w:val="20"/>
          <w:szCs w:val="20"/>
        </w:rPr>
        <w:t>We operate globally across industries that are highly fragmented with numerous competitors. Our competitors range in size and complexity from large multinational corporations, which</w:t>
      </w:r>
      <w:r>
        <w:rPr>
          <w:rFonts w:ascii="Arial" w:eastAsia="Times New Roman" w:hAnsi="Arial" w:cs="Arial"/>
          <w:color w:val="000000"/>
          <w:sz w:val="20"/>
          <w:szCs w:val="20"/>
        </w:rPr>
        <w:t xml:space="preserve"> have significantly greater capital resources than us, to relatively small and specialized firms. In our fuel distribution activities, we compete with major oil companies that market fuel directly to the large commercial airlines, shipping companies and pe</w:t>
      </w:r>
      <w:r>
        <w:rPr>
          <w:rFonts w:ascii="Arial" w:eastAsia="Times New Roman" w:hAnsi="Arial" w:cs="Arial"/>
          <w:color w:val="000000"/>
          <w:sz w:val="20"/>
          <w:szCs w:val="20"/>
        </w:rPr>
        <w:t>troleum distributors operating in the land transportation market as well as fuel resellers. We compete, among other things, on the basis of service, convenience, reliability, availability of trade credit and price. We believe that our extensive market know</w:t>
      </w:r>
      <w:r>
        <w:rPr>
          <w:rFonts w:ascii="Arial" w:eastAsia="Times New Roman" w:hAnsi="Arial" w:cs="Arial"/>
          <w:color w:val="000000"/>
          <w:sz w:val="20"/>
          <w:szCs w:val="20"/>
        </w:rPr>
        <w:t xml:space="preserve">ledge, worldwide footprint, logistics expertise and support, the use of price risk management offerings, and value-added benefits, including single-supplier convenience, fuel quality control and fuel procurement outsourcing, give us the ability to compete </w:t>
      </w:r>
      <w:r>
        <w:rPr>
          <w:rFonts w:ascii="Arial" w:eastAsia="Times New Roman" w:hAnsi="Arial" w:cs="Arial"/>
          <w:color w:val="000000"/>
          <w:sz w:val="20"/>
          <w:szCs w:val="20"/>
        </w:rPr>
        <w:t>within those markets.</w:t>
      </w:r>
    </w:p>
    <w:p w:rsidR="00000000" w:rsidRDefault="002223F7">
      <w:pPr>
        <w:divId w:val="1747143608"/>
        <w:rPr>
          <w:rFonts w:eastAsia="Times New Roman"/>
        </w:rPr>
      </w:pPr>
      <w:r>
        <w:rPr>
          <w:rFonts w:ascii="Arial" w:eastAsia="Times New Roman" w:hAnsi="Arial" w:cs="Arial"/>
          <w:b/>
          <w:bCs/>
          <w:color w:val="000000"/>
          <w:sz w:val="20"/>
          <w:szCs w:val="20"/>
        </w:rPr>
        <w:t>Seasonality</w:t>
      </w:r>
    </w:p>
    <w:p w:rsidR="00000000" w:rsidRDefault="002223F7">
      <w:pPr>
        <w:jc w:val="both"/>
        <w:divId w:val="1649943610"/>
        <w:rPr>
          <w:rFonts w:eastAsia="Times New Roman"/>
        </w:rPr>
      </w:pPr>
      <w:r>
        <w:rPr>
          <w:rFonts w:ascii="Arial" w:eastAsia="Times New Roman" w:hAnsi="Arial" w:cs="Arial"/>
          <w:color w:val="000000"/>
          <w:sz w:val="20"/>
          <w:szCs w:val="20"/>
        </w:rPr>
        <w:t>Our operating results are subject to seasonal variability. Our seasonality results from numerous factors, including traditionally higher demand for natural gas and home heating oil during the winter months and aviation and</w:t>
      </w:r>
      <w:r>
        <w:rPr>
          <w:rFonts w:ascii="Arial" w:eastAsia="Times New Roman" w:hAnsi="Arial" w:cs="Arial"/>
          <w:color w:val="000000"/>
          <w:sz w:val="20"/>
          <w:szCs w:val="20"/>
        </w:rPr>
        <w:t xml:space="preserve"> land fuel during the summer months, as well as other seasonal weather patterns. As such, our results of operations may fluctuate from period to period.</w:t>
      </w:r>
    </w:p>
    <w:p w:rsidR="00000000" w:rsidRDefault="002223F7">
      <w:pPr>
        <w:divId w:val="1649557356"/>
        <w:rPr>
          <w:rFonts w:eastAsia="Times New Roman"/>
        </w:rPr>
      </w:pPr>
      <w:r>
        <w:rPr>
          <w:rFonts w:ascii="Arial" w:eastAsia="Times New Roman" w:hAnsi="Arial" w:cs="Arial"/>
          <w:b/>
          <w:bCs/>
          <w:color w:val="000000"/>
          <w:sz w:val="20"/>
          <w:szCs w:val="20"/>
        </w:rPr>
        <w:t>Governmental Regulation</w:t>
      </w:r>
    </w:p>
    <w:p w:rsidR="00000000" w:rsidRDefault="002223F7">
      <w:pPr>
        <w:divId w:val="822085458"/>
        <w:rPr>
          <w:rFonts w:eastAsia="Times New Roman"/>
        </w:rPr>
      </w:pPr>
      <w:r>
        <w:rPr>
          <w:rFonts w:ascii="Arial" w:eastAsia="Times New Roman" w:hAnsi="Arial" w:cs="Arial"/>
          <w:color w:val="000000"/>
          <w:sz w:val="20"/>
          <w:szCs w:val="20"/>
          <w:u w:val="single"/>
        </w:rPr>
        <w:t>Environment</w:t>
      </w:r>
    </w:p>
    <w:p w:rsidR="00000000" w:rsidRDefault="002223F7">
      <w:pPr>
        <w:jc w:val="both"/>
        <w:divId w:val="1657151147"/>
        <w:rPr>
          <w:rFonts w:eastAsia="Times New Roman"/>
        </w:rPr>
      </w:pPr>
      <w:r>
        <w:rPr>
          <w:rFonts w:ascii="Arial" w:eastAsia="Times New Roman" w:hAnsi="Arial" w:cs="Arial"/>
          <w:color w:val="000000"/>
          <w:sz w:val="20"/>
          <w:szCs w:val="20"/>
        </w:rPr>
        <w:t>Supplying fuel safely and securely is a top priority. We monitor an</w:t>
      </w:r>
      <w:r>
        <w:rPr>
          <w:rFonts w:ascii="Arial" w:eastAsia="Times New Roman" w:hAnsi="Arial" w:cs="Arial"/>
          <w:color w:val="000000"/>
          <w:sz w:val="20"/>
          <w:szCs w:val="20"/>
        </w:rPr>
        <w:t>d manage our operations through processes and procedures designed to avoid and minimize our effects and impacts on the environment. Our business activities are subject to numerous federal, state, local and international laws, regulations and administrative</w:t>
      </w:r>
      <w:r>
        <w:rPr>
          <w:rFonts w:ascii="Arial" w:eastAsia="Times New Roman" w:hAnsi="Arial" w:cs="Arial"/>
          <w:color w:val="000000"/>
          <w:sz w:val="20"/>
          <w:szCs w:val="20"/>
        </w:rPr>
        <w:t xml:space="preserve"> requirements, including those relating to the sale, blending, storage, transportation, delivery and disposal of fuel and the collection, transportation, processing, storage, use and disposal of hazardous substances and wastes. For example, U.S. federal an</w:t>
      </w:r>
      <w:r>
        <w:rPr>
          <w:rFonts w:ascii="Arial" w:eastAsia="Times New Roman" w:hAnsi="Arial" w:cs="Arial"/>
          <w:color w:val="000000"/>
          <w:sz w:val="20"/>
          <w:szCs w:val="20"/>
        </w:rPr>
        <w:t>d state environmental laws applicable to us include statutes that: (i) allocate the cost of remedying contamination among specifically identified parties; (ii) impose national ambient standards and, in some cases, emission standards, for air pollutants tha</w:t>
      </w:r>
      <w:r>
        <w:rPr>
          <w:rFonts w:ascii="Arial" w:eastAsia="Times New Roman" w:hAnsi="Arial" w:cs="Arial"/>
          <w:color w:val="000000"/>
          <w:sz w:val="20"/>
          <w:szCs w:val="20"/>
        </w:rPr>
        <w:t>t present a risk to public health or welfare; (iii) govern the management, treatment, storage and disposal of hazardous wastes; and (iv) regulate the discharge of pollutants into waterways. International treaties also prohibit the discharge of petroleum pr</w:t>
      </w:r>
      <w:r>
        <w:rPr>
          <w:rFonts w:ascii="Arial" w:eastAsia="Times New Roman" w:hAnsi="Arial" w:cs="Arial"/>
          <w:color w:val="000000"/>
          <w:sz w:val="20"/>
          <w:szCs w:val="20"/>
        </w:rPr>
        <w:t xml:space="preserve">oducts at sea. </w:t>
      </w:r>
    </w:p>
    <w:p w:rsidR="00000000" w:rsidRDefault="002223F7">
      <w:pPr>
        <w:jc w:val="both"/>
        <w:divId w:val="503011278"/>
        <w:rPr>
          <w:rFonts w:eastAsia="Times New Roman"/>
        </w:rPr>
      </w:pPr>
      <w:r>
        <w:rPr>
          <w:rFonts w:ascii="Arial" w:eastAsia="Times New Roman" w:hAnsi="Arial" w:cs="Arial"/>
          <w:color w:val="000000"/>
          <w:sz w:val="20"/>
          <w:szCs w:val="20"/>
        </w:rPr>
        <w:t>Compliance with existing and future laws that regulate the delivery of fuel by barge, truck, vessel, pipeline or other means; fuel storage terminals or underground storage tanks that we own, lease or operate; or the quality of product under</w:t>
      </w:r>
      <w:r>
        <w:rPr>
          <w:rFonts w:ascii="Arial" w:eastAsia="Times New Roman" w:hAnsi="Arial" w:cs="Arial"/>
          <w:color w:val="000000"/>
          <w:sz w:val="20"/>
          <w:szCs w:val="20"/>
        </w:rPr>
        <w:t xml:space="preserve"> our control may require capital expenditures and increased operating and maintenance costs, particularly as we continue to expand our physical operations. In addition, continuing changes in environmental laws and regulations may also require capital expen</w:t>
      </w:r>
      <w:r>
        <w:rPr>
          <w:rFonts w:ascii="Arial" w:eastAsia="Times New Roman" w:hAnsi="Arial" w:cs="Arial"/>
          <w:color w:val="000000"/>
          <w:sz w:val="20"/>
          <w:szCs w:val="20"/>
        </w:rPr>
        <w:t>ditures by our customers or otherwise increase our customers’ operating costs, which could in turn, reduce the demand for our products and services or impact the pricing or availability of the products we sell. Environmental laws and regulations have histo</w:t>
      </w:r>
      <w:r>
        <w:rPr>
          <w:rFonts w:ascii="Arial" w:eastAsia="Times New Roman" w:hAnsi="Arial" w:cs="Arial"/>
          <w:color w:val="000000"/>
          <w:sz w:val="20"/>
          <w:szCs w:val="20"/>
        </w:rPr>
        <w:t>rically been subject to frequent change and have tended to become more stringent and costly over time.</w:t>
      </w:r>
    </w:p>
    <w:p w:rsidR="00000000" w:rsidRDefault="002223F7">
      <w:pPr>
        <w:jc w:val="both"/>
        <w:divId w:val="421537455"/>
        <w:rPr>
          <w:rFonts w:eastAsia="Times New Roman"/>
        </w:rPr>
      </w:pPr>
      <w:r>
        <w:rPr>
          <w:rFonts w:ascii="Arial" w:eastAsia="Times New Roman" w:hAnsi="Arial" w:cs="Arial"/>
          <w:color w:val="000000"/>
          <w:sz w:val="20"/>
          <w:szCs w:val="20"/>
        </w:rPr>
        <w:t xml:space="preserve">We could be subject to joint and several as well as strict liability for environmental contamination or violations of environmental regulations. Some of </w:t>
      </w:r>
      <w:r>
        <w:rPr>
          <w:rFonts w:ascii="Arial" w:eastAsia="Times New Roman" w:hAnsi="Arial" w:cs="Arial"/>
          <w:color w:val="000000"/>
          <w:sz w:val="20"/>
          <w:szCs w:val="20"/>
        </w:rPr>
        <w:t>our current and former properties have been operated by third parties whose handling and management of hazardous materials were not under our control. Pursuant to certain environmental laws, we could be responsible for investigating and remediating contami</w:t>
      </w:r>
      <w:r>
        <w:rPr>
          <w:rFonts w:ascii="Arial" w:eastAsia="Times New Roman" w:hAnsi="Arial" w:cs="Arial"/>
          <w:color w:val="000000"/>
          <w:sz w:val="20"/>
          <w:szCs w:val="20"/>
        </w:rPr>
        <w:t>nation, including impacts attributable to prior site occupants or other third parties, and for implementing remedial measures to mitigate the risk of future contamination. In some cases, we may be eligible to receive money from state underground storage ta</w:t>
      </w:r>
      <w:r>
        <w:rPr>
          <w:rFonts w:ascii="Arial" w:eastAsia="Times New Roman" w:hAnsi="Arial" w:cs="Arial"/>
          <w:color w:val="000000"/>
          <w:sz w:val="20"/>
          <w:szCs w:val="20"/>
        </w:rPr>
        <w:t>nk trust funds to help fund remediation. However, receipt of such payments is subject to stringent eligibility requirements and other limitations that can significantly reduce the availability of such trust fund payments and may delay or increase the durat</w:t>
      </w:r>
      <w:r>
        <w:rPr>
          <w:rFonts w:ascii="Arial" w:eastAsia="Times New Roman" w:hAnsi="Arial" w:cs="Arial"/>
          <w:color w:val="000000"/>
          <w:sz w:val="20"/>
          <w:szCs w:val="20"/>
        </w:rPr>
        <w:t xml:space="preserve">ion of associated cleanups. Any such contamination, leaks from storage tanks or other releases of regulated </w:t>
      </w:r>
    </w:p>
    <w:p w:rsidR="00000000" w:rsidRDefault="002223F7">
      <w:pPr>
        <w:jc w:val="center"/>
        <w:divId w:val="643967813"/>
        <w:rPr>
          <w:rFonts w:eastAsia="Times New Roman"/>
        </w:rPr>
      </w:pPr>
      <w:r>
        <w:rPr>
          <w:rFonts w:ascii="Arial" w:eastAsia="Times New Roman" w:hAnsi="Arial" w:cs="Arial"/>
          <w:color w:val="000000"/>
          <w:sz w:val="16"/>
          <w:szCs w:val="16"/>
        </w:rPr>
        <w:t>3</w:t>
      </w:r>
    </w:p>
    <w:p w:rsidR="00000000" w:rsidRDefault="002223F7">
      <w:pPr>
        <w:rPr>
          <w:rFonts w:eastAsia="Times New Roman"/>
        </w:rPr>
      </w:pPr>
      <w:r>
        <w:rPr>
          <w:rFonts w:eastAsia="Times New Roman"/>
        </w:rPr>
        <w:pict>
          <v:rect id="_x0000_i1031" style="width:0;height:1.5pt" o:hralign="center" o:hrstd="t" o:hr="t" fillcolor="#a0a0a0" stroked="f"/>
        </w:pict>
      </w:r>
    </w:p>
    <w:p w:rsidR="00000000" w:rsidRDefault="002223F7">
      <w:pPr>
        <w:jc w:val="both"/>
        <w:divId w:val="1101221915"/>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1765345843"/>
        <w:rPr>
          <w:rFonts w:eastAsia="Times New Roman"/>
        </w:rPr>
      </w:pPr>
      <w:r>
        <w:rPr>
          <w:rFonts w:ascii="Arial" w:eastAsia="Times New Roman" w:hAnsi="Arial" w:cs="Arial"/>
          <w:color w:val="000000"/>
          <w:sz w:val="20"/>
          <w:szCs w:val="20"/>
        </w:rPr>
        <w:t>materials could result in claims against us by governmental authorities and other third parties for fines or penalties, natural resource damages, personal injury and property damage.</w:t>
      </w:r>
    </w:p>
    <w:p w:rsidR="00000000" w:rsidRDefault="002223F7">
      <w:pPr>
        <w:jc w:val="both"/>
        <w:divId w:val="1211187412"/>
        <w:rPr>
          <w:rFonts w:eastAsia="Times New Roman"/>
        </w:rPr>
      </w:pPr>
      <w:r>
        <w:rPr>
          <w:rFonts w:ascii="Arial" w:eastAsia="Times New Roman" w:hAnsi="Arial" w:cs="Arial"/>
          <w:color w:val="000000"/>
          <w:sz w:val="20"/>
          <w:szCs w:val="20"/>
        </w:rPr>
        <w:t>From time to time, we are subject to legal and administrative actions governing the investigation and remediation of contamination or spills from current and past operations. The penalties for violations of environmental laws can include injunctive relief;</w:t>
      </w:r>
      <w:r>
        <w:rPr>
          <w:rFonts w:ascii="Arial" w:eastAsia="Times New Roman" w:hAnsi="Arial" w:cs="Arial"/>
          <w:color w:val="000000"/>
          <w:sz w:val="20"/>
          <w:szCs w:val="20"/>
        </w:rPr>
        <w:t xml:space="preserve"> administrative, civil or criminal penalties; recovery of damages for injury to air, water or property; and third-party damages. Some environmental laws may also impose strict liability for remediation of spills and releases of oil and hazardous substances</w:t>
      </w:r>
      <w:r>
        <w:rPr>
          <w:rFonts w:ascii="Arial" w:eastAsia="Times New Roman" w:hAnsi="Arial" w:cs="Arial"/>
          <w:color w:val="000000"/>
          <w:sz w:val="20"/>
          <w:szCs w:val="20"/>
        </w:rPr>
        <w:t>, which could subject us to liability without regard to whether we were negligent or at fault. See Item 1A. – Risk Factors.</w:t>
      </w:r>
    </w:p>
    <w:p w:rsidR="00000000" w:rsidRDefault="002223F7">
      <w:pPr>
        <w:jc w:val="both"/>
        <w:divId w:val="793983000"/>
        <w:rPr>
          <w:rFonts w:eastAsia="Times New Roman"/>
        </w:rPr>
      </w:pPr>
      <w:r>
        <w:rPr>
          <w:rFonts w:ascii="Arial" w:eastAsia="Times New Roman" w:hAnsi="Arial" w:cs="Arial"/>
          <w:color w:val="000000"/>
          <w:sz w:val="20"/>
          <w:szCs w:val="20"/>
          <w:u w:val="single"/>
        </w:rPr>
        <w:t>Climate Change</w:t>
      </w:r>
    </w:p>
    <w:p w:rsidR="00000000" w:rsidRDefault="002223F7">
      <w:pPr>
        <w:jc w:val="both"/>
        <w:divId w:val="11036758"/>
        <w:rPr>
          <w:rFonts w:eastAsia="Times New Roman"/>
        </w:rPr>
      </w:pPr>
      <w:r>
        <w:rPr>
          <w:rFonts w:ascii="Arial" w:eastAsia="Times New Roman" w:hAnsi="Arial" w:cs="Arial"/>
          <w:color w:val="000000"/>
          <w:sz w:val="20"/>
          <w:szCs w:val="20"/>
        </w:rPr>
        <w:t>Climate change continues to be an area of focus at the local, national and international levels. As a result, a number of countries have adopted, or are considering the adoption of, regulatory frameworks to reduce greenhouse gas ("GHG") emissions. In the U</w:t>
      </w:r>
      <w:r>
        <w:rPr>
          <w:rFonts w:ascii="Arial" w:eastAsia="Times New Roman" w:hAnsi="Arial" w:cs="Arial"/>
          <w:color w:val="000000"/>
          <w:sz w:val="20"/>
          <w:szCs w:val="20"/>
        </w:rPr>
        <w:t>.S., the U.S. Environmental Protection Agency ("EPA") has adopted rules requiring the reporting of GHG emissions by petroleum product suppliers and facilities meeting certain annual emissions thresholds and regulating emissions from major sources of GHGs u</w:t>
      </w:r>
      <w:r>
        <w:rPr>
          <w:rFonts w:ascii="Arial" w:eastAsia="Times New Roman" w:hAnsi="Arial" w:cs="Arial"/>
          <w:color w:val="000000"/>
          <w:sz w:val="20"/>
          <w:szCs w:val="20"/>
        </w:rPr>
        <w:t>nder the Clean Air Act. In addition, several states and geographic regions in the U.S. have also adopted legislation and regulations to reduce emissions of GHGs, such as such as California, Oregon and Washington, which have formally enacted cap-and-trade p</w:t>
      </w:r>
      <w:r>
        <w:rPr>
          <w:rFonts w:ascii="Arial" w:eastAsia="Times New Roman" w:hAnsi="Arial" w:cs="Arial"/>
          <w:color w:val="000000"/>
          <w:sz w:val="20"/>
          <w:szCs w:val="20"/>
        </w:rPr>
        <w:t xml:space="preserve">rograms and low carbon fuel standard obligations. </w:t>
      </w:r>
    </w:p>
    <w:p w:rsidR="00000000" w:rsidRDefault="002223F7">
      <w:pPr>
        <w:jc w:val="both"/>
        <w:divId w:val="1416392015"/>
        <w:rPr>
          <w:rFonts w:eastAsia="Times New Roman"/>
        </w:rPr>
      </w:pPr>
      <w:r>
        <w:rPr>
          <w:rFonts w:ascii="Arial" w:eastAsia="Times New Roman" w:hAnsi="Arial" w:cs="Arial"/>
          <w:color w:val="000000"/>
          <w:sz w:val="20"/>
          <w:szCs w:val="20"/>
        </w:rPr>
        <w:t>Shortly after taking office in January 2021, President Biden issued a series of executive orders designed to address climate change, including rejoining the Paris Agreement after the U.S. had withdrawn fro</w:t>
      </w:r>
      <w:r>
        <w:rPr>
          <w:rFonts w:ascii="Arial" w:eastAsia="Times New Roman" w:hAnsi="Arial" w:cs="Arial"/>
          <w:color w:val="000000"/>
          <w:sz w:val="20"/>
          <w:szCs w:val="20"/>
        </w:rPr>
        <w:t>m the international accord in 2020. Additionally, in August 2022 the Inflation Reduction Act of 2022 was signed into law, which appropriates significant federal funding for renewable energy initiatives and imposes a fee on GHG emissions from certain facili</w:t>
      </w:r>
      <w:r>
        <w:rPr>
          <w:rFonts w:ascii="Arial" w:eastAsia="Times New Roman" w:hAnsi="Arial" w:cs="Arial"/>
          <w:color w:val="000000"/>
          <w:sz w:val="20"/>
          <w:szCs w:val="20"/>
        </w:rPr>
        <w:t>ties in the oil and natural gas sector. Various provisions of the law are designed to accelerate the transition away from fossil fuels or otherwise could adversely impact the use of petroleum-based fuels. In January 2023, the Biden Administration and vario</w:t>
      </w:r>
      <w:r>
        <w:rPr>
          <w:rFonts w:ascii="Arial" w:eastAsia="Times New Roman" w:hAnsi="Arial" w:cs="Arial"/>
          <w:color w:val="000000"/>
          <w:sz w:val="20"/>
          <w:szCs w:val="20"/>
        </w:rPr>
        <w:t>us federal agencies, including the EPA and Departments of Energy and Transportation, announced a "blueprint" for decarbonizing the transportation sector in the U.S. to meet the goal of net-zero GHG emissions economy-wide by 2050. The strategy includes prom</w:t>
      </w:r>
      <w:r>
        <w:rPr>
          <w:rFonts w:ascii="Arial" w:eastAsia="Times New Roman" w:hAnsi="Arial" w:cs="Arial"/>
          <w:color w:val="000000"/>
          <w:sz w:val="20"/>
          <w:szCs w:val="20"/>
        </w:rPr>
        <w:t xml:space="preserve">oting wider adoption of electric vehicles and greater use of sustainable fuels to decarbonize forms of transportation that require more energy-dense fuels, such as air transportation and long-haul shipping. </w:t>
      </w:r>
    </w:p>
    <w:p w:rsidR="00000000" w:rsidRDefault="002223F7">
      <w:pPr>
        <w:jc w:val="both"/>
        <w:divId w:val="718826989"/>
        <w:rPr>
          <w:rFonts w:eastAsia="Times New Roman"/>
        </w:rPr>
      </w:pPr>
      <w:r>
        <w:rPr>
          <w:rFonts w:ascii="Arial" w:eastAsia="Times New Roman" w:hAnsi="Arial" w:cs="Arial"/>
          <w:color w:val="000000"/>
          <w:sz w:val="20"/>
          <w:szCs w:val="20"/>
        </w:rPr>
        <w:t>At an international level, the European Union ("</w:t>
      </w:r>
      <w:r>
        <w:rPr>
          <w:rFonts w:ascii="Arial" w:eastAsia="Times New Roman" w:hAnsi="Arial" w:cs="Arial"/>
          <w:color w:val="000000"/>
          <w:sz w:val="20"/>
          <w:szCs w:val="20"/>
        </w:rPr>
        <w:t>E.U.") has committed to reducing net GHG emissions by at least 55% by 2030. E.U. member states have implemented a range of subsidies and incentives to achieve the EU’s climate change goals, including through the European Union Emissions Trading System (‘‘E</w:t>
      </w:r>
      <w:r>
        <w:rPr>
          <w:rFonts w:ascii="Arial" w:eastAsia="Times New Roman" w:hAnsi="Arial" w:cs="Arial"/>
          <w:color w:val="000000"/>
          <w:sz w:val="20"/>
          <w:szCs w:val="20"/>
        </w:rPr>
        <w:t>U ETS’’) for industrial emissions. The EU ETS is expected to become progressively more stringent over time, such as by including by reducing the number of allowances to emit GHGs as well as broadening the industries subject to the restrictions. In other no</w:t>
      </w:r>
      <w:r>
        <w:rPr>
          <w:rFonts w:ascii="Arial" w:eastAsia="Times New Roman" w:hAnsi="Arial" w:cs="Arial"/>
          <w:color w:val="000000"/>
          <w:sz w:val="20"/>
          <w:szCs w:val="20"/>
        </w:rPr>
        <w:t xml:space="preserve">n-E.U. countries, regulations include the adoption of cap and trade regimes, carbon taxes, restrictive permitting, increased efficiency standards, and incentives or mandates for renewable energy. </w:t>
      </w:r>
    </w:p>
    <w:p w:rsidR="00000000" w:rsidRDefault="002223F7">
      <w:pPr>
        <w:jc w:val="both"/>
        <w:divId w:val="1066293811"/>
        <w:rPr>
          <w:rFonts w:eastAsia="Times New Roman"/>
        </w:rPr>
      </w:pPr>
      <w:r>
        <w:rPr>
          <w:rFonts w:ascii="Arial" w:eastAsia="Times New Roman" w:hAnsi="Arial" w:cs="Arial"/>
          <w:color w:val="000000"/>
          <w:sz w:val="20"/>
          <w:szCs w:val="20"/>
        </w:rPr>
        <w:t>Although the ultimate impact of these or other future measu</w:t>
      </w:r>
      <w:r>
        <w:rPr>
          <w:rFonts w:ascii="Arial" w:eastAsia="Times New Roman" w:hAnsi="Arial" w:cs="Arial"/>
          <w:color w:val="000000"/>
          <w:sz w:val="20"/>
          <w:szCs w:val="20"/>
        </w:rPr>
        <w:t>res is difficult to accurately predict, additional legislation or regulations could impose significant additional costs on us, our suppliers, vendors and customers, or could adversely affect demand for our energy products. The potential increase in our ope</w:t>
      </w:r>
      <w:r>
        <w:rPr>
          <w:rFonts w:ascii="Arial" w:eastAsia="Times New Roman" w:hAnsi="Arial" w:cs="Arial"/>
          <w:color w:val="000000"/>
          <w:sz w:val="20"/>
          <w:szCs w:val="20"/>
        </w:rPr>
        <w:t>rating costs could include additional costs to operate and maintain our facilities, such as installing new infrastructure or technology to respond to new mandates, or paying taxes related to our GHG emissions, among others. Furthermore, changes in regulato</w:t>
      </w:r>
      <w:r>
        <w:rPr>
          <w:rFonts w:ascii="Arial" w:eastAsia="Times New Roman" w:hAnsi="Arial" w:cs="Arial"/>
          <w:color w:val="000000"/>
          <w:sz w:val="20"/>
          <w:szCs w:val="20"/>
        </w:rPr>
        <w:t>ry policies or increased awareness and any adverse publicity in the global marketplace about potential impacts on climate change by us or other companies in our industry, which could result in a reduction in the demand for hydrocarbon products that are dee</w:t>
      </w:r>
      <w:r>
        <w:rPr>
          <w:rFonts w:ascii="Arial" w:eastAsia="Times New Roman" w:hAnsi="Arial" w:cs="Arial"/>
          <w:color w:val="000000"/>
          <w:sz w:val="20"/>
          <w:szCs w:val="20"/>
        </w:rPr>
        <w:t>med to contribute to GHGs, harm our reputation and adversely impact our sales of fuel products. See Item 1A. – Risk Factors.</w:t>
      </w:r>
    </w:p>
    <w:p w:rsidR="00000000" w:rsidRDefault="002223F7">
      <w:pPr>
        <w:divId w:val="2115396392"/>
        <w:rPr>
          <w:rFonts w:eastAsia="Times New Roman"/>
        </w:rPr>
      </w:pPr>
      <w:r>
        <w:rPr>
          <w:rFonts w:ascii="Arial" w:eastAsia="Times New Roman" w:hAnsi="Arial" w:cs="Arial"/>
          <w:color w:val="000000"/>
          <w:sz w:val="20"/>
          <w:szCs w:val="20"/>
          <w:u w:val="single"/>
        </w:rPr>
        <w:t>Other Regulations</w:t>
      </w:r>
    </w:p>
    <w:p w:rsidR="00000000" w:rsidRDefault="002223F7">
      <w:pPr>
        <w:jc w:val="both"/>
        <w:divId w:val="385184042"/>
        <w:rPr>
          <w:rFonts w:eastAsia="Times New Roman"/>
        </w:rPr>
      </w:pPr>
      <w:r>
        <w:rPr>
          <w:rFonts w:ascii="Arial" w:eastAsia="Times New Roman" w:hAnsi="Arial" w:cs="Arial"/>
          <w:color w:val="000000"/>
          <w:sz w:val="20"/>
          <w:szCs w:val="20"/>
        </w:rPr>
        <w:t xml:space="preserve">As a global organization with customers and operations around the world, we are subject to an often complicated, </w:t>
      </w:r>
      <w:r>
        <w:rPr>
          <w:rFonts w:ascii="Arial" w:eastAsia="Times New Roman" w:hAnsi="Arial" w:cs="Arial"/>
          <w:color w:val="000000"/>
          <w:sz w:val="20"/>
          <w:szCs w:val="20"/>
        </w:rPr>
        <w:t>multi-jurisdictional matrix of laws and regulations that govern international trade, including laws relating to anti-corruption, anti-money-laundering, export controls, economic sanctions, anti-boycott rules, currency exchange controls and transfer pricing</w:t>
      </w:r>
      <w:r>
        <w:rPr>
          <w:rFonts w:ascii="Arial" w:eastAsia="Times New Roman" w:hAnsi="Arial" w:cs="Arial"/>
          <w:color w:val="000000"/>
          <w:sz w:val="20"/>
          <w:szCs w:val="20"/>
        </w:rPr>
        <w:t xml:space="preserve"> rules. These laws and regulations are administered by, among others, the U.S. Department of Justice, Department of State, SEC, Internal Revenue Service, U.S Department of Commerce and U.S. Department of the Treasury, as well as the counterparts of these a</w:t>
      </w:r>
      <w:r>
        <w:rPr>
          <w:rFonts w:ascii="Arial" w:eastAsia="Times New Roman" w:hAnsi="Arial" w:cs="Arial"/>
          <w:color w:val="000000"/>
          <w:sz w:val="20"/>
          <w:szCs w:val="20"/>
        </w:rPr>
        <w:t>gencies in foreign countries. As a result of the military conflict in Eastern Europe, the U.S., the E.U., the U.K. and other countries in which we operate have imposed sanctions on Russia and other individuals and entities with connections to the Russian s</w:t>
      </w:r>
      <w:r>
        <w:rPr>
          <w:rFonts w:ascii="Arial" w:eastAsia="Times New Roman" w:hAnsi="Arial" w:cs="Arial"/>
          <w:color w:val="000000"/>
          <w:sz w:val="20"/>
          <w:szCs w:val="20"/>
        </w:rPr>
        <w:t>tate. These sanctions continue to evolve and have become significantly more stringent over time. Violations of these sanctions can result in significant penalties and civil and criminal liabilities.</w:t>
      </w:r>
    </w:p>
    <w:p w:rsidR="00000000" w:rsidRDefault="002223F7">
      <w:pPr>
        <w:jc w:val="center"/>
        <w:divId w:val="140276480"/>
        <w:rPr>
          <w:rFonts w:eastAsia="Times New Roman"/>
        </w:rPr>
      </w:pPr>
      <w:r>
        <w:rPr>
          <w:rFonts w:ascii="Arial" w:eastAsia="Times New Roman" w:hAnsi="Arial" w:cs="Arial"/>
          <w:color w:val="000000"/>
          <w:sz w:val="16"/>
          <w:szCs w:val="16"/>
        </w:rPr>
        <w:t>4</w:t>
      </w:r>
    </w:p>
    <w:p w:rsidR="00000000" w:rsidRDefault="002223F7">
      <w:pPr>
        <w:rPr>
          <w:rFonts w:eastAsia="Times New Roman"/>
        </w:rPr>
      </w:pPr>
      <w:r>
        <w:rPr>
          <w:rFonts w:eastAsia="Times New Roman"/>
        </w:rPr>
        <w:pict>
          <v:rect id="_x0000_i1032" style="width:0;height:1.5pt" o:hralign="center" o:hrstd="t" o:hr="t" fillcolor="#a0a0a0" stroked="f"/>
        </w:pict>
      </w:r>
    </w:p>
    <w:p w:rsidR="00000000" w:rsidRDefault="002223F7">
      <w:pPr>
        <w:jc w:val="both"/>
        <w:divId w:val="1208185259"/>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1044060080"/>
        <w:rPr>
          <w:rFonts w:eastAsia="Times New Roman"/>
        </w:rPr>
      </w:pPr>
      <w:r>
        <w:rPr>
          <w:rFonts w:ascii="Arial" w:eastAsia="Times New Roman" w:hAnsi="Arial" w:cs="Arial"/>
          <w:color w:val="000000"/>
          <w:sz w:val="20"/>
          <w:szCs w:val="20"/>
        </w:rPr>
        <w:t>We are also subject to a variety of other U.S. and foreign laws and regulations, relating to:</w:t>
      </w:r>
    </w:p>
    <w:p w:rsidR="00000000" w:rsidRDefault="002223F7">
      <w:pPr>
        <w:ind w:hanging="360"/>
        <w:jc w:val="both"/>
        <w:divId w:val="1478571417"/>
        <w:rPr>
          <w:rFonts w:eastAsia="Times New Roman"/>
        </w:rPr>
      </w:pPr>
      <w:r>
        <w:rPr>
          <w:rFonts w:ascii="Arial" w:eastAsia="Times New Roman" w:hAnsi="Arial" w:cs="Arial"/>
          <w:color w:val="000000"/>
          <w:sz w:val="20"/>
          <w:szCs w:val="20"/>
        </w:rPr>
        <w:t xml:space="preserve">•labor and employment; </w:t>
      </w:r>
    </w:p>
    <w:p w:rsidR="00000000" w:rsidRDefault="002223F7">
      <w:pPr>
        <w:ind w:hanging="360"/>
        <w:jc w:val="both"/>
        <w:divId w:val="1368990209"/>
        <w:rPr>
          <w:rFonts w:eastAsia="Times New Roman"/>
        </w:rPr>
      </w:pPr>
      <w:r>
        <w:rPr>
          <w:rFonts w:ascii="Arial" w:eastAsia="Times New Roman" w:hAnsi="Arial" w:cs="Arial"/>
          <w:color w:val="000000"/>
          <w:sz w:val="20"/>
          <w:szCs w:val="20"/>
        </w:rPr>
        <w:t xml:space="preserve">•workplace and driver </w:t>
      </w:r>
      <w:r>
        <w:rPr>
          <w:rFonts w:ascii="Arial" w:eastAsia="Times New Roman" w:hAnsi="Arial" w:cs="Arial"/>
          <w:color w:val="000000"/>
          <w:sz w:val="20"/>
          <w:szCs w:val="20"/>
        </w:rPr>
        <w:t xml:space="preserve">safety; </w:t>
      </w:r>
    </w:p>
    <w:p w:rsidR="00000000" w:rsidRDefault="002223F7">
      <w:pPr>
        <w:ind w:hanging="360"/>
        <w:jc w:val="both"/>
        <w:divId w:val="258569041"/>
        <w:rPr>
          <w:rFonts w:eastAsia="Times New Roman"/>
        </w:rPr>
      </w:pPr>
      <w:r>
        <w:rPr>
          <w:rFonts w:ascii="Arial" w:eastAsia="Times New Roman" w:hAnsi="Arial" w:cs="Arial"/>
          <w:color w:val="000000"/>
          <w:sz w:val="20"/>
          <w:szCs w:val="20"/>
        </w:rPr>
        <w:t xml:space="preserve">•consumer protection; </w:t>
      </w:r>
    </w:p>
    <w:p w:rsidR="00000000" w:rsidRDefault="002223F7">
      <w:pPr>
        <w:ind w:hanging="360"/>
        <w:jc w:val="both"/>
        <w:divId w:val="652640138"/>
        <w:rPr>
          <w:rFonts w:eastAsia="Times New Roman"/>
        </w:rPr>
      </w:pPr>
      <w:r>
        <w:rPr>
          <w:rFonts w:ascii="Arial" w:eastAsia="Times New Roman" w:hAnsi="Arial" w:cs="Arial"/>
          <w:color w:val="000000"/>
          <w:sz w:val="20"/>
          <w:szCs w:val="20"/>
        </w:rPr>
        <w:t>•data privacy and protection;</w:t>
      </w:r>
    </w:p>
    <w:p w:rsidR="00000000" w:rsidRDefault="002223F7">
      <w:pPr>
        <w:ind w:hanging="360"/>
        <w:jc w:val="both"/>
        <w:divId w:val="2123959567"/>
        <w:rPr>
          <w:rFonts w:eastAsia="Times New Roman"/>
        </w:rPr>
      </w:pPr>
      <w:r>
        <w:rPr>
          <w:rFonts w:ascii="Arial" w:eastAsia="Times New Roman" w:hAnsi="Arial" w:cs="Arial"/>
          <w:color w:val="000000"/>
          <w:sz w:val="20"/>
          <w:szCs w:val="20"/>
        </w:rPr>
        <w:t>•cybersecurity;</w:t>
      </w:r>
    </w:p>
    <w:p w:rsidR="00000000" w:rsidRDefault="002223F7">
      <w:pPr>
        <w:ind w:hanging="360"/>
        <w:jc w:val="both"/>
        <w:divId w:val="383722474"/>
        <w:rPr>
          <w:rFonts w:eastAsia="Times New Roman"/>
        </w:rPr>
      </w:pPr>
      <w:r>
        <w:rPr>
          <w:rFonts w:ascii="Arial" w:eastAsia="Times New Roman" w:hAnsi="Arial" w:cs="Arial"/>
          <w:color w:val="000000"/>
          <w:sz w:val="20"/>
          <w:szCs w:val="20"/>
        </w:rPr>
        <w:t xml:space="preserve">•commodities trading, brokerage, derivatives and advisory services; </w:t>
      </w:r>
    </w:p>
    <w:p w:rsidR="00000000" w:rsidRDefault="002223F7">
      <w:pPr>
        <w:ind w:hanging="360"/>
        <w:jc w:val="both"/>
        <w:divId w:val="1434011535"/>
        <w:rPr>
          <w:rFonts w:eastAsia="Times New Roman"/>
        </w:rPr>
      </w:pPr>
      <w:r>
        <w:rPr>
          <w:rFonts w:ascii="Arial" w:eastAsia="Times New Roman" w:hAnsi="Arial" w:cs="Arial"/>
          <w:color w:val="000000"/>
          <w:sz w:val="20"/>
          <w:szCs w:val="20"/>
        </w:rPr>
        <w:t xml:space="preserve">•credit and payment card processing and payment services; </w:t>
      </w:r>
    </w:p>
    <w:p w:rsidR="00000000" w:rsidRDefault="002223F7">
      <w:pPr>
        <w:ind w:hanging="360"/>
        <w:jc w:val="both"/>
        <w:divId w:val="1734280174"/>
        <w:rPr>
          <w:rFonts w:eastAsia="Times New Roman"/>
        </w:rPr>
      </w:pPr>
      <w:r>
        <w:rPr>
          <w:rFonts w:ascii="Arial" w:eastAsia="Times New Roman" w:hAnsi="Arial" w:cs="Arial"/>
          <w:color w:val="000000"/>
          <w:sz w:val="20"/>
          <w:szCs w:val="20"/>
        </w:rPr>
        <w:t>•petroleum marketing;</w:t>
      </w:r>
    </w:p>
    <w:p w:rsidR="00000000" w:rsidRDefault="002223F7">
      <w:pPr>
        <w:ind w:hanging="360"/>
        <w:jc w:val="both"/>
        <w:divId w:val="1527058484"/>
        <w:rPr>
          <w:rFonts w:eastAsia="Times New Roman"/>
        </w:rPr>
      </w:pPr>
      <w:r>
        <w:rPr>
          <w:rFonts w:ascii="Arial" w:eastAsia="Times New Roman" w:hAnsi="Arial" w:cs="Arial"/>
          <w:color w:val="000000"/>
          <w:sz w:val="20"/>
          <w:szCs w:val="20"/>
        </w:rPr>
        <w:t>•human rights and modern sla</w:t>
      </w:r>
      <w:r>
        <w:rPr>
          <w:rFonts w:ascii="Arial" w:eastAsia="Times New Roman" w:hAnsi="Arial" w:cs="Arial"/>
          <w:color w:val="000000"/>
          <w:sz w:val="20"/>
          <w:szCs w:val="20"/>
        </w:rPr>
        <w:t>very;</w:t>
      </w:r>
    </w:p>
    <w:p w:rsidR="00000000" w:rsidRDefault="002223F7">
      <w:pPr>
        <w:ind w:hanging="360"/>
        <w:jc w:val="both"/>
        <w:divId w:val="562832795"/>
        <w:rPr>
          <w:rFonts w:eastAsia="Times New Roman"/>
        </w:rPr>
      </w:pPr>
      <w:r>
        <w:rPr>
          <w:rFonts w:ascii="Arial" w:eastAsia="Times New Roman" w:hAnsi="Arial" w:cs="Arial"/>
          <w:color w:val="000000"/>
          <w:sz w:val="20"/>
          <w:szCs w:val="20"/>
        </w:rPr>
        <w:t xml:space="preserve">•antitrust and competition; and </w:t>
      </w:r>
    </w:p>
    <w:p w:rsidR="00000000" w:rsidRDefault="002223F7">
      <w:pPr>
        <w:ind w:hanging="360"/>
        <w:jc w:val="both"/>
        <w:divId w:val="1304775458"/>
        <w:rPr>
          <w:rFonts w:eastAsia="Times New Roman"/>
        </w:rPr>
      </w:pPr>
      <w:r>
        <w:rPr>
          <w:rFonts w:ascii="Arial" w:eastAsia="Times New Roman" w:hAnsi="Arial" w:cs="Arial"/>
          <w:color w:val="000000"/>
          <w:sz w:val="20"/>
          <w:szCs w:val="20"/>
        </w:rPr>
        <w:t>•other regulatory reporting and licensing requirements.</w:t>
      </w:r>
    </w:p>
    <w:p w:rsidR="00000000" w:rsidRDefault="002223F7">
      <w:pPr>
        <w:jc w:val="both"/>
        <w:divId w:val="1869101508"/>
        <w:rPr>
          <w:rFonts w:eastAsia="Times New Roman"/>
        </w:rPr>
      </w:pPr>
      <w:r>
        <w:rPr>
          <w:rFonts w:ascii="Arial" w:eastAsia="Times New Roman" w:hAnsi="Arial" w:cs="Arial"/>
          <w:color w:val="000000"/>
          <w:sz w:val="20"/>
          <w:szCs w:val="20"/>
        </w:rPr>
        <w:t>Due to the complex and technical nature of many of these laws and regulations, inadvertent violations may occur. If we fail to comply with these laws or regulati</w:t>
      </w:r>
      <w:r>
        <w:rPr>
          <w:rFonts w:ascii="Arial" w:eastAsia="Times New Roman" w:hAnsi="Arial" w:cs="Arial"/>
          <w:color w:val="000000"/>
          <w:sz w:val="20"/>
          <w:szCs w:val="20"/>
        </w:rPr>
        <w:t>ons for any reason, we would be required to correct or implement measures to prevent a recurrence of any violations, which could increase our operating costs. See the section entitled Item 1A, "Risk Factors" for additional information regarding the impacts</w:t>
      </w:r>
      <w:r>
        <w:rPr>
          <w:rFonts w:ascii="Arial" w:eastAsia="Times New Roman" w:hAnsi="Arial" w:cs="Arial"/>
          <w:color w:val="000000"/>
          <w:sz w:val="20"/>
          <w:szCs w:val="20"/>
        </w:rPr>
        <w:t xml:space="preserve"> of government regulation on our business.</w:t>
      </w:r>
    </w:p>
    <w:p w:rsidR="00000000" w:rsidRDefault="002223F7">
      <w:pPr>
        <w:divId w:val="486942379"/>
        <w:rPr>
          <w:rFonts w:eastAsia="Times New Roman"/>
        </w:rPr>
      </w:pPr>
      <w:r>
        <w:rPr>
          <w:rFonts w:ascii="Arial" w:eastAsia="Times New Roman" w:hAnsi="Arial" w:cs="Arial"/>
          <w:b/>
          <w:bCs/>
          <w:color w:val="000000"/>
          <w:sz w:val="20"/>
          <w:szCs w:val="20"/>
        </w:rPr>
        <w:t>Human Capital Resources</w:t>
      </w:r>
    </w:p>
    <w:p w:rsidR="00000000" w:rsidRDefault="002223F7">
      <w:pPr>
        <w:jc w:val="both"/>
        <w:divId w:val="2013994152"/>
        <w:rPr>
          <w:rFonts w:eastAsia="Times New Roman"/>
        </w:rPr>
      </w:pPr>
      <w:r>
        <w:rPr>
          <w:rFonts w:ascii="Arial" w:eastAsia="Times New Roman" w:hAnsi="Arial" w:cs="Arial"/>
          <w:color w:val="000000"/>
          <w:sz w:val="20"/>
          <w:szCs w:val="20"/>
        </w:rPr>
        <w:t>At World Fuel Services, we believe that our people's passion and expertise are what differentiates us and investing in our people is a top priority. Our comprehensive approach to serving our workforce includes our commitment to promoting a diverse and incl</w:t>
      </w:r>
      <w:r>
        <w:rPr>
          <w:rFonts w:ascii="Arial" w:eastAsia="Times New Roman" w:hAnsi="Arial" w:cs="Arial"/>
          <w:color w:val="000000"/>
          <w:sz w:val="20"/>
          <w:szCs w:val="20"/>
        </w:rPr>
        <w:t>usive environment, as well as focusing on our employees' growth and development, health and safety, and overall well-being. The following charts provide information about our global workforce as of December 31, 2022:</w:t>
      </w:r>
    </w:p>
    <w:p w:rsidR="00000000" w:rsidRDefault="002223F7">
      <w:pPr>
        <w:spacing w:after="120"/>
        <w:jc w:val="center"/>
        <w:divId w:val="1825513687"/>
        <w:rPr>
          <w:rFonts w:eastAsia="Times New Roman"/>
        </w:rPr>
      </w:pPr>
      <w:r>
        <w:rPr>
          <w:rFonts w:eastAsia="Times New Roman"/>
          <w:noProof/>
        </w:rPr>
        <w:drawing>
          <wp:inline distT="0" distB="0" distL="0" distR="0">
            <wp:extent cx="304800" cy="304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noProof/>
        </w:rPr>
        <w:drawing>
          <wp:inline distT="0" distB="0" distL="0" distR="0">
            <wp:extent cx="30480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2223F7">
      <w:pPr>
        <w:divId w:val="1822694329"/>
        <w:rPr>
          <w:rFonts w:eastAsia="Times New Roman"/>
        </w:rPr>
      </w:pPr>
      <w:r>
        <w:rPr>
          <w:rFonts w:ascii="Arial" w:eastAsia="Times New Roman" w:hAnsi="Arial" w:cs="Arial"/>
          <w:color w:val="000000"/>
          <w:sz w:val="20"/>
          <w:szCs w:val="20"/>
          <w:u w:val="single"/>
        </w:rPr>
        <w:t>Health and Safety</w:t>
      </w:r>
    </w:p>
    <w:p w:rsidR="00000000" w:rsidRDefault="002223F7">
      <w:pPr>
        <w:jc w:val="both"/>
        <w:divId w:val="182407024"/>
        <w:rPr>
          <w:rFonts w:eastAsia="Times New Roman"/>
        </w:rPr>
      </w:pPr>
      <w:r>
        <w:rPr>
          <w:rFonts w:ascii="Arial" w:eastAsia="Times New Roman" w:hAnsi="Arial" w:cs="Arial"/>
          <w:color w:val="000000"/>
          <w:sz w:val="20"/>
          <w:szCs w:val="20"/>
        </w:rPr>
        <w:t xml:space="preserve">As a global energy management company, we are committed to doing the right thing in all that we do and we continually seek to protect the health and safety of our employees, contractors, customers, suppliers and the communities in which we operate. We are </w:t>
      </w:r>
      <w:r>
        <w:rPr>
          <w:rFonts w:ascii="Arial" w:eastAsia="Times New Roman" w:hAnsi="Arial" w:cs="Arial"/>
          <w:color w:val="000000"/>
          <w:sz w:val="20"/>
          <w:szCs w:val="20"/>
        </w:rPr>
        <w:t>committed to playing a leading role in promoting best practices within the transportation industry and are closely involved in developing, setting, and maintaining health, safety and environment ("HSE") industry standards. We have established a set of "Rul</w:t>
      </w:r>
      <w:r>
        <w:rPr>
          <w:rFonts w:ascii="Arial" w:eastAsia="Times New Roman" w:hAnsi="Arial" w:cs="Arial"/>
          <w:color w:val="000000"/>
          <w:sz w:val="20"/>
          <w:szCs w:val="20"/>
        </w:rPr>
        <w:t xml:space="preserve">es to Live By" to help strengthen our existing Integrated Management System and drive appropriate safety behaviors and practices, which we believe are vital to preventing workplace incidents. These rules are designed to ensure the safety of our employees, </w:t>
      </w:r>
      <w:r>
        <w:rPr>
          <w:rFonts w:ascii="Arial" w:eastAsia="Times New Roman" w:hAnsi="Arial" w:cs="Arial"/>
          <w:color w:val="000000"/>
          <w:sz w:val="20"/>
          <w:szCs w:val="20"/>
        </w:rPr>
        <w:t>contractors, customers, suppliers and communities around the world.</w:t>
      </w:r>
    </w:p>
    <w:p w:rsidR="00000000" w:rsidRDefault="002223F7">
      <w:pPr>
        <w:jc w:val="both"/>
        <w:divId w:val="207836049"/>
        <w:rPr>
          <w:rFonts w:eastAsia="Times New Roman"/>
        </w:rPr>
      </w:pPr>
      <w:r>
        <w:rPr>
          <w:rFonts w:ascii="Arial" w:eastAsia="Times New Roman" w:hAnsi="Arial" w:cs="Arial"/>
          <w:color w:val="000000"/>
          <w:sz w:val="20"/>
          <w:szCs w:val="20"/>
        </w:rPr>
        <w:t>We have developed what we believe to be a comprehensive process designed to identify, assess and manage HSE risks in our operations. We set targets for performance improvements and regular</w:t>
      </w:r>
      <w:r>
        <w:rPr>
          <w:rFonts w:ascii="Arial" w:eastAsia="Times New Roman" w:hAnsi="Arial" w:cs="Arial"/>
          <w:color w:val="000000"/>
          <w:sz w:val="20"/>
          <w:szCs w:val="20"/>
        </w:rPr>
        <w:t>ly measure, audit and report on our performance both internally and in accordance with applicable laws. We also expect our contractors to manage HSE matters in line with our policies and strive to maintain an open dialogue with our stakeholders to better a</w:t>
      </w:r>
      <w:r>
        <w:rPr>
          <w:rFonts w:ascii="Arial" w:eastAsia="Times New Roman" w:hAnsi="Arial" w:cs="Arial"/>
          <w:color w:val="000000"/>
          <w:sz w:val="20"/>
          <w:szCs w:val="20"/>
        </w:rPr>
        <w:t>lign our policies with the priorities within the communities where we operate.</w:t>
      </w:r>
    </w:p>
    <w:p w:rsidR="00000000" w:rsidRDefault="002223F7">
      <w:pPr>
        <w:jc w:val="center"/>
        <w:divId w:val="238365250"/>
        <w:rPr>
          <w:rFonts w:eastAsia="Times New Roman"/>
        </w:rPr>
      </w:pPr>
      <w:r>
        <w:rPr>
          <w:rFonts w:ascii="Arial" w:eastAsia="Times New Roman" w:hAnsi="Arial" w:cs="Arial"/>
          <w:color w:val="000000"/>
          <w:sz w:val="16"/>
          <w:szCs w:val="16"/>
        </w:rPr>
        <w:t>5</w:t>
      </w:r>
    </w:p>
    <w:p w:rsidR="00000000" w:rsidRDefault="002223F7">
      <w:pPr>
        <w:rPr>
          <w:rFonts w:eastAsia="Times New Roman"/>
        </w:rPr>
      </w:pPr>
      <w:r>
        <w:rPr>
          <w:rFonts w:eastAsia="Times New Roman"/>
        </w:rPr>
        <w:pict>
          <v:rect id="_x0000_i1035" style="width:0;height:1.5pt" o:hralign="center" o:hrstd="t" o:hr="t" fillcolor="#a0a0a0" stroked="f"/>
        </w:pict>
      </w:r>
    </w:p>
    <w:p w:rsidR="00000000" w:rsidRDefault="002223F7">
      <w:pPr>
        <w:jc w:val="both"/>
        <w:divId w:val="515535707"/>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divId w:val="1490360757"/>
        <w:rPr>
          <w:rFonts w:eastAsia="Times New Roman"/>
        </w:rPr>
      </w:pPr>
      <w:r>
        <w:rPr>
          <w:rFonts w:ascii="Arial" w:eastAsia="Times New Roman" w:hAnsi="Arial" w:cs="Arial"/>
          <w:color w:val="000000"/>
          <w:sz w:val="20"/>
          <w:szCs w:val="20"/>
          <w:u w:val="single"/>
        </w:rPr>
        <w:t>Diversity, Equity and Inclusion</w:t>
      </w:r>
    </w:p>
    <w:p w:rsidR="00000000" w:rsidRDefault="002223F7">
      <w:pPr>
        <w:jc w:val="both"/>
        <w:divId w:val="855190021"/>
        <w:rPr>
          <w:rFonts w:eastAsia="Times New Roman"/>
        </w:rPr>
      </w:pPr>
      <w:r>
        <w:rPr>
          <w:rFonts w:ascii="Arial" w:eastAsia="Times New Roman" w:hAnsi="Arial" w:cs="Arial"/>
          <w:color w:val="000000"/>
          <w:sz w:val="20"/>
          <w:szCs w:val="20"/>
        </w:rPr>
        <w:t xml:space="preserve">We place a high degree of focus on growth in position </w:t>
      </w:r>
      <w:r>
        <w:rPr>
          <w:rFonts w:ascii="Arial" w:eastAsia="Times New Roman" w:hAnsi="Arial" w:cs="Arial"/>
          <w:color w:val="000000"/>
          <w:sz w:val="20"/>
          <w:szCs w:val="20"/>
        </w:rPr>
        <w:t xml:space="preserve">and career enhancement paths for our employees by providing professional development opportunities and cultivating a diverse talent pool. In this regard, we are committed to working on increasing transparency around our talent recruitment, development and </w:t>
      </w:r>
      <w:r>
        <w:rPr>
          <w:rFonts w:ascii="Arial" w:eastAsia="Times New Roman" w:hAnsi="Arial" w:cs="Arial"/>
          <w:color w:val="000000"/>
          <w:sz w:val="20"/>
          <w:szCs w:val="20"/>
        </w:rPr>
        <w:t>retention efforts, as well as our diversity, equity and inclusion initiatives. We have developed a set of commitments for our business, including initiatives aimed at increasing the representation of minorities and military veterans throughout our organiza</w:t>
      </w:r>
      <w:r>
        <w:rPr>
          <w:rFonts w:ascii="Arial" w:eastAsia="Times New Roman" w:hAnsi="Arial" w:cs="Arial"/>
          <w:color w:val="000000"/>
          <w:sz w:val="20"/>
          <w:szCs w:val="20"/>
        </w:rPr>
        <w:t>tion, as well as the representation of women in senior management. These initiatives include providing unconscious bias training to our managers, mandating diverse interview panels in our recruiting process and actively participating in veteran programs th</w:t>
      </w:r>
      <w:r>
        <w:rPr>
          <w:rFonts w:ascii="Arial" w:eastAsia="Times New Roman" w:hAnsi="Arial" w:cs="Arial"/>
          <w:color w:val="000000"/>
          <w:sz w:val="20"/>
          <w:szCs w:val="20"/>
        </w:rPr>
        <w:t>at provide employment opportunities and educational support to military veterans and their families.</w:t>
      </w:r>
    </w:p>
    <w:p w:rsidR="00000000" w:rsidRDefault="002223F7">
      <w:pPr>
        <w:divId w:val="572088639"/>
        <w:rPr>
          <w:rFonts w:eastAsia="Times New Roman"/>
        </w:rPr>
      </w:pPr>
      <w:r>
        <w:rPr>
          <w:rFonts w:ascii="Arial" w:eastAsia="Times New Roman" w:hAnsi="Arial" w:cs="Arial"/>
          <w:color w:val="000000"/>
          <w:sz w:val="20"/>
          <w:szCs w:val="20"/>
          <w:u w:val="single"/>
        </w:rPr>
        <w:t>Employee Development and Well-Being</w:t>
      </w:r>
    </w:p>
    <w:p w:rsidR="00000000" w:rsidRDefault="002223F7">
      <w:pPr>
        <w:jc w:val="both"/>
        <w:divId w:val="1288312351"/>
        <w:rPr>
          <w:rFonts w:eastAsia="Times New Roman"/>
        </w:rPr>
      </w:pPr>
      <w:r>
        <w:rPr>
          <w:rFonts w:ascii="Arial" w:eastAsia="Times New Roman" w:hAnsi="Arial" w:cs="Arial"/>
          <w:color w:val="000000"/>
          <w:sz w:val="20"/>
          <w:szCs w:val="20"/>
        </w:rPr>
        <w:t>Investing in our employees is a top priority and we continually strive to provide an environment that promotes learning</w:t>
      </w:r>
      <w:r>
        <w:rPr>
          <w:rFonts w:ascii="Arial" w:eastAsia="Times New Roman" w:hAnsi="Arial" w:cs="Arial"/>
          <w:color w:val="000000"/>
          <w:sz w:val="20"/>
          <w:szCs w:val="20"/>
        </w:rPr>
        <w:t>, growth and development to maximize our people's potential. We are committed to creating a learning culture that builds skills needed for the future and develops great leaders. We provide a variety of resources to further our employees' development, inclu</w:t>
      </w:r>
      <w:r>
        <w:rPr>
          <w:rFonts w:ascii="Arial" w:eastAsia="Times New Roman" w:hAnsi="Arial" w:cs="Arial"/>
          <w:color w:val="000000"/>
          <w:sz w:val="20"/>
          <w:szCs w:val="20"/>
        </w:rPr>
        <w:t>ding online resources as well as in-person and virtual training programs to develop skills and gain knowledge that advances employees' careers.</w:t>
      </w:r>
    </w:p>
    <w:p w:rsidR="00000000" w:rsidRDefault="002223F7">
      <w:pPr>
        <w:jc w:val="both"/>
        <w:divId w:val="1045909434"/>
        <w:rPr>
          <w:rFonts w:eastAsia="Times New Roman"/>
        </w:rPr>
      </w:pPr>
      <w:r>
        <w:rPr>
          <w:rFonts w:ascii="Arial" w:eastAsia="Times New Roman" w:hAnsi="Arial" w:cs="Arial"/>
          <w:color w:val="000000"/>
          <w:sz w:val="20"/>
          <w:szCs w:val="20"/>
        </w:rPr>
        <w:t>We are also committed to supporting the health and well-being of our employees and their families, as we believe</w:t>
      </w:r>
      <w:r>
        <w:rPr>
          <w:rFonts w:ascii="Arial" w:eastAsia="Times New Roman" w:hAnsi="Arial" w:cs="Arial"/>
          <w:color w:val="000000"/>
          <w:sz w:val="20"/>
          <w:szCs w:val="20"/>
        </w:rPr>
        <w:t xml:space="preserve"> that the key to successful business operations is a healthy and competent workforce. We have identified a strong connection between employee well-being and the safety of business operations. Accordingly, we are devoted to supporting employee well-being in</w:t>
      </w:r>
      <w:r>
        <w:rPr>
          <w:rFonts w:ascii="Arial" w:eastAsia="Times New Roman" w:hAnsi="Arial" w:cs="Arial"/>
          <w:color w:val="000000"/>
          <w:sz w:val="20"/>
          <w:szCs w:val="20"/>
        </w:rPr>
        <w:t xml:space="preserve"> all dimensions, which goes beyond their physical well-being and includes support for emotional, financial and social well-being. It is a holistic approach intended to provide support and resources that empower our employees and their families to embrace a</w:t>
      </w:r>
      <w:r>
        <w:rPr>
          <w:rFonts w:ascii="Arial" w:eastAsia="Times New Roman" w:hAnsi="Arial" w:cs="Arial"/>
          <w:color w:val="000000"/>
          <w:sz w:val="20"/>
          <w:szCs w:val="20"/>
        </w:rPr>
        <w:t xml:space="preserve"> healthy lifestyle. We have launched various programs designed to build a global culture that promotes and celebrates employee health and well-being in our locations around the world. The goal of these programs is to integrate employee health and well-bein</w:t>
      </w:r>
      <w:r>
        <w:rPr>
          <w:rFonts w:ascii="Arial" w:eastAsia="Times New Roman" w:hAnsi="Arial" w:cs="Arial"/>
          <w:color w:val="000000"/>
          <w:sz w:val="20"/>
          <w:szCs w:val="20"/>
        </w:rPr>
        <w:t>g into the World Fuel Services culture through fun and educational events, webinars, activities and fitness challenges.</w:t>
      </w:r>
    </w:p>
    <w:p w:rsidR="00000000" w:rsidRDefault="002223F7">
      <w:pPr>
        <w:divId w:val="757679748"/>
        <w:rPr>
          <w:rFonts w:eastAsia="Times New Roman"/>
        </w:rPr>
      </w:pPr>
      <w:r>
        <w:rPr>
          <w:rFonts w:ascii="Arial" w:eastAsia="Times New Roman" w:hAnsi="Arial" w:cs="Arial"/>
          <w:color w:val="000000"/>
          <w:sz w:val="20"/>
          <w:szCs w:val="20"/>
          <w:u w:val="single"/>
        </w:rPr>
        <w:t>Citizenship</w:t>
      </w:r>
    </w:p>
    <w:p w:rsidR="00000000" w:rsidRDefault="002223F7">
      <w:pPr>
        <w:jc w:val="both"/>
        <w:divId w:val="1426609197"/>
        <w:rPr>
          <w:rFonts w:eastAsia="Times New Roman"/>
        </w:rPr>
      </w:pPr>
      <w:r>
        <w:rPr>
          <w:rFonts w:ascii="Arial" w:eastAsia="Times New Roman" w:hAnsi="Arial" w:cs="Arial"/>
          <w:color w:val="000000"/>
          <w:sz w:val="20"/>
          <w:szCs w:val="20"/>
        </w:rPr>
        <w:t>We believe that fostering sustainable growth is about conducting our business in a manner that promotes a healthy environmen</w:t>
      </w:r>
      <w:r>
        <w:rPr>
          <w:rFonts w:ascii="Arial" w:eastAsia="Times New Roman" w:hAnsi="Arial" w:cs="Arial"/>
          <w:color w:val="000000"/>
          <w:sz w:val="20"/>
          <w:szCs w:val="20"/>
        </w:rPr>
        <w:t>t and strengthens the local communities where we operate. At World Fuel Services, we and all of our employees are dedicated to being a good neighbor and charitable partner in the communities where we conduct our operations. We are committed to creating a p</w:t>
      </w:r>
      <w:r>
        <w:rPr>
          <w:rFonts w:ascii="Arial" w:eastAsia="Times New Roman" w:hAnsi="Arial" w:cs="Arial"/>
          <w:color w:val="000000"/>
          <w:sz w:val="20"/>
          <w:szCs w:val="20"/>
        </w:rPr>
        <w:t>ositive impact in our communities, encouraging our employees to support the communities in which they live and in which we operate, and engaging with and supporting charities in all aspects of society.</w:t>
      </w:r>
    </w:p>
    <w:p w:rsidR="00000000" w:rsidRDefault="002223F7">
      <w:pPr>
        <w:divId w:val="1606958080"/>
        <w:rPr>
          <w:rFonts w:eastAsia="Times New Roman"/>
        </w:rPr>
      </w:pPr>
      <w:r>
        <w:rPr>
          <w:rFonts w:ascii="Arial" w:eastAsia="Times New Roman" w:hAnsi="Arial" w:cs="Arial"/>
          <w:color w:val="000000"/>
          <w:sz w:val="20"/>
          <w:szCs w:val="20"/>
        </w:rPr>
        <w:t>Some of the charities in which we have participated re</w:t>
      </w:r>
      <w:r>
        <w:rPr>
          <w:rFonts w:ascii="Arial" w:eastAsia="Times New Roman" w:hAnsi="Arial" w:cs="Arial"/>
          <w:color w:val="000000"/>
          <w:sz w:val="20"/>
          <w:szCs w:val="20"/>
        </w:rPr>
        <w:t>cently include: Disasters Emergency Committee; Electriciens sans frontières; Red Cross; Muscular Dystrophy Association (MDA); Jet Blue Swing for Good, which supports youth-oriented charities; and many more local and global institutions and organizations.</w:t>
      </w:r>
    </w:p>
    <w:p w:rsidR="00000000" w:rsidRDefault="002223F7">
      <w:pPr>
        <w:divId w:val="2020305927"/>
        <w:rPr>
          <w:rFonts w:eastAsia="Times New Roman"/>
        </w:rPr>
      </w:pPr>
      <w:r>
        <w:rPr>
          <w:rFonts w:ascii="Arial" w:eastAsia="Times New Roman" w:hAnsi="Arial" w:cs="Arial"/>
          <w:b/>
          <w:bCs/>
          <w:color w:val="000000"/>
          <w:sz w:val="20"/>
          <w:szCs w:val="20"/>
        </w:rPr>
        <w:t>F</w:t>
      </w:r>
      <w:r>
        <w:rPr>
          <w:rFonts w:ascii="Arial" w:eastAsia="Times New Roman" w:hAnsi="Arial" w:cs="Arial"/>
          <w:b/>
          <w:bCs/>
          <w:color w:val="000000"/>
          <w:sz w:val="20"/>
          <w:szCs w:val="20"/>
        </w:rPr>
        <w:t>orward-Looking Statements</w:t>
      </w:r>
    </w:p>
    <w:p w:rsidR="00000000" w:rsidRDefault="002223F7">
      <w:pPr>
        <w:jc w:val="both"/>
        <w:divId w:val="37172162"/>
        <w:rPr>
          <w:rFonts w:eastAsia="Times New Roman"/>
        </w:rPr>
      </w:pPr>
      <w:r>
        <w:rPr>
          <w:rFonts w:ascii="Arial" w:eastAsia="Times New Roman" w:hAnsi="Arial" w:cs="Arial"/>
          <w:color w:val="000000"/>
          <w:sz w:val="20"/>
          <w:szCs w:val="20"/>
        </w:rPr>
        <w:t>This 2022 10-K Report and the information incorporated by reference in it, or made by us in other reports, filings with the SEC, press releases, teleconferences, industry conferences or otherwise, contain "forward-looking statemen</w:t>
      </w:r>
      <w:r>
        <w:rPr>
          <w:rFonts w:ascii="Arial" w:eastAsia="Times New Roman" w:hAnsi="Arial" w:cs="Arial"/>
          <w:color w:val="000000"/>
          <w:sz w:val="20"/>
          <w:szCs w:val="20"/>
        </w:rPr>
        <w:t>ts" within the meaning of the Private Securities Litigation Reform Act of 1995. The forward-looking statements include, without limitation, any statement that may predict, forecast, indicate or imply future results, performance or achievements, and may con</w:t>
      </w:r>
      <w:r>
        <w:rPr>
          <w:rFonts w:ascii="Arial" w:eastAsia="Times New Roman" w:hAnsi="Arial" w:cs="Arial"/>
          <w:color w:val="000000"/>
          <w:sz w:val="20"/>
          <w:szCs w:val="20"/>
        </w:rPr>
        <w:t>tain the words "believe," "anticipate," "expect," "estimate," "project," "could," "would," "will," "will be," "will continue," "plan," or words or phrases of similar meaning. Specifically, this 2022 10-K Report includes forward-looking statements regarding</w:t>
      </w:r>
      <w:r>
        <w:rPr>
          <w:rFonts w:ascii="Arial" w:eastAsia="Times New Roman" w:hAnsi="Arial" w:cs="Arial"/>
          <w:color w:val="000000"/>
          <w:sz w:val="20"/>
          <w:szCs w:val="20"/>
        </w:rPr>
        <w:t xml:space="preserve"> (i) the conditions in the aviation, land, and marine markets and their impact on our business, (ii) growth strategies, the impact of fuel prices and our working capital, liquidity, and capital expenditure requirements, (iii) our expectations and estimates</w:t>
      </w:r>
      <w:r>
        <w:rPr>
          <w:rFonts w:ascii="Arial" w:eastAsia="Times New Roman" w:hAnsi="Arial" w:cs="Arial"/>
          <w:color w:val="000000"/>
          <w:sz w:val="20"/>
          <w:szCs w:val="20"/>
        </w:rPr>
        <w:t xml:space="preserve"> regarding tax, legal and accounting matters, including the impact on our financial statements, (iv) our expectations regarding the financial impact and other benefits of previous acquisitions, including estimates of future expenses and our ability to real</w:t>
      </w:r>
      <w:r>
        <w:rPr>
          <w:rFonts w:ascii="Arial" w:eastAsia="Times New Roman" w:hAnsi="Arial" w:cs="Arial"/>
          <w:color w:val="000000"/>
          <w:sz w:val="20"/>
          <w:szCs w:val="20"/>
        </w:rPr>
        <w:t>ize estimated synergies, (v) estimates regarding the financial impact of our derivative contracts, and (vi) our role in the transition to lower carbon alternatives and the impact of our services on such transition. These forward-looking statements are qual</w:t>
      </w:r>
      <w:r>
        <w:rPr>
          <w:rFonts w:ascii="Arial" w:eastAsia="Times New Roman" w:hAnsi="Arial" w:cs="Arial"/>
          <w:color w:val="000000"/>
          <w:sz w:val="20"/>
          <w:szCs w:val="20"/>
        </w:rPr>
        <w:t>ified in their entirety by cautionary statements and risk factor disclosures contained in our SEC filings.</w:t>
      </w:r>
    </w:p>
    <w:p w:rsidR="00000000" w:rsidRDefault="002223F7">
      <w:pPr>
        <w:jc w:val="both"/>
        <w:divId w:val="761220889"/>
        <w:rPr>
          <w:rFonts w:eastAsia="Times New Roman"/>
        </w:rPr>
      </w:pPr>
      <w:r>
        <w:rPr>
          <w:rFonts w:ascii="Arial" w:eastAsia="Times New Roman" w:hAnsi="Arial" w:cs="Arial"/>
          <w:color w:val="000000"/>
          <w:sz w:val="20"/>
          <w:szCs w:val="20"/>
        </w:rPr>
        <w:t>These forward-looking statements are estimates and projections reflecting our best judgment and involve risks, uncertainties or other factors relatin</w:t>
      </w:r>
      <w:r>
        <w:rPr>
          <w:rFonts w:ascii="Arial" w:eastAsia="Times New Roman" w:hAnsi="Arial" w:cs="Arial"/>
          <w:color w:val="000000"/>
          <w:sz w:val="20"/>
          <w:szCs w:val="20"/>
        </w:rPr>
        <w:t xml:space="preserve">g to our operations and business environment, all of which are difficult to predict and many of which are beyond our control. Although we believe the estimates and projections reflected in the </w:t>
      </w:r>
    </w:p>
    <w:p w:rsidR="00000000" w:rsidRDefault="002223F7">
      <w:pPr>
        <w:jc w:val="center"/>
        <w:divId w:val="366609316"/>
        <w:rPr>
          <w:rFonts w:eastAsia="Times New Roman"/>
        </w:rPr>
      </w:pPr>
      <w:r>
        <w:rPr>
          <w:rFonts w:ascii="Arial" w:eastAsia="Times New Roman" w:hAnsi="Arial" w:cs="Arial"/>
          <w:color w:val="000000"/>
          <w:sz w:val="16"/>
          <w:szCs w:val="16"/>
        </w:rPr>
        <w:t>6</w:t>
      </w:r>
    </w:p>
    <w:p w:rsidR="00000000" w:rsidRDefault="002223F7">
      <w:pPr>
        <w:rPr>
          <w:rFonts w:eastAsia="Times New Roman"/>
        </w:rPr>
      </w:pPr>
      <w:r>
        <w:rPr>
          <w:rFonts w:eastAsia="Times New Roman"/>
        </w:rPr>
        <w:pict>
          <v:rect id="_x0000_i1036" style="width:0;height:1.5pt" o:hralign="center" o:hrstd="t" o:hr="t" fillcolor="#a0a0a0" stroked="f"/>
        </w:pict>
      </w:r>
    </w:p>
    <w:p w:rsidR="00000000" w:rsidRDefault="002223F7">
      <w:pPr>
        <w:jc w:val="both"/>
        <w:divId w:val="991450951"/>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1658875430"/>
        <w:rPr>
          <w:rFonts w:eastAsia="Times New Roman"/>
        </w:rPr>
      </w:pPr>
      <w:r>
        <w:rPr>
          <w:rFonts w:ascii="Arial" w:eastAsia="Times New Roman" w:hAnsi="Arial" w:cs="Arial"/>
          <w:color w:val="000000"/>
          <w:sz w:val="20"/>
          <w:szCs w:val="20"/>
        </w:rPr>
        <w:t>forward-looking statements are reasonable, our expectations may prove to be incorrect. Our actual results may differ materially from the future results, performance or achievements expressed or implied by the forward-looking statements.</w:t>
      </w:r>
    </w:p>
    <w:p w:rsidR="00000000" w:rsidRDefault="002223F7">
      <w:pPr>
        <w:jc w:val="both"/>
        <w:divId w:val="1453284077"/>
        <w:rPr>
          <w:rFonts w:eastAsia="Times New Roman"/>
        </w:rPr>
      </w:pPr>
      <w:r>
        <w:rPr>
          <w:rFonts w:ascii="Arial" w:eastAsia="Times New Roman" w:hAnsi="Arial" w:cs="Arial"/>
          <w:color w:val="000000"/>
          <w:sz w:val="20"/>
          <w:szCs w:val="20"/>
        </w:rPr>
        <w:t>Important factors t</w:t>
      </w:r>
      <w:r>
        <w:rPr>
          <w:rFonts w:ascii="Arial" w:eastAsia="Times New Roman" w:hAnsi="Arial" w:cs="Arial"/>
          <w:color w:val="000000"/>
          <w:sz w:val="20"/>
          <w:szCs w:val="20"/>
        </w:rPr>
        <w:t>hat could cause actual results to differ materially from the results and events anticipated or implied by such forward-looking statements include, but are not limited to:</w:t>
      </w:r>
    </w:p>
    <w:p w:rsidR="00000000" w:rsidRDefault="002223F7">
      <w:pPr>
        <w:ind w:hanging="360"/>
        <w:jc w:val="both"/>
        <w:divId w:val="1523669645"/>
        <w:rPr>
          <w:rFonts w:eastAsia="Times New Roman"/>
        </w:rPr>
      </w:pPr>
      <w:r>
        <w:rPr>
          <w:rFonts w:ascii="Arial" w:eastAsia="Times New Roman" w:hAnsi="Arial" w:cs="Arial"/>
          <w:color w:val="000000"/>
          <w:sz w:val="20"/>
          <w:szCs w:val="20"/>
        </w:rPr>
        <w:t>•customer and counterparty creditworthiness and our ability to collect accounts recei</w:t>
      </w:r>
      <w:r>
        <w:rPr>
          <w:rFonts w:ascii="Arial" w:eastAsia="Times New Roman" w:hAnsi="Arial" w:cs="Arial"/>
          <w:color w:val="000000"/>
          <w:sz w:val="20"/>
          <w:szCs w:val="20"/>
        </w:rPr>
        <w:t>vable and settle derivative contracts;</w:t>
      </w:r>
    </w:p>
    <w:p w:rsidR="00000000" w:rsidRDefault="002223F7">
      <w:pPr>
        <w:ind w:hanging="360"/>
        <w:jc w:val="both"/>
        <w:divId w:val="4552657"/>
        <w:rPr>
          <w:rFonts w:eastAsia="Times New Roman"/>
        </w:rPr>
      </w:pPr>
      <w:r>
        <w:rPr>
          <w:rFonts w:ascii="Arial" w:eastAsia="Times New Roman" w:hAnsi="Arial" w:cs="Arial"/>
          <w:color w:val="000000"/>
          <w:sz w:val="20"/>
          <w:szCs w:val="20"/>
        </w:rPr>
        <w:t>•sudden changes in the market price of fuel or extremely high or low fuel prices that continue for an extended period of time;</w:t>
      </w:r>
    </w:p>
    <w:p w:rsidR="00000000" w:rsidRDefault="002223F7">
      <w:pPr>
        <w:ind w:hanging="360"/>
        <w:jc w:val="both"/>
        <w:divId w:val="1199008266"/>
        <w:rPr>
          <w:rFonts w:eastAsia="Times New Roman"/>
        </w:rPr>
      </w:pPr>
      <w:r>
        <w:rPr>
          <w:rFonts w:ascii="Arial" w:eastAsia="Times New Roman" w:hAnsi="Arial" w:cs="Arial"/>
          <w:color w:val="000000"/>
          <w:sz w:val="20"/>
          <w:szCs w:val="20"/>
        </w:rPr>
        <w:t>•adverse conditions in the industries in which our customers operate;</w:t>
      </w:r>
    </w:p>
    <w:p w:rsidR="00000000" w:rsidRDefault="002223F7">
      <w:pPr>
        <w:ind w:hanging="360"/>
        <w:jc w:val="both"/>
        <w:divId w:val="604851363"/>
        <w:rPr>
          <w:rFonts w:eastAsia="Times New Roman"/>
        </w:rPr>
      </w:pPr>
      <w:r>
        <w:rPr>
          <w:rFonts w:ascii="Arial" w:eastAsia="Times New Roman" w:hAnsi="Arial" w:cs="Arial"/>
          <w:color w:val="000000"/>
          <w:sz w:val="20"/>
          <w:szCs w:val="20"/>
        </w:rPr>
        <w:t>•our ability to effe</w:t>
      </w:r>
      <w:r>
        <w:rPr>
          <w:rFonts w:ascii="Arial" w:eastAsia="Times New Roman" w:hAnsi="Arial" w:cs="Arial"/>
          <w:color w:val="000000"/>
          <w:sz w:val="20"/>
          <w:szCs w:val="20"/>
        </w:rPr>
        <w:t>ctively integrate and derive benefits from acquired businesses;</w:t>
      </w:r>
    </w:p>
    <w:p w:rsidR="00000000" w:rsidRDefault="002223F7">
      <w:pPr>
        <w:ind w:hanging="360"/>
        <w:jc w:val="both"/>
        <w:divId w:val="661352566"/>
        <w:rPr>
          <w:rFonts w:eastAsia="Times New Roman"/>
        </w:rPr>
      </w:pPr>
      <w:r>
        <w:rPr>
          <w:rFonts w:ascii="Arial" w:eastAsia="Times New Roman" w:hAnsi="Arial" w:cs="Arial"/>
          <w:color w:val="000000"/>
          <w:sz w:val="20"/>
          <w:szCs w:val="20"/>
        </w:rPr>
        <w:t>•our inability to effectively mitigate certain financial risks and other risks associated with derivatives and our physical fuel products;</w:t>
      </w:r>
    </w:p>
    <w:p w:rsidR="00000000" w:rsidRDefault="002223F7">
      <w:pPr>
        <w:ind w:hanging="360"/>
        <w:jc w:val="both"/>
        <w:divId w:val="284507177"/>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relationships with our employees and potential labor disputes associated with employees covered by collective bargaining agreements;</w:t>
      </w:r>
    </w:p>
    <w:p w:rsidR="00000000" w:rsidRDefault="002223F7">
      <w:pPr>
        <w:ind w:hanging="360"/>
        <w:jc w:val="both"/>
        <w:divId w:val="2118479327"/>
        <w:rPr>
          <w:rFonts w:eastAsia="Times New Roman"/>
        </w:rPr>
      </w:pPr>
      <w:r>
        <w:rPr>
          <w:rFonts w:ascii="Arial" w:eastAsia="Times New Roman" w:hAnsi="Arial" w:cs="Arial"/>
          <w:color w:val="000000"/>
          <w:sz w:val="20"/>
          <w:szCs w:val="20"/>
        </w:rPr>
        <w:t>•our failure to comply with restrictions and covenants governing our senior revolving credit facility ("Credit Facility") a</w:t>
      </w:r>
      <w:r>
        <w:rPr>
          <w:rFonts w:ascii="Arial" w:eastAsia="Times New Roman" w:hAnsi="Arial" w:cs="Arial"/>
          <w:color w:val="000000"/>
          <w:sz w:val="20"/>
          <w:szCs w:val="20"/>
        </w:rPr>
        <w:t>nd our senior term loan ("Term Loan"), including our financial covenants;</w:t>
      </w:r>
    </w:p>
    <w:p w:rsidR="00000000" w:rsidRDefault="002223F7">
      <w:pPr>
        <w:ind w:hanging="360"/>
        <w:jc w:val="both"/>
        <w:divId w:val="861554229"/>
        <w:rPr>
          <w:rFonts w:eastAsia="Times New Roman"/>
        </w:rPr>
      </w:pPr>
      <w:r>
        <w:rPr>
          <w:rFonts w:ascii="Arial" w:eastAsia="Times New Roman" w:hAnsi="Arial" w:cs="Arial"/>
          <w:color w:val="000000"/>
          <w:sz w:val="20"/>
          <w:szCs w:val="20"/>
        </w:rPr>
        <w:t>•the impact of cyber and other information security-related incidents;</w:t>
      </w:r>
    </w:p>
    <w:p w:rsidR="00000000" w:rsidRDefault="002223F7">
      <w:pPr>
        <w:ind w:hanging="360"/>
        <w:jc w:val="both"/>
        <w:divId w:val="76950502"/>
        <w:rPr>
          <w:rFonts w:eastAsia="Times New Roman"/>
        </w:rPr>
      </w:pPr>
      <w:r>
        <w:rPr>
          <w:rFonts w:ascii="Arial" w:eastAsia="Times New Roman" w:hAnsi="Arial" w:cs="Arial"/>
          <w:color w:val="000000"/>
          <w:sz w:val="20"/>
          <w:szCs w:val="20"/>
        </w:rPr>
        <w:t>•changes in the political, economic or regulatory environment generally and in the markets in which we operate,</w:t>
      </w:r>
      <w:r>
        <w:rPr>
          <w:rFonts w:ascii="Arial" w:eastAsia="Times New Roman" w:hAnsi="Arial" w:cs="Arial"/>
          <w:color w:val="000000"/>
          <w:sz w:val="20"/>
          <w:szCs w:val="20"/>
        </w:rPr>
        <w:t xml:space="preserve"> such as the current conflict in Eastern Europe;</w:t>
      </w:r>
    </w:p>
    <w:p w:rsidR="00000000" w:rsidRDefault="002223F7">
      <w:pPr>
        <w:ind w:hanging="360"/>
        <w:jc w:val="both"/>
        <w:divId w:val="589313550"/>
        <w:rPr>
          <w:rFonts w:eastAsia="Times New Roman"/>
        </w:rPr>
      </w:pPr>
      <w:r>
        <w:rPr>
          <w:rFonts w:ascii="Arial" w:eastAsia="Times New Roman" w:hAnsi="Arial" w:cs="Arial"/>
          <w:color w:val="000000"/>
          <w:sz w:val="20"/>
          <w:szCs w:val="20"/>
        </w:rPr>
        <w:t>•greenhouse gas reduction programs and other environmental and climate change legislation adopted by governments around the world, including cap and trade regimes, carbon taxes, increased efficiency standard</w:t>
      </w:r>
      <w:r>
        <w:rPr>
          <w:rFonts w:ascii="Arial" w:eastAsia="Times New Roman" w:hAnsi="Arial" w:cs="Arial"/>
          <w:color w:val="000000"/>
          <w:sz w:val="20"/>
          <w:szCs w:val="20"/>
        </w:rPr>
        <w:t>s and mandates for renewable energy, each of which could increase our operating and compliance costs as well as adversely impact our sales of fuel products;</w:t>
      </w:r>
    </w:p>
    <w:p w:rsidR="00000000" w:rsidRDefault="002223F7">
      <w:pPr>
        <w:ind w:hanging="360"/>
        <w:jc w:val="both"/>
        <w:divId w:val="1317298886"/>
        <w:rPr>
          <w:rFonts w:eastAsia="Times New Roman"/>
        </w:rPr>
      </w:pPr>
      <w:r>
        <w:rPr>
          <w:rFonts w:ascii="Arial" w:eastAsia="Times New Roman" w:hAnsi="Arial" w:cs="Arial"/>
          <w:color w:val="000000"/>
          <w:sz w:val="20"/>
          <w:szCs w:val="20"/>
        </w:rPr>
        <w:t>•changes in credit terms extended to us from our suppliers;</w:t>
      </w:r>
    </w:p>
    <w:p w:rsidR="00000000" w:rsidRDefault="002223F7">
      <w:pPr>
        <w:ind w:hanging="360"/>
        <w:jc w:val="both"/>
        <w:divId w:val="2017149946"/>
        <w:rPr>
          <w:rFonts w:eastAsia="Times New Roman"/>
        </w:rPr>
      </w:pPr>
      <w:r>
        <w:rPr>
          <w:rFonts w:ascii="Arial" w:eastAsia="Times New Roman" w:hAnsi="Arial" w:cs="Arial"/>
          <w:color w:val="000000"/>
          <w:sz w:val="20"/>
          <w:szCs w:val="20"/>
        </w:rPr>
        <w:t xml:space="preserve">•non-performance of suppliers on their </w:t>
      </w:r>
      <w:r>
        <w:rPr>
          <w:rFonts w:ascii="Arial" w:eastAsia="Times New Roman" w:hAnsi="Arial" w:cs="Arial"/>
          <w:color w:val="000000"/>
          <w:sz w:val="20"/>
          <w:szCs w:val="20"/>
        </w:rPr>
        <w:t>sale commitments and customers on their purchase commitments;</w:t>
      </w:r>
    </w:p>
    <w:p w:rsidR="00000000" w:rsidRDefault="002223F7">
      <w:pPr>
        <w:ind w:hanging="360"/>
        <w:jc w:val="both"/>
        <w:divId w:val="2098593835"/>
        <w:rPr>
          <w:rFonts w:eastAsia="Times New Roman"/>
        </w:rPr>
      </w:pPr>
      <w:r>
        <w:rPr>
          <w:rFonts w:ascii="Arial" w:eastAsia="Times New Roman" w:hAnsi="Arial" w:cs="Arial"/>
          <w:color w:val="000000"/>
          <w:sz w:val="20"/>
          <w:szCs w:val="20"/>
        </w:rPr>
        <w:t>•non-performance of third-party service providers;</w:t>
      </w:r>
    </w:p>
    <w:p w:rsidR="00000000" w:rsidRDefault="002223F7">
      <w:pPr>
        <w:ind w:hanging="360"/>
        <w:jc w:val="both"/>
        <w:divId w:val="1443179"/>
        <w:rPr>
          <w:rFonts w:eastAsia="Times New Roman"/>
        </w:rPr>
      </w:pPr>
      <w:r>
        <w:rPr>
          <w:rFonts w:ascii="Arial" w:eastAsia="Times New Roman" w:hAnsi="Arial" w:cs="Arial"/>
          <w:color w:val="000000"/>
          <w:sz w:val="20"/>
          <w:szCs w:val="20"/>
        </w:rPr>
        <w:t>•our ability to meet financial forecasts associated with our operating plan;</w:t>
      </w:r>
    </w:p>
    <w:p w:rsidR="00000000" w:rsidRDefault="002223F7">
      <w:pPr>
        <w:ind w:hanging="360"/>
        <w:jc w:val="both"/>
        <w:divId w:val="1577546587"/>
        <w:rPr>
          <w:rFonts w:eastAsia="Times New Roman"/>
        </w:rPr>
      </w:pPr>
      <w:r>
        <w:rPr>
          <w:rFonts w:ascii="Arial" w:eastAsia="Times New Roman" w:hAnsi="Arial" w:cs="Arial"/>
          <w:color w:val="000000"/>
          <w:sz w:val="20"/>
          <w:szCs w:val="20"/>
        </w:rPr>
        <w:t>•lower than expected cash flows and revenues, which could impair o</w:t>
      </w:r>
      <w:r>
        <w:rPr>
          <w:rFonts w:ascii="Arial" w:eastAsia="Times New Roman" w:hAnsi="Arial" w:cs="Arial"/>
          <w:color w:val="000000"/>
          <w:sz w:val="20"/>
          <w:szCs w:val="20"/>
        </w:rPr>
        <w:t>ur ability to realize the value of recorded intangible assets and goodwill;</w:t>
      </w:r>
    </w:p>
    <w:p w:rsidR="00000000" w:rsidRDefault="002223F7">
      <w:pPr>
        <w:ind w:hanging="360"/>
        <w:jc w:val="both"/>
        <w:divId w:val="245305895"/>
        <w:rPr>
          <w:rFonts w:eastAsia="Times New Roman"/>
        </w:rPr>
      </w:pPr>
      <w:r>
        <w:rPr>
          <w:rFonts w:ascii="Arial" w:eastAsia="Times New Roman" w:hAnsi="Arial" w:cs="Arial"/>
          <w:color w:val="000000"/>
          <w:sz w:val="20"/>
          <w:szCs w:val="20"/>
        </w:rPr>
        <w:t>•the availability of cash and sufficient liquidity to fund our working capital and strategic investment needs;</w:t>
      </w:r>
    </w:p>
    <w:p w:rsidR="00000000" w:rsidRDefault="002223F7">
      <w:pPr>
        <w:ind w:hanging="360"/>
        <w:jc w:val="both"/>
        <w:divId w:val="1675841339"/>
        <w:rPr>
          <w:rFonts w:eastAsia="Times New Roman"/>
        </w:rPr>
      </w:pPr>
      <w:r>
        <w:rPr>
          <w:rFonts w:ascii="Arial" w:eastAsia="Times New Roman" w:hAnsi="Arial" w:cs="Arial"/>
          <w:color w:val="000000"/>
          <w:sz w:val="20"/>
          <w:szCs w:val="20"/>
        </w:rPr>
        <w:t>•currency exchange fluctuations;</w:t>
      </w:r>
    </w:p>
    <w:p w:rsidR="00000000" w:rsidRDefault="002223F7">
      <w:pPr>
        <w:ind w:hanging="360"/>
        <w:jc w:val="both"/>
        <w:divId w:val="478158204"/>
        <w:rPr>
          <w:rFonts w:eastAsia="Times New Roman"/>
        </w:rPr>
      </w:pPr>
      <w:r>
        <w:rPr>
          <w:rFonts w:ascii="Arial" w:eastAsia="Times New Roman" w:hAnsi="Arial" w:cs="Arial"/>
          <w:color w:val="000000"/>
          <w:sz w:val="20"/>
          <w:szCs w:val="20"/>
        </w:rPr>
        <w:t>•inflationary pressures and their im</w:t>
      </w:r>
      <w:r>
        <w:rPr>
          <w:rFonts w:ascii="Arial" w:eastAsia="Times New Roman" w:hAnsi="Arial" w:cs="Arial"/>
          <w:color w:val="000000"/>
          <w:sz w:val="20"/>
          <w:szCs w:val="20"/>
        </w:rPr>
        <w:t>pact on our customers or the global economy, including sudden or significant increases in interest rates or a global recession;</w:t>
      </w:r>
    </w:p>
    <w:p w:rsidR="00000000" w:rsidRDefault="002223F7">
      <w:pPr>
        <w:ind w:hanging="360"/>
        <w:jc w:val="both"/>
        <w:divId w:val="945312961"/>
        <w:rPr>
          <w:rFonts w:eastAsia="Times New Roman"/>
        </w:rPr>
      </w:pPr>
      <w:r>
        <w:rPr>
          <w:rFonts w:ascii="Arial" w:eastAsia="Times New Roman" w:hAnsi="Arial" w:cs="Arial"/>
          <w:color w:val="000000"/>
          <w:sz w:val="20"/>
          <w:szCs w:val="20"/>
        </w:rPr>
        <w:t xml:space="preserve">•our ability to effectively leverage technology and operating systems and realize the anticipated benefits; </w:t>
      </w:r>
    </w:p>
    <w:p w:rsidR="00000000" w:rsidRDefault="002223F7">
      <w:pPr>
        <w:ind w:hanging="360"/>
        <w:jc w:val="both"/>
        <w:divId w:val="584606675"/>
        <w:rPr>
          <w:rFonts w:eastAsia="Times New Roman"/>
        </w:rPr>
      </w:pPr>
      <w:r>
        <w:rPr>
          <w:rFonts w:ascii="Arial" w:eastAsia="Times New Roman" w:hAnsi="Arial" w:cs="Arial"/>
          <w:color w:val="000000"/>
          <w:sz w:val="20"/>
          <w:szCs w:val="20"/>
        </w:rPr>
        <w:t>•failure to meet fu</w:t>
      </w:r>
      <w:r>
        <w:rPr>
          <w:rFonts w:ascii="Arial" w:eastAsia="Times New Roman" w:hAnsi="Arial" w:cs="Arial"/>
          <w:color w:val="000000"/>
          <w:sz w:val="20"/>
          <w:szCs w:val="20"/>
        </w:rPr>
        <w:t>el and other product specifications agreed with our customers;</w:t>
      </w:r>
    </w:p>
    <w:p w:rsidR="00000000" w:rsidRDefault="002223F7">
      <w:pPr>
        <w:ind w:hanging="360"/>
        <w:jc w:val="both"/>
        <w:divId w:val="1313022189"/>
        <w:rPr>
          <w:rFonts w:eastAsia="Times New Roman"/>
        </w:rPr>
      </w:pPr>
      <w:r>
        <w:rPr>
          <w:rFonts w:ascii="Arial" w:eastAsia="Times New Roman" w:hAnsi="Arial" w:cs="Arial"/>
          <w:color w:val="000000"/>
          <w:sz w:val="20"/>
          <w:szCs w:val="20"/>
        </w:rPr>
        <w:t>•our ability to achieve the expected level of benefit from our restructuring activities and cost reduction initiatives;</w:t>
      </w:r>
    </w:p>
    <w:p w:rsidR="00000000" w:rsidRDefault="002223F7">
      <w:pPr>
        <w:ind w:hanging="360"/>
        <w:jc w:val="both"/>
        <w:divId w:val="1022441798"/>
        <w:rPr>
          <w:rFonts w:eastAsia="Times New Roman"/>
        </w:rPr>
      </w:pPr>
      <w:r>
        <w:rPr>
          <w:rFonts w:ascii="Arial" w:eastAsia="Times New Roman" w:hAnsi="Arial" w:cs="Arial"/>
          <w:color w:val="000000"/>
          <w:sz w:val="20"/>
          <w:szCs w:val="20"/>
        </w:rPr>
        <w:t>•environmental and other risks associated with the storage, transportatio</w:t>
      </w:r>
      <w:r>
        <w:rPr>
          <w:rFonts w:ascii="Arial" w:eastAsia="Times New Roman" w:hAnsi="Arial" w:cs="Arial"/>
          <w:color w:val="000000"/>
          <w:sz w:val="20"/>
          <w:szCs w:val="20"/>
        </w:rPr>
        <w:t>n and delivery of petroleum products;</w:t>
      </w:r>
    </w:p>
    <w:p w:rsidR="00000000" w:rsidRDefault="002223F7">
      <w:pPr>
        <w:ind w:hanging="360"/>
        <w:jc w:val="both"/>
        <w:divId w:val="1174687172"/>
        <w:rPr>
          <w:rFonts w:eastAsia="Times New Roman"/>
        </w:rPr>
      </w:pPr>
      <w:r>
        <w:rPr>
          <w:rFonts w:ascii="Arial" w:eastAsia="Times New Roman" w:hAnsi="Arial" w:cs="Arial"/>
          <w:color w:val="000000"/>
          <w:sz w:val="20"/>
          <w:szCs w:val="20"/>
        </w:rPr>
        <w:t>•reputational harm from adverse publicity arising out of spills, environmental contamination or public perception about the impacts on climate change by us or other companies in our industry;</w:t>
      </w:r>
    </w:p>
    <w:p w:rsidR="00000000" w:rsidRDefault="002223F7">
      <w:pPr>
        <w:ind w:hanging="360"/>
        <w:jc w:val="both"/>
        <w:divId w:val="2042046865"/>
        <w:rPr>
          <w:rFonts w:eastAsia="Times New Roman"/>
        </w:rPr>
      </w:pPr>
      <w:r>
        <w:rPr>
          <w:rFonts w:ascii="Arial" w:eastAsia="Times New Roman" w:hAnsi="Arial" w:cs="Arial"/>
          <w:color w:val="000000"/>
          <w:sz w:val="20"/>
          <w:szCs w:val="20"/>
        </w:rPr>
        <w:t>•risks associated with ope</w:t>
      </w:r>
      <w:r>
        <w:rPr>
          <w:rFonts w:ascii="Arial" w:eastAsia="Times New Roman" w:hAnsi="Arial" w:cs="Arial"/>
          <w:color w:val="000000"/>
          <w:sz w:val="20"/>
          <w:szCs w:val="20"/>
        </w:rPr>
        <w:t>rating in high-risk locations, including supply disruptions, border closures and other logistical difficulties that arise when working in these areas;</w:t>
      </w:r>
    </w:p>
    <w:p w:rsidR="00000000" w:rsidRDefault="002223F7">
      <w:pPr>
        <w:ind w:hanging="360"/>
        <w:jc w:val="both"/>
        <w:divId w:val="769936525"/>
        <w:rPr>
          <w:rFonts w:eastAsia="Times New Roman"/>
        </w:rPr>
      </w:pPr>
      <w:r>
        <w:rPr>
          <w:rFonts w:ascii="Arial" w:eastAsia="Times New Roman" w:hAnsi="Arial" w:cs="Arial"/>
          <w:color w:val="000000"/>
          <w:sz w:val="20"/>
          <w:szCs w:val="20"/>
        </w:rPr>
        <w:t>•uninsured or underinsured losses;</w:t>
      </w:r>
    </w:p>
    <w:p w:rsidR="00000000" w:rsidRDefault="002223F7">
      <w:pPr>
        <w:jc w:val="center"/>
        <w:divId w:val="1274167963"/>
        <w:rPr>
          <w:rFonts w:eastAsia="Times New Roman"/>
        </w:rPr>
      </w:pPr>
      <w:r>
        <w:rPr>
          <w:rFonts w:ascii="Arial" w:eastAsia="Times New Roman" w:hAnsi="Arial" w:cs="Arial"/>
          <w:color w:val="000000"/>
          <w:sz w:val="16"/>
          <w:szCs w:val="16"/>
        </w:rPr>
        <w:t>7</w:t>
      </w:r>
    </w:p>
    <w:p w:rsidR="00000000" w:rsidRDefault="002223F7">
      <w:pPr>
        <w:rPr>
          <w:rFonts w:eastAsia="Times New Roman"/>
        </w:rPr>
      </w:pPr>
      <w:r>
        <w:rPr>
          <w:rFonts w:eastAsia="Times New Roman"/>
        </w:rPr>
        <w:pict>
          <v:rect id="_x0000_i1037" style="width:0;height:1.5pt" o:hralign="center" o:hrstd="t" o:hr="t" fillcolor="#a0a0a0" stroked="f"/>
        </w:pict>
      </w:r>
    </w:p>
    <w:p w:rsidR="00000000" w:rsidRDefault="002223F7">
      <w:pPr>
        <w:jc w:val="both"/>
        <w:divId w:val="1258248658"/>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ind w:hanging="360"/>
        <w:jc w:val="both"/>
        <w:divId w:val="2079740791"/>
        <w:rPr>
          <w:rFonts w:eastAsia="Times New Roman"/>
        </w:rPr>
      </w:pPr>
      <w:r>
        <w:rPr>
          <w:rFonts w:ascii="Arial" w:eastAsia="Times New Roman" w:hAnsi="Arial" w:cs="Arial"/>
          <w:color w:val="000000"/>
          <w:sz w:val="20"/>
          <w:szCs w:val="20"/>
        </w:rPr>
        <w:t>•seasonal variability that adversely affects our revenues and operating results, as we</w:t>
      </w:r>
      <w:r>
        <w:rPr>
          <w:rFonts w:ascii="Arial" w:eastAsia="Times New Roman" w:hAnsi="Arial" w:cs="Arial"/>
          <w:color w:val="000000"/>
          <w:sz w:val="20"/>
          <w:szCs w:val="20"/>
        </w:rPr>
        <w:t>ll as the impact of natural disasters, such as earthquakes, hurricanes and wildfires;</w:t>
      </w:r>
    </w:p>
    <w:p w:rsidR="00000000" w:rsidRDefault="002223F7">
      <w:pPr>
        <w:ind w:hanging="360"/>
        <w:jc w:val="both"/>
        <w:divId w:val="332538732"/>
        <w:rPr>
          <w:rFonts w:eastAsia="Times New Roman"/>
        </w:rPr>
      </w:pPr>
      <w:r>
        <w:rPr>
          <w:rFonts w:ascii="Arial" w:eastAsia="Times New Roman" w:hAnsi="Arial" w:cs="Arial"/>
          <w:color w:val="000000"/>
          <w:sz w:val="20"/>
          <w:szCs w:val="20"/>
        </w:rPr>
        <w:t>•declines in the value and liquidity of cash equivalents and investments;</w:t>
      </w:r>
    </w:p>
    <w:p w:rsidR="00000000" w:rsidRDefault="002223F7">
      <w:pPr>
        <w:ind w:hanging="360"/>
        <w:jc w:val="both"/>
        <w:divId w:val="1844931122"/>
        <w:rPr>
          <w:rFonts w:eastAsia="Times New Roman"/>
        </w:rPr>
      </w:pPr>
      <w:r>
        <w:rPr>
          <w:rFonts w:ascii="Arial" w:eastAsia="Times New Roman" w:hAnsi="Arial" w:cs="Arial"/>
          <w:color w:val="000000"/>
          <w:sz w:val="20"/>
          <w:szCs w:val="20"/>
        </w:rPr>
        <w:t>•our ability to retain and attract senior management and other key employees;</w:t>
      </w:r>
    </w:p>
    <w:p w:rsidR="00000000" w:rsidRDefault="002223F7">
      <w:pPr>
        <w:ind w:hanging="360"/>
        <w:jc w:val="both"/>
        <w:divId w:val="693044014"/>
        <w:rPr>
          <w:rFonts w:eastAsia="Times New Roman"/>
        </w:rPr>
      </w:pPr>
      <w:r>
        <w:rPr>
          <w:rFonts w:ascii="Arial" w:eastAsia="Times New Roman" w:hAnsi="Arial" w:cs="Arial"/>
          <w:color w:val="000000"/>
          <w:sz w:val="20"/>
          <w:szCs w:val="20"/>
        </w:rPr>
        <w:t>•changes in U.S. o</w:t>
      </w:r>
      <w:r>
        <w:rPr>
          <w:rFonts w:ascii="Arial" w:eastAsia="Times New Roman" w:hAnsi="Arial" w:cs="Arial"/>
          <w:color w:val="000000"/>
          <w:sz w:val="20"/>
          <w:szCs w:val="20"/>
        </w:rPr>
        <w:t>r foreign tax laws, interpretations of such laws, changes in the mix of taxable income among different tax jurisdictions, or adverse results of tax audits, assessments, or disputes;</w:t>
      </w:r>
    </w:p>
    <w:p w:rsidR="00000000" w:rsidRDefault="002223F7">
      <w:pPr>
        <w:ind w:hanging="360"/>
        <w:jc w:val="both"/>
        <w:divId w:val="2029209560"/>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our failure to generate sufficient future taxable income in jurisdictions with material deferred tax assets and net operating loss carryforwards;</w:t>
      </w:r>
    </w:p>
    <w:p w:rsidR="00000000" w:rsidRDefault="002223F7">
      <w:pPr>
        <w:ind w:hanging="360"/>
        <w:jc w:val="both"/>
        <w:divId w:val="1308048147"/>
        <w:rPr>
          <w:rFonts w:eastAsia="Times New Roman"/>
        </w:rPr>
      </w:pPr>
      <w:r>
        <w:rPr>
          <w:rFonts w:ascii="Arial" w:eastAsia="Times New Roman" w:hAnsi="Arial" w:cs="Arial"/>
          <w:color w:val="000000"/>
          <w:sz w:val="20"/>
          <w:szCs w:val="20"/>
        </w:rPr>
        <w:t>•the impact of the U.K.'s exit from the European Union, known as Brexit, on our business, operations and finan</w:t>
      </w:r>
      <w:r>
        <w:rPr>
          <w:rFonts w:ascii="Arial" w:eastAsia="Times New Roman" w:hAnsi="Arial" w:cs="Arial"/>
          <w:color w:val="000000"/>
          <w:sz w:val="20"/>
          <w:szCs w:val="20"/>
        </w:rPr>
        <w:t>cial condition;</w:t>
      </w:r>
    </w:p>
    <w:p w:rsidR="00000000" w:rsidRDefault="002223F7">
      <w:pPr>
        <w:ind w:hanging="360"/>
        <w:jc w:val="both"/>
        <w:divId w:val="1382293335"/>
        <w:rPr>
          <w:rFonts w:eastAsia="Times New Roman"/>
        </w:rPr>
      </w:pPr>
      <w:r>
        <w:rPr>
          <w:rFonts w:ascii="Arial" w:eastAsia="Times New Roman" w:hAnsi="Arial" w:cs="Arial"/>
          <w:color w:val="000000"/>
          <w:sz w:val="20"/>
          <w:szCs w:val="20"/>
        </w:rPr>
        <w:t>•our ability to comply with U.S. and international laws and regulations, including those related to anti-corruption, economic sanction programs and environmental matters;</w:t>
      </w:r>
    </w:p>
    <w:p w:rsidR="00000000" w:rsidRDefault="002223F7">
      <w:pPr>
        <w:ind w:hanging="360"/>
        <w:jc w:val="both"/>
        <w:divId w:val="1607275529"/>
        <w:rPr>
          <w:rFonts w:eastAsia="Times New Roman"/>
        </w:rPr>
      </w:pPr>
      <w:r>
        <w:rPr>
          <w:rFonts w:ascii="Arial" w:eastAsia="Times New Roman" w:hAnsi="Arial" w:cs="Arial"/>
          <w:color w:val="000000"/>
          <w:sz w:val="20"/>
          <w:szCs w:val="20"/>
        </w:rPr>
        <w:t>•global health developments and economic uncertainty following the CO</w:t>
      </w:r>
      <w:r>
        <w:rPr>
          <w:rFonts w:ascii="Arial" w:eastAsia="Times New Roman" w:hAnsi="Arial" w:cs="Arial"/>
          <w:color w:val="000000"/>
          <w:sz w:val="20"/>
          <w:szCs w:val="20"/>
        </w:rPr>
        <w:t xml:space="preserve">VID-19 pandemic; </w:t>
      </w:r>
    </w:p>
    <w:p w:rsidR="00000000" w:rsidRDefault="002223F7">
      <w:pPr>
        <w:ind w:hanging="360"/>
        <w:jc w:val="both"/>
        <w:divId w:val="508565356"/>
        <w:rPr>
          <w:rFonts w:eastAsia="Times New Roman"/>
        </w:rPr>
      </w:pPr>
      <w:r>
        <w:rPr>
          <w:rFonts w:ascii="Arial" w:eastAsia="Times New Roman" w:hAnsi="Arial" w:cs="Arial"/>
          <w:color w:val="000000"/>
          <w:sz w:val="20"/>
          <w:szCs w:val="20"/>
        </w:rPr>
        <w:t xml:space="preserve">•the outcome of litigation and other proceedings, including the costs associated in defending any actions; and </w:t>
      </w:r>
    </w:p>
    <w:p w:rsidR="00000000" w:rsidRDefault="002223F7">
      <w:pPr>
        <w:ind w:hanging="360"/>
        <w:jc w:val="both"/>
        <w:divId w:val="240068188"/>
        <w:rPr>
          <w:rFonts w:eastAsia="Times New Roman"/>
        </w:rPr>
      </w:pPr>
      <w:r>
        <w:rPr>
          <w:rFonts w:ascii="Arial" w:eastAsia="Times New Roman" w:hAnsi="Arial" w:cs="Arial"/>
          <w:color w:val="000000"/>
          <w:sz w:val="20"/>
          <w:szCs w:val="20"/>
        </w:rPr>
        <w:t>•other risks, including those described in Item 1A. – Risk Factors in this 2022 10-K Report and those described from time to t</w:t>
      </w:r>
      <w:r>
        <w:rPr>
          <w:rFonts w:ascii="Arial" w:eastAsia="Times New Roman" w:hAnsi="Arial" w:cs="Arial"/>
          <w:color w:val="000000"/>
          <w:sz w:val="20"/>
          <w:szCs w:val="20"/>
        </w:rPr>
        <w:t>ime in our other filings with the SEC.</w:t>
      </w:r>
    </w:p>
    <w:p w:rsidR="00000000" w:rsidRDefault="002223F7">
      <w:pPr>
        <w:jc w:val="both"/>
        <w:divId w:val="550851036"/>
        <w:rPr>
          <w:rFonts w:eastAsia="Times New Roman"/>
        </w:rPr>
      </w:pPr>
      <w:r>
        <w:rPr>
          <w:rFonts w:ascii="Arial" w:eastAsia="Times New Roman" w:hAnsi="Arial" w:cs="Arial"/>
          <w:color w:val="000000"/>
          <w:sz w:val="20"/>
          <w:szCs w:val="20"/>
        </w:rPr>
        <w:t>We operate in a very competitive and rapidly changing environment. New risks emerge from time to time. It is not possible for us to predict all of those risks, nor can we assess the impact of all of those risks on our</w:t>
      </w:r>
      <w:r>
        <w:rPr>
          <w:rFonts w:ascii="Arial" w:eastAsia="Times New Roman" w:hAnsi="Arial" w:cs="Arial"/>
          <w:color w:val="000000"/>
          <w:sz w:val="20"/>
          <w:szCs w:val="20"/>
        </w:rPr>
        <w:t xml:space="preserve"> business or the extent to which any factor may cause actual results to differ materially from those contained in any forward-looking statement. Further, forward-looking statements speak only as of the date they are made, and unless required by law, we exp</w:t>
      </w:r>
      <w:r>
        <w:rPr>
          <w:rFonts w:ascii="Arial" w:eastAsia="Times New Roman" w:hAnsi="Arial" w:cs="Arial"/>
          <w:color w:val="000000"/>
          <w:sz w:val="20"/>
          <w:szCs w:val="20"/>
        </w:rPr>
        <w:t>ressly disclaim any obligation or undertaking to publicly update any of them in light of new information, future events, or otherwise. Any public statements or disclosures by us following this report that modify or impact any of the forward-looking stateme</w:t>
      </w:r>
      <w:r>
        <w:rPr>
          <w:rFonts w:ascii="Arial" w:eastAsia="Times New Roman" w:hAnsi="Arial" w:cs="Arial"/>
          <w:color w:val="000000"/>
          <w:sz w:val="20"/>
          <w:szCs w:val="20"/>
        </w:rPr>
        <w:t>nts contained in or accompanying this 2022 10-K Report will be deemed to modify or supersede such forward-looking statements.</w:t>
      </w:r>
    </w:p>
    <w:p w:rsidR="00000000" w:rsidRDefault="002223F7">
      <w:pPr>
        <w:jc w:val="both"/>
        <w:divId w:val="1976312"/>
        <w:rPr>
          <w:rFonts w:eastAsia="Times New Roman"/>
        </w:rPr>
      </w:pPr>
      <w:r>
        <w:rPr>
          <w:rFonts w:ascii="Arial" w:eastAsia="Times New Roman" w:hAnsi="Arial" w:cs="Arial"/>
          <w:color w:val="000000"/>
          <w:sz w:val="20"/>
          <w:szCs w:val="20"/>
        </w:rPr>
        <w:t>For these statements, we claim the protection of the safe harbor for forward-looking statements contained in Section 27A of the Se</w:t>
      </w:r>
      <w:r>
        <w:rPr>
          <w:rFonts w:ascii="Arial" w:eastAsia="Times New Roman" w:hAnsi="Arial" w:cs="Arial"/>
          <w:color w:val="000000"/>
          <w:sz w:val="20"/>
          <w:szCs w:val="20"/>
        </w:rPr>
        <w:t>curities Act of 1933, as amended, and Section 21E of the Exchange Act, as amended.</w:t>
      </w:r>
    </w:p>
    <w:p w:rsidR="00000000" w:rsidRDefault="002223F7">
      <w:pPr>
        <w:divId w:val="1637098586"/>
        <w:rPr>
          <w:rFonts w:eastAsia="Times New Roman"/>
        </w:rPr>
      </w:pPr>
      <w:r>
        <w:rPr>
          <w:rFonts w:ascii="Arial" w:eastAsia="Times New Roman" w:hAnsi="Arial" w:cs="Arial"/>
          <w:b/>
          <w:bCs/>
          <w:color w:val="000000"/>
        </w:rPr>
        <w:t>Item 1A. Risk Factors</w:t>
      </w:r>
    </w:p>
    <w:p w:rsidR="00000000" w:rsidRDefault="002223F7">
      <w:pPr>
        <w:jc w:val="both"/>
        <w:divId w:val="593515019"/>
        <w:rPr>
          <w:rFonts w:eastAsia="Times New Roman"/>
        </w:rPr>
      </w:pPr>
      <w:r>
        <w:rPr>
          <w:rFonts w:ascii="Arial" w:eastAsia="Times New Roman" w:hAnsi="Arial" w:cs="Arial"/>
          <w:i/>
          <w:iCs/>
          <w:color w:val="000000"/>
          <w:sz w:val="20"/>
          <w:szCs w:val="20"/>
        </w:rPr>
        <w:t>You should carefully consider each of the following risks and all the other information contained in this 2022 10-K Report in evaluating us and our com</w:t>
      </w:r>
      <w:r>
        <w:rPr>
          <w:rFonts w:ascii="Arial" w:eastAsia="Times New Roman" w:hAnsi="Arial" w:cs="Arial"/>
          <w:i/>
          <w:iCs/>
          <w:color w:val="000000"/>
          <w:sz w:val="20"/>
          <w:szCs w:val="20"/>
        </w:rPr>
        <w:t>mon stock. Although the risks are organized by headings, and each risk is discussed separately, many are interrelated. Our business, financial condition, results of operations and cash flows could be materially and adversely affected by these risks, and, a</w:t>
      </w:r>
      <w:r>
        <w:rPr>
          <w:rFonts w:ascii="Arial" w:eastAsia="Times New Roman" w:hAnsi="Arial" w:cs="Arial"/>
          <w:i/>
          <w:iCs/>
          <w:color w:val="000000"/>
          <w:sz w:val="20"/>
          <w:szCs w:val="20"/>
        </w:rPr>
        <w:t>s a result, the trading price of our common stock could decline. We have in the past been adversely affected by certain of, and may in the future be affected by, these risks. You should not interpret the disclosure of any risk factor to imply that the risk</w:t>
      </w:r>
      <w:r>
        <w:rPr>
          <w:rFonts w:ascii="Arial" w:eastAsia="Times New Roman" w:hAnsi="Arial" w:cs="Arial"/>
          <w:i/>
          <w:iCs/>
          <w:color w:val="000000"/>
          <w:sz w:val="20"/>
          <w:szCs w:val="20"/>
        </w:rPr>
        <w:t xml:space="preserve"> has not already materialized.</w:t>
      </w:r>
    </w:p>
    <w:p w:rsidR="00000000" w:rsidRDefault="002223F7">
      <w:pPr>
        <w:divId w:val="256639995"/>
        <w:rPr>
          <w:rFonts w:eastAsia="Times New Roman"/>
        </w:rPr>
      </w:pPr>
      <w:r>
        <w:rPr>
          <w:rFonts w:ascii="Arial" w:eastAsia="Times New Roman" w:hAnsi="Arial" w:cs="Arial"/>
          <w:b/>
          <w:bCs/>
          <w:color w:val="000000"/>
          <w:sz w:val="20"/>
          <w:szCs w:val="20"/>
          <w:u w:val="single"/>
        </w:rPr>
        <w:t>Strategic &amp; Operational Risks</w:t>
      </w:r>
    </w:p>
    <w:p w:rsidR="00000000" w:rsidRDefault="002223F7">
      <w:pPr>
        <w:divId w:val="1107770129"/>
        <w:rPr>
          <w:rFonts w:eastAsia="Times New Roman"/>
        </w:rPr>
      </w:pPr>
      <w:r>
        <w:rPr>
          <w:rFonts w:ascii="Arial" w:eastAsia="Times New Roman" w:hAnsi="Arial" w:cs="Arial"/>
          <w:b/>
          <w:bCs/>
          <w:color w:val="000000"/>
          <w:sz w:val="20"/>
          <w:szCs w:val="20"/>
        </w:rPr>
        <w:t>We extend credit to most of our customers in connection with their purchase of fuel and services from us, and our financial condition, results of operations and cash flows will be adversely affected if we are unable to collect accounts receivable.</w:t>
      </w:r>
    </w:p>
    <w:p w:rsidR="00000000" w:rsidRDefault="002223F7">
      <w:pPr>
        <w:jc w:val="both"/>
        <w:divId w:val="87848154"/>
        <w:rPr>
          <w:rFonts w:eastAsia="Times New Roman"/>
        </w:rPr>
      </w:pPr>
      <w:r>
        <w:rPr>
          <w:rFonts w:ascii="Arial" w:eastAsia="Times New Roman" w:hAnsi="Arial" w:cs="Arial"/>
          <w:color w:val="000000"/>
          <w:sz w:val="20"/>
          <w:szCs w:val="20"/>
        </w:rPr>
        <w:t>Our succ</w:t>
      </w:r>
      <w:r>
        <w:rPr>
          <w:rFonts w:ascii="Arial" w:eastAsia="Times New Roman" w:hAnsi="Arial" w:cs="Arial"/>
          <w:color w:val="000000"/>
          <w:sz w:val="20"/>
          <w:szCs w:val="20"/>
        </w:rPr>
        <w:t>ess in attracting customers has been partly due to our willingness to extend credit on an unsecured basis to customers instead of requiring prepayment, letters of credit or other forms of credit support. Even in cases where we do obtain credit enhancements</w:t>
      </w:r>
      <w:r>
        <w:rPr>
          <w:rFonts w:ascii="Arial" w:eastAsia="Times New Roman" w:hAnsi="Arial" w:cs="Arial"/>
          <w:color w:val="000000"/>
          <w:sz w:val="20"/>
          <w:szCs w:val="20"/>
        </w:rPr>
        <w:t>, such as guarantees, offset rights, collateral or other forms of security, such rights may not be sufficient to ensure amounts owed to us are fully collectible. Furthermore, our credit risk is concentrated in the aviation, land and marine transportation i</w:t>
      </w:r>
      <w:r>
        <w:rPr>
          <w:rFonts w:ascii="Arial" w:eastAsia="Times New Roman" w:hAnsi="Arial" w:cs="Arial"/>
          <w:color w:val="000000"/>
          <w:sz w:val="20"/>
          <w:szCs w:val="20"/>
        </w:rPr>
        <w:t>ndustries, which exposes us to greater risk when there are global impacts to these industries, such as what occurred during the COVID-19 pandemic.</w:t>
      </w:r>
    </w:p>
    <w:p w:rsidR="00000000" w:rsidRDefault="002223F7">
      <w:pPr>
        <w:jc w:val="both"/>
        <w:divId w:val="2070378073"/>
        <w:rPr>
          <w:rFonts w:eastAsia="Times New Roman"/>
        </w:rPr>
      </w:pPr>
      <w:r>
        <w:rPr>
          <w:rFonts w:ascii="Arial" w:eastAsia="Times New Roman" w:hAnsi="Arial" w:cs="Arial"/>
          <w:color w:val="000000"/>
          <w:sz w:val="20"/>
          <w:szCs w:val="20"/>
        </w:rPr>
        <w:t>Our exposure to credit losses depends primarily on the financial condition of our customers and other factors</w:t>
      </w:r>
      <w:r>
        <w:rPr>
          <w:rFonts w:ascii="Arial" w:eastAsia="Times New Roman" w:hAnsi="Arial" w:cs="Arial"/>
          <w:color w:val="000000"/>
          <w:sz w:val="20"/>
          <w:szCs w:val="20"/>
        </w:rPr>
        <w:t xml:space="preserve"> beyond our control. Such factors include decreased demand for travel and other transportation services, weakness in the world economy or in the industries we serve, significant changes in oil prices and political instability, among others. Sudden and unex</w:t>
      </w:r>
      <w:r>
        <w:rPr>
          <w:rFonts w:ascii="Arial" w:eastAsia="Times New Roman" w:hAnsi="Arial" w:cs="Arial"/>
          <w:color w:val="000000"/>
          <w:sz w:val="20"/>
          <w:szCs w:val="20"/>
        </w:rPr>
        <w:t xml:space="preserve">pected negative changes in the financial condition of our customers, including insolvency </w:t>
      </w:r>
    </w:p>
    <w:p w:rsidR="00000000" w:rsidRDefault="002223F7">
      <w:pPr>
        <w:jc w:val="center"/>
        <w:divId w:val="1526596074"/>
        <w:rPr>
          <w:rFonts w:eastAsia="Times New Roman"/>
        </w:rPr>
      </w:pPr>
      <w:r>
        <w:rPr>
          <w:rFonts w:ascii="Arial" w:eastAsia="Times New Roman" w:hAnsi="Arial" w:cs="Arial"/>
          <w:color w:val="000000"/>
          <w:sz w:val="16"/>
          <w:szCs w:val="16"/>
        </w:rPr>
        <w:t>8</w:t>
      </w:r>
    </w:p>
    <w:p w:rsidR="00000000" w:rsidRDefault="002223F7">
      <w:pPr>
        <w:rPr>
          <w:rFonts w:eastAsia="Times New Roman"/>
        </w:rPr>
      </w:pPr>
      <w:r>
        <w:rPr>
          <w:rFonts w:eastAsia="Times New Roman"/>
        </w:rPr>
        <w:pict>
          <v:rect id="_x0000_i1038" style="width:0;height:1.5pt" o:hralign="center" o:hrstd="t" o:hr="t" fillcolor="#a0a0a0" stroked="f"/>
        </w:pict>
      </w:r>
    </w:p>
    <w:p w:rsidR="00000000" w:rsidRDefault="002223F7">
      <w:pPr>
        <w:jc w:val="both"/>
        <w:divId w:val="781611421"/>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w:t>
        </w:r>
        <w:r>
          <w:rPr>
            <w:rStyle w:val="a3"/>
            <w:rFonts w:ascii="Arial" w:eastAsia="Times New Roman" w:hAnsi="Arial" w:cs="Arial"/>
            <w:sz w:val="20"/>
            <w:szCs w:val="20"/>
          </w:rPr>
          <w:t>ontents</w:t>
        </w:r>
      </w:hyperlink>
    </w:p>
    <w:p w:rsidR="00000000" w:rsidRDefault="002223F7">
      <w:pPr>
        <w:jc w:val="both"/>
        <w:divId w:val="299699607"/>
        <w:rPr>
          <w:rFonts w:eastAsia="Times New Roman"/>
        </w:rPr>
      </w:pPr>
      <w:r>
        <w:rPr>
          <w:rFonts w:ascii="Arial" w:eastAsia="Times New Roman" w:hAnsi="Arial" w:cs="Arial"/>
          <w:color w:val="000000"/>
          <w:sz w:val="20"/>
          <w:szCs w:val="20"/>
        </w:rPr>
        <w:t>or bankruptcy, could have a negative impact on our sales, make it more difficult to collect on receivables, and may cause us to incur bad debt expense at levels higher than we have historically experienced. For example, our provision for bad debt i</w:t>
      </w:r>
      <w:r>
        <w:rPr>
          <w:rFonts w:ascii="Arial" w:eastAsia="Times New Roman" w:hAnsi="Arial" w:cs="Arial"/>
          <w:color w:val="000000"/>
          <w:sz w:val="20"/>
          <w:szCs w:val="20"/>
        </w:rPr>
        <w:t>n our aviation segment was materially higher during 2020 due to the impact of the COVID-19 pandemic on the aviation industry.</w:t>
      </w:r>
    </w:p>
    <w:p w:rsidR="00000000" w:rsidRDefault="002223F7">
      <w:pPr>
        <w:jc w:val="both"/>
        <w:divId w:val="1825972320"/>
        <w:rPr>
          <w:rFonts w:eastAsia="Times New Roman"/>
        </w:rPr>
      </w:pPr>
      <w:r>
        <w:rPr>
          <w:rFonts w:ascii="Arial" w:eastAsia="Times New Roman" w:hAnsi="Arial" w:cs="Arial"/>
          <w:color w:val="000000"/>
          <w:sz w:val="20"/>
          <w:szCs w:val="20"/>
        </w:rPr>
        <w:t>Our efforts to manage our credit exposure and respond to changes in our customers' financial condition and other macroeconomic eve</w:t>
      </w:r>
      <w:r>
        <w:rPr>
          <w:rFonts w:ascii="Arial" w:eastAsia="Times New Roman" w:hAnsi="Arial" w:cs="Arial"/>
          <w:color w:val="000000"/>
          <w:sz w:val="20"/>
          <w:szCs w:val="20"/>
        </w:rPr>
        <w:t>nts may not be sufficient to mitigate these risks. Substantial credit losses could have a material adverse effect on our financial condition, results of operations and cash flows.</w:t>
      </w:r>
    </w:p>
    <w:p w:rsidR="00000000" w:rsidRDefault="002223F7">
      <w:pPr>
        <w:divId w:val="272638117"/>
        <w:rPr>
          <w:rFonts w:eastAsia="Times New Roman"/>
        </w:rPr>
      </w:pPr>
      <w:r>
        <w:rPr>
          <w:rFonts w:ascii="Arial" w:eastAsia="Times New Roman" w:hAnsi="Arial" w:cs="Arial"/>
          <w:b/>
          <w:bCs/>
          <w:color w:val="000000"/>
          <w:sz w:val="20"/>
          <w:szCs w:val="20"/>
        </w:rPr>
        <w:t>Changes in the market price of fuel may have a material adverse effect on ou</w:t>
      </w:r>
      <w:r>
        <w:rPr>
          <w:rFonts w:ascii="Arial" w:eastAsia="Times New Roman" w:hAnsi="Arial" w:cs="Arial"/>
          <w:b/>
          <w:bCs/>
          <w:color w:val="000000"/>
          <w:sz w:val="20"/>
          <w:szCs w:val="20"/>
        </w:rPr>
        <w:t>r business.</w:t>
      </w:r>
    </w:p>
    <w:p w:rsidR="00000000" w:rsidRDefault="002223F7">
      <w:pPr>
        <w:jc w:val="both"/>
        <w:divId w:val="2096126864"/>
        <w:rPr>
          <w:rFonts w:eastAsia="Times New Roman"/>
        </w:rPr>
      </w:pPr>
      <w:r>
        <w:rPr>
          <w:rFonts w:ascii="Arial" w:eastAsia="Times New Roman" w:hAnsi="Arial" w:cs="Arial"/>
          <w:color w:val="000000"/>
          <w:sz w:val="20"/>
          <w:szCs w:val="20"/>
        </w:rPr>
        <w:t>Fuel prices are volatile and can be impacted by many factors beyond our control, including: expectations about future supply and demand for fuel products; oil and gas production levels set and maintained by the Organization of Petroleum Exporti</w:t>
      </w:r>
      <w:r>
        <w:rPr>
          <w:rFonts w:ascii="Arial" w:eastAsia="Times New Roman" w:hAnsi="Arial" w:cs="Arial"/>
          <w:color w:val="000000"/>
          <w:sz w:val="20"/>
          <w:szCs w:val="20"/>
        </w:rPr>
        <w:t>ng Countries ("OPEC") as well as non-OPEC countries; global economic and political conditions that impact or create uncertainty in the global energy markets, such as the ongoing military conflict in Eastern Europe, threatened or actual acts of terrorism, w</w:t>
      </w:r>
      <w:r>
        <w:rPr>
          <w:rFonts w:ascii="Arial" w:eastAsia="Times New Roman" w:hAnsi="Arial" w:cs="Arial"/>
          <w:color w:val="000000"/>
          <w:sz w:val="20"/>
          <w:szCs w:val="20"/>
        </w:rPr>
        <w:t>ar or civil unrest; laws, regulations or taxes related to environmental matters, including those mandating or incentivizing alternative energy sources or otherwise addressing global climate change; energy conservation efforts and technological advances aff</w:t>
      </w:r>
      <w:r>
        <w:rPr>
          <w:rFonts w:ascii="Arial" w:eastAsia="Times New Roman" w:hAnsi="Arial" w:cs="Arial"/>
          <w:color w:val="000000"/>
          <w:sz w:val="20"/>
          <w:szCs w:val="20"/>
        </w:rPr>
        <w:t>ecting energy consumption or supply; regulatory changes in commodities markets; and extreme weather and other natural disasters.</w:t>
      </w:r>
    </w:p>
    <w:p w:rsidR="00000000" w:rsidRDefault="002223F7">
      <w:pPr>
        <w:jc w:val="both"/>
        <w:divId w:val="1161628377"/>
        <w:rPr>
          <w:rFonts w:eastAsia="Times New Roman"/>
        </w:rPr>
      </w:pPr>
      <w:r>
        <w:rPr>
          <w:rFonts w:ascii="Arial" w:eastAsia="Times New Roman" w:hAnsi="Arial" w:cs="Arial"/>
          <w:color w:val="000000"/>
          <w:sz w:val="20"/>
          <w:szCs w:val="20"/>
        </w:rPr>
        <w:t>As described above, we extend credit to many of our customers in connection with their purchase of fuel and services from us. D</w:t>
      </w:r>
      <w:r>
        <w:rPr>
          <w:rFonts w:ascii="Arial" w:eastAsia="Times New Roman" w:hAnsi="Arial" w:cs="Arial"/>
          <w:color w:val="000000"/>
          <w:sz w:val="20"/>
          <w:szCs w:val="20"/>
        </w:rPr>
        <w:t>uring periods of high fuel prices, our customers may not be able to purchase the same volumes of fuel from us because of their financial credit limits with us. An inability to purchase fuel from us or other suppliers can have an adverse impact on their bus</w:t>
      </w:r>
      <w:r>
        <w:rPr>
          <w:rFonts w:ascii="Arial" w:eastAsia="Times New Roman" w:hAnsi="Arial" w:cs="Arial"/>
          <w:color w:val="000000"/>
          <w:sz w:val="20"/>
          <w:szCs w:val="20"/>
        </w:rPr>
        <w:t xml:space="preserve">iness, causing them to be unable to make payments owed to us for fuel they previously purchased on credit. In addition, high fuel prices can impact our own credit limits with our suppliers, preventing us from purchasing enough fuel to meet customer demand </w:t>
      </w:r>
      <w:r>
        <w:rPr>
          <w:rFonts w:ascii="Arial" w:eastAsia="Times New Roman" w:hAnsi="Arial" w:cs="Arial"/>
          <w:color w:val="000000"/>
          <w:sz w:val="20"/>
          <w:szCs w:val="20"/>
        </w:rPr>
        <w:t>unless we provide additional credit support for fuel purchases, such as letters of credit, bank guarantees or prepayments, any of which could adversely impact our liquidity and increase our working capital costs.</w:t>
      </w:r>
    </w:p>
    <w:p w:rsidR="00000000" w:rsidRDefault="002223F7">
      <w:pPr>
        <w:jc w:val="both"/>
        <w:divId w:val="927008140"/>
        <w:rPr>
          <w:rFonts w:eastAsia="Times New Roman"/>
        </w:rPr>
      </w:pPr>
      <w:r>
        <w:rPr>
          <w:rFonts w:ascii="Arial" w:eastAsia="Times New Roman" w:hAnsi="Arial" w:cs="Arial"/>
          <w:color w:val="000000"/>
          <w:sz w:val="20"/>
          <w:szCs w:val="20"/>
        </w:rPr>
        <w:t>Conversely, extended periods of low fuel pr</w:t>
      </w:r>
      <w:r>
        <w:rPr>
          <w:rFonts w:ascii="Arial" w:eastAsia="Times New Roman" w:hAnsi="Arial" w:cs="Arial"/>
          <w:color w:val="000000"/>
          <w:sz w:val="20"/>
          <w:szCs w:val="20"/>
        </w:rPr>
        <w:t>ices, particularly when coupled with low price volatility, can also have an adverse effect on our results of operations and overall profitability. This can occur due to many factors, such as reduced demand for our price risk management products and decreas</w:t>
      </w:r>
      <w:r>
        <w:rPr>
          <w:rFonts w:ascii="Arial" w:eastAsia="Times New Roman" w:hAnsi="Arial" w:cs="Arial"/>
          <w:color w:val="000000"/>
          <w:sz w:val="20"/>
          <w:szCs w:val="20"/>
        </w:rPr>
        <w:t>ed sales to our customers involved in the oil exploration sector. Low fuel prices also facilitate increased competition by reducing financial barriers to entry and enabling existing, lower-capitalized competitors to conduct more business because of the low</w:t>
      </w:r>
      <w:r>
        <w:rPr>
          <w:rFonts w:ascii="Arial" w:eastAsia="Times New Roman" w:hAnsi="Arial" w:cs="Arial"/>
          <w:color w:val="000000"/>
          <w:sz w:val="20"/>
          <w:szCs w:val="20"/>
        </w:rPr>
        <w:t>er working capital requirements.</w:t>
      </w:r>
    </w:p>
    <w:p w:rsidR="00000000" w:rsidRDefault="002223F7">
      <w:pPr>
        <w:jc w:val="both"/>
        <w:divId w:val="1116368853"/>
        <w:rPr>
          <w:rFonts w:eastAsia="Times New Roman"/>
        </w:rPr>
      </w:pPr>
      <w:r>
        <w:rPr>
          <w:rFonts w:ascii="Arial" w:eastAsia="Times New Roman" w:hAnsi="Arial" w:cs="Arial"/>
          <w:color w:val="000000"/>
          <w:sz w:val="20"/>
          <w:szCs w:val="20"/>
        </w:rPr>
        <w:t xml:space="preserve">We may also experience negative results in volatile market pricing environments experiencing severe disruption. For example, in the first six months of 2022, our aviation segment was significantly and adversely affected by </w:t>
      </w:r>
      <w:r>
        <w:rPr>
          <w:rFonts w:ascii="Arial" w:eastAsia="Times New Roman" w:hAnsi="Arial" w:cs="Arial"/>
          <w:color w:val="000000"/>
          <w:sz w:val="20"/>
          <w:szCs w:val="20"/>
        </w:rPr>
        <w:t xml:space="preserve">severe backwardation, a market condition in which oil futures forward prices trade at lower levels than the current market price. Our enhanced efforts to limit our exposure to this type of market risk may not be fully effective in the future. </w:t>
      </w:r>
    </w:p>
    <w:p w:rsidR="00000000" w:rsidRDefault="002223F7">
      <w:pPr>
        <w:jc w:val="both"/>
        <w:divId w:val="1723289496"/>
        <w:rPr>
          <w:rFonts w:eastAsia="Times New Roman"/>
        </w:rPr>
      </w:pPr>
      <w:r>
        <w:rPr>
          <w:rFonts w:ascii="Arial" w:eastAsia="Times New Roman" w:hAnsi="Arial" w:cs="Arial"/>
          <w:color w:val="000000"/>
          <w:sz w:val="20"/>
          <w:szCs w:val="20"/>
        </w:rPr>
        <w:t xml:space="preserve">Finally, we </w:t>
      </w:r>
      <w:r>
        <w:rPr>
          <w:rFonts w:ascii="Arial" w:eastAsia="Times New Roman" w:hAnsi="Arial" w:cs="Arial"/>
          <w:color w:val="000000"/>
          <w:sz w:val="20"/>
          <w:szCs w:val="20"/>
        </w:rPr>
        <w:t>maintain fuel inventories for competitive and logistical reasons. Significant variations in the market prices of products held in our inventories may require us to record inventory valuation charges. Our inventory is principally valued using the weighted a</w:t>
      </w:r>
      <w:r>
        <w:rPr>
          <w:rFonts w:ascii="Arial" w:eastAsia="Times New Roman" w:hAnsi="Arial" w:cs="Arial"/>
          <w:color w:val="000000"/>
          <w:sz w:val="20"/>
          <w:szCs w:val="20"/>
        </w:rPr>
        <w:t>verage cost methodology and is stated at the lower of average cost or net realizable value. The hedging transactions we undertake to limit the financial effects of commodity price fluctuations may not be fully effective. Accordingly, if the market value of</w:t>
      </w:r>
      <w:r>
        <w:rPr>
          <w:rFonts w:ascii="Arial" w:eastAsia="Times New Roman" w:hAnsi="Arial" w:cs="Arial"/>
          <w:color w:val="000000"/>
          <w:sz w:val="20"/>
          <w:szCs w:val="20"/>
        </w:rPr>
        <w:t xml:space="preserve"> our inventory is less than our average cost and to the extent our hedges are not effective at mitigating fluctuations in prices, we may be required to record a write-down of inventory on hand and incur a non-cash charge or suffer losses as fuel is sold, w</w:t>
      </w:r>
      <w:r>
        <w:rPr>
          <w:rFonts w:ascii="Arial" w:eastAsia="Times New Roman" w:hAnsi="Arial" w:cs="Arial"/>
          <w:color w:val="000000"/>
          <w:sz w:val="20"/>
          <w:szCs w:val="20"/>
        </w:rPr>
        <w:t>hich could adversely impact our earnings.</w:t>
      </w:r>
    </w:p>
    <w:p w:rsidR="00000000" w:rsidRDefault="002223F7">
      <w:pPr>
        <w:divId w:val="125702883"/>
        <w:rPr>
          <w:rFonts w:eastAsia="Times New Roman"/>
        </w:rPr>
      </w:pPr>
      <w:r>
        <w:rPr>
          <w:rFonts w:ascii="Arial" w:eastAsia="Times New Roman" w:hAnsi="Arial" w:cs="Arial"/>
          <w:b/>
          <w:bCs/>
          <w:color w:val="000000"/>
          <w:sz w:val="20"/>
          <w:szCs w:val="20"/>
        </w:rPr>
        <w:t>Adverse conditions or events affecting the aviation, marine and land transportation industries may have a material adverse effect on our business.</w:t>
      </w:r>
    </w:p>
    <w:p w:rsidR="00000000" w:rsidRDefault="002223F7">
      <w:pPr>
        <w:jc w:val="both"/>
        <w:divId w:val="423452860"/>
        <w:rPr>
          <w:rFonts w:eastAsia="Times New Roman"/>
        </w:rPr>
      </w:pPr>
      <w:r>
        <w:rPr>
          <w:rFonts w:ascii="Arial" w:eastAsia="Times New Roman" w:hAnsi="Arial" w:cs="Arial"/>
          <w:color w:val="000000"/>
          <w:sz w:val="20"/>
          <w:szCs w:val="20"/>
        </w:rPr>
        <w:t>Our business is focused on the marketing of energy and other relate</w:t>
      </w:r>
      <w:r>
        <w:rPr>
          <w:rFonts w:ascii="Arial" w:eastAsia="Times New Roman" w:hAnsi="Arial" w:cs="Arial"/>
          <w:color w:val="000000"/>
          <w:sz w:val="20"/>
          <w:szCs w:val="20"/>
        </w:rPr>
        <w:t>d products and services primarily to the aviation, land and marine transportation industries, which are generally affected by economic cycles and other global events. Therefore, weak economic conditions generally have a negative impact on our customers' bu</w:t>
      </w:r>
      <w:r>
        <w:rPr>
          <w:rFonts w:ascii="Arial" w:eastAsia="Times New Roman" w:hAnsi="Arial" w:cs="Arial"/>
          <w:color w:val="000000"/>
          <w:sz w:val="20"/>
          <w:szCs w:val="20"/>
        </w:rPr>
        <w:t xml:space="preserve">siness which may, in turn, have an adverse effect on our business. Additionally, our business and that of our customers can be adversely impacted by political instability, terrorist activities, piracy, military action, transportation, terminal or pipeline </w:t>
      </w:r>
      <w:r>
        <w:rPr>
          <w:rFonts w:ascii="Arial" w:eastAsia="Times New Roman" w:hAnsi="Arial" w:cs="Arial"/>
          <w:color w:val="000000"/>
          <w:sz w:val="20"/>
          <w:szCs w:val="20"/>
        </w:rPr>
        <w:t>capacity constraints, natural disasters and other weather-related events that disrupt shipping, flight operations, land transportation or the availability of fuel, which may negatively impact sales of our products and services. Certain of our customers are</w:t>
      </w:r>
      <w:r>
        <w:rPr>
          <w:rFonts w:ascii="Arial" w:eastAsia="Times New Roman" w:hAnsi="Arial" w:cs="Arial"/>
          <w:color w:val="000000"/>
          <w:sz w:val="20"/>
          <w:szCs w:val="20"/>
        </w:rPr>
        <w:t xml:space="preserve"> affected by variations in demand for business and leisure travel. Business travel can be impacted by increased use of conferencing and collaboration technology, increased remote work and cost-driven business travel limitations, while leisure travel demand</w:t>
      </w:r>
      <w:r>
        <w:rPr>
          <w:rFonts w:ascii="Arial" w:eastAsia="Times New Roman" w:hAnsi="Arial" w:cs="Arial"/>
          <w:color w:val="000000"/>
          <w:sz w:val="20"/>
          <w:szCs w:val="20"/>
        </w:rPr>
        <w:t xml:space="preserve"> can be impacted by reductions in consumer discretionary income and other economic factors. Additionally, political or governmental developments or other </w:t>
      </w:r>
    </w:p>
    <w:p w:rsidR="00000000" w:rsidRDefault="002223F7">
      <w:pPr>
        <w:jc w:val="center"/>
        <w:divId w:val="593786043"/>
        <w:rPr>
          <w:rFonts w:eastAsia="Times New Roman"/>
        </w:rPr>
      </w:pPr>
      <w:r>
        <w:rPr>
          <w:rFonts w:ascii="Arial" w:eastAsia="Times New Roman" w:hAnsi="Arial" w:cs="Arial"/>
          <w:color w:val="000000"/>
          <w:sz w:val="16"/>
          <w:szCs w:val="16"/>
        </w:rPr>
        <w:t>9</w:t>
      </w:r>
    </w:p>
    <w:p w:rsidR="00000000" w:rsidRDefault="002223F7">
      <w:pPr>
        <w:rPr>
          <w:rFonts w:eastAsia="Times New Roman"/>
        </w:rPr>
      </w:pPr>
      <w:r>
        <w:rPr>
          <w:rFonts w:eastAsia="Times New Roman"/>
        </w:rPr>
        <w:pict>
          <v:rect id="_x0000_i1039" style="width:0;height:1.5pt" o:hralign="center" o:hrstd="t" o:hr="t" fillcolor="#a0a0a0" stroked="f"/>
        </w:pict>
      </w:r>
    </w:p>
    <w:p w:rsidR="00000000" w:rsidRDefault="002223F7">
      <w:pPr>
        <w:jc w:val="both"/>
        <w:divId w:val="1832214633"/>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174460907"/>
        <w:rPr>
          <w:rFonts w:eastAsia="Times New Roman"/>
        </w:rPr>
      </w:pPr>
      <w:r>
        <w:rPr>
          <w:rFonts w:ascii="Arial" w:eastAsia="Times New Roman" w:hAnsi="Arial" w:cs="Arial"/>
          <w:color w:val="000000"/>
          <w:sz w:val="20"/>
          <w:szCs w:val="20"/>
        </w:rPr>
        <w:t>global health concerns or crises in the countries in which we or our customers operate, could also result in further social, economic or labor instability. Further, personnel or other shortages can impact our customers’ ability to meet demand, which may in</w:t>
      </w:r>
      <w:r>
        <w:rPr>
          <w:rFonts w:ascii="Arial" w:eastAsia="Times New Roman" w:hAnsi="Arial" w:cs="Arial"/>
          <w:color w:val="000000"/>
          <w:sz w:val="20"/>
          <w:szCs w:val="20"/>
        </w:rPr>
        <w:t xml:space="preserve"> turn adversely affect their demand for our fuel products. Accordingly, the effects of any of the foregoing risks and uncertainties on us or our customers could have a material adverse effect on our business, results of operations and financial condition.</w:t>
      </w:r>
    </w:p>
    <w:p w:rsidR="00000000" w:rsidRDefault="002223F7">
      <w:pPr>
        <w:jc w:val="both"/>
        <w:divId w:val="852036217"/>
        <w:rPr>
          <w:rFonts w:eastAsia="Times New Roman"/>
        </w:rPr>
      </w:pPr>
      <w:r>
        <w:rPr>
          <w:rFonts w:ascii="Arial" w:eastAsia="Times New Roman" w:hAnsi="Arial" w:cs="Arial"/>
          <w:color w:val="000000"/>
          <w:sz w:val="20"/>
          <w:szCs w:val="20"/>
        </w:rPr>
        <w:t>Our business may be adversely affected by consolidation in the aviation, land or marine transportation industries, which may reduce the number of customers that purchase our products and services. Larger shipping companies and airlines often have greater l</w:t>
      </w:r>
      <w:r>
        <w:rPr>
          <w:rFonts w:ascii="Arial" w:eastAsia="Times New Roman" w:hAnsi="Arial" w:cs="Arial"/>
          <w:color w:val="000000"/>
          <w:sz w:val="20"/>
          <w:szCs w:val="20"/>
        </w:rPr>
        <w:t>everage and have a greater ability to buy directly from major oil companies and suppliers. Accordingly, this can negatively impact our value proposition to these types of customers and increases the risk of disintermediation.</w:t>
      </w:r>
    </w:p>
    <w:p w:rsidR="00000000" w:rsidRDefault="002223F7">
      <w:pPr>
        <w:divId w:val="1261720744"/>
        <w:rPr>
          <w:rFonts w:eastAsia="Times New Roman"/>
        </w:rPr>
      </w:pPr>
      <w:r>
        <w:rPr>
          <w:rFonts w:ascii="Arial" w:eastAsia="Times New Roman" w:hAnsi="Arial" w:cs="Arial"/>
          <w:b/>
          <w:bCs/>
          <w:color w:val="000000"/>
          <w:sz w:val="20"/>
          <w:szCs w:val="20"/>
        </w:rPr>
        <w:t>Our physical operations have i</w:t>
      </w:r>
      <w:r>
        <w:rPr>
          <w:rFonts w:ascii="Arial" w:eastAsia="Times New Roman" w:hAnsi="Arial" w:cs="Arial"/>
          <w:b/>
          <w:bCs/>
          <w:color w:val="000000"/>
          <w:sz w:val="20"/>
          <w:szCs w:val="20"/>
        </w:rPr>
        <w:t xml:space="preserve">nherent risks that could negatively impact our business, financial condition and results of operations. </w:t>
      </w:r>
    </w:p>
    <w:p w:rsidR="00000000" w:rsidRDefault="002223F7">
      <w:pPr>
        <w:jc w:val="both"/>
        <w:divId w:val="1203909378"/>
        <w:rPr>
          <w:rFonts w:eastAsia="Times New Roman"/>
        </w:rPr>
      </w:pPr>
      <w:r>
        <w:rPr>
          <w:rFonts w:ascii="Arial" w:eastAsia="Times New Roman" w:hAnsi="Arial" w:cs="Arial"/>
          <w:color w:val="000000"/>
          <w:sz w:val="20"/>
          <w:szCs w:val="20"/>
        </w:rPr>
        <w:t>Operating fuel storage and distribution terminals and transporting fuel products involve inherent risks, including:</w:t>
      </w:r>
    </w:p>
    <w:p w:rsidR="00000000" w:rsidRDefault="002223F7">
      <w:pPr>
        <w:ind w:hanging="360"/>
        <w:jc w:val="both"/>
        <w:divId w:val="1880120856"/>
        <w:rPr>
          <w:rFonts w:eastAsia="Times New Roman"/>
        </w:rPr>
      </w:pPr>
      <w:r>
        <w:rPr>
          <w:rFonts w:ascii="Arial" w:eastAsia="Times New Roman" w:hAnsi="Arial" w:cs="Arial"/>
          <w:color w:val="000000"/>
          <w:sz w:val="20"/>
          <w:szCs w:val="20"/>
        </w:rPr>
        <w:t>•fires, collisions and other catast</w:t>
      </w:r>
      <w:r>
        <w:rPr>
          <w:rFonts w:ascii="Arial" w:eastAsia="Times New Roman" w:hAnsi="Arial" w:cs="Arial"/>
          <w:color w:val="000000"/>
          <w:sz w:val="20"/>
          <w:szCs w:val="20"/>
        </w:rPr>
        <w:t>rophic disasters;</w:t>
      </w:r>
    </w:p>
    <w:p w:rsidR="00000000" w:rsidRDefault="002223F7">
      <w:pPr>
        <w:ind w:hanging="360"/>
        <w:jc w:val="both"/>
        <w:divId w:val="1409839480"/>
        <w:rPr>
          <w:rFonts w:eastAsia="Times New Roman"/>
        </w:rPr>
      </w:pPr>
      <w:r>
        <w:rPr>
          <w:rFonts w:ascii="Arial" w:eastAsia="Times New Roman" w:hAnsi="Arial" w:cs="Arial"/>
          <w:color w:val="000000"/>
          <w:sz w:val="20"/>
          <w:szCs w:val="20"/>
        </w:rPr>
        <w:t>•traffic accidents, injuries and loss of life;</w:t>
      </w:r>
    </w:p>
    <w:p w:rsidR="00000000" w:rsidRDefault="002223F7">
      <w:pPr>
        <w:ind w:hanging="360"/>
        <w:jc w:val="both"/>
        <w:divId w:val="876159545"/>
        <w:rPr>
          <w:rFonts w:eastAsia="Times New Roman"/>
        </w:rPr>
      </w:pPr>
      <w:r>
        <w:rPr>
          <w:rFonts w:ascii="Arial" w:eastAsia="Times New Roman" w:hAnsi="Arial" w:cs="Arial"/>
          <w:color w:val="000000"/>
          <w:sz w:val="20"/>
          <w:szCs w:val="20"/>
        </w:rPr>
        <w:t>•spills, discharges, contaminations and other releases;</w:t>
      </w:r>
    </w:p>
    <w:p w:rsidR="00000000" w:rsidRDefault="002223F7">
      <w:pPr>
        <w:ind w:hanging="360"/>
        <w:jc w:val="both"/>
        <w:divId w:val="2071465578"/>
        <w:rPr>
          <w:rFonts w:eastAsia="Times New Roman"/>
        </w:rPr>
      </w:pPr>
      <w:r>
        <w:rPr>
          <w:rFonts w:ascii="Arial" w:eastAsia="Times New Roman" w:hAnsi="Arial" w:cs="Arial"/>
          <w:color w:val="000000"/>
          <w:sz w:val="20"/>
          <w:szCs w:val="20"/>
        </w:rPr>
        <w:t>•severe damage and destruction of property and equipment; and</w:t>
      </w:r>
    </w:p>
    <w:p w:rsidR="00000000" w:rsidRDefault="002223F7">
      <w:pPr>
        <w:ind w:hanging="360"/>
        <w:jc w:val="both"/>
        <w:divId w:val="396825652"/>
        <w:rPr>
          <w:rFonts w:eastAsia="Times New Roman"/>
        </w:rPr>
      </w:pPr>
      <w:r>
        <w:rPr>
          <w:rFonts w:ascii="Arial" w:eastAsia="Times New Roman" w:hAnsi="Arial" w:cs="Arial"/>
          <w:color w:val="000000"/>
          <w:sz w:val="20"/>
          <w:szCs w:val="20"/>
        </w:rPr>
        <w:t>•loss of product and business interruption.</w:t>
      </w:r>
    </w:p>
    <w:p w:rsidR="00000000" w:rsidRDefault="002223F7">
      <w:pPr>
        <w:jc w:val="both"/>
        <w:divId w:val="679968607"/>
        <w:rPr>
          <w:rFonts w:eastAsia="Times New Roman"/>
        </w:rPr>
      </w:pPr>
      <w:r>
        <w:rPr>
          <w:rFonts w:ascii="Arial" w:eastAsia="Times New Roman" w:hAnsi="Arial" w:cs="Arial"/>
          <w:color w:val="000000"/>
          <w:sz w:val="20"/>
          <w:szCs w:val="20"/>
        </w:rPr>
        <w:t>Any of the foregoing could re</w:t>
      </w:r>
      <w:r>
        <w:rPr>
          <w:rFonts w:ascii="Arial" w:eastAsia="Times New Roman" w:hAnsi="Arial" w:cs="Arial"/>
          <w:color w:val="000000"/>
          <w:sz w:val="20"/>
          <w:szCs w:val="20"/>
        </w:rPr>
        <w:t xml:space="preserve">sult in distribution difficulties and disruptions, environmental pollution, government-imposed fines or clean-up obligations, personal injury or wrongful death claims, or damage to our properties or the properties of others. The occurrence of any of these </w:t>
      </w:r>
      <w:r>
        <w:rPr>
          <w:rFonts w:ascii="Arial" w:eastAsia="Times New Roman" w:hAnsi="Arial" w:cs="Arial"/>
          <w:color w:val="000000"/>
          <w:sz w:val="20"/>
          <w:szCs w:val="20"/>
        </w:rPr>
        <w:t>events could also damage our reputation, which could adversely affect our business, whether or not we are ultimately held financially liable for such event. While we keep business continuity plans to address these types of contingencies, our failure to tim</w:t>
      </w:r>
      <w:r>
        <w:rPr>
          <w:rFonts w:ascii="Arial" w:eastAsia="Times New Roman" w:hAnsi="Arial" w:cs="Arial"/>
          <w:color w:val="000000"/>
          <w:sz w:val="20"/>
          <w:szCs w:val="20"/>
        </w:rPr>
        <w:t>ely or properly implement these plans could exacerbate the impact on the business. Certain losses may exceed our insurance coverage limits or be outside the scope of our coverage. If we are held liable for any material damages, and the liability is not ade</w:t>
      </w:r>
      <w:r>
        <w:rPr>
          <w:rFonts w:ascii="Arial" w:eastAsia="Times New Roman" w:hAnsi="Arial" w:cs="Arial"/>
          <w:color w:val="000000"/>
          <w:sz w:val="20"/>
          <w:szCs w:val="20"/>
        </w:rPr>
        <w:t>quately covered by insurance, our financial position and results of operations would likely be adversely affected.</w:t>
      </w:r>
    </w:p>
    <w:p w:rsidR="00000000" w:rsidRDefault="002223F7">
      <w:pPr>
        <w:jc w:val="both"/>
        <w:divId w:val="504635980"/>
        <w:rPr>
          <w:rFonts w:eastAsia="Times New Roman"/>
        </w:rPr>
      </w:pPr>
      <w:r>
        <w:rPr>
          <w:rFonts w:ascii="Arial" w:eastAsia="Times New Roman" w:hAnsi="Arial" w:cs="Arial"/>
          <w:color w:val="000000"/>
          <w:sz w:val="20"/>
          <w:szCs w:val="20"/>
        </w:rPr>
        <w:t>In addition, as we invest more heavily in physical assets in certain locations, our ability to quickly reposition our business in the event o</w:t>
      </w:r>
      <w:r>
        <w:rPr>
          <w:rFonts w:ascii="Arial" w:eastAsia="Times New Roman" w:hAnsi="Arial" w:cs="Arial"/>
          <w:color w:val="000000"/>
          <w:sz w:val="20"/>
          <w:szCs w:val="20"/>
        </w:rPr>
        <w:t>f a downturn in the economy of a particular geographic area becomes increasingly difficult. Accordingly, we may be forced to incur significant costs in maintaining or even exiting a physical location, which would have an adverse effect on our results of op</w:t>
      </w:r>
      <w:r>
        <w:rPr>
          <w:rFonts w:ascii="Arial" w:eastAsia="Times New Roman" w:hAnsi="Arial" w:cs="Arial"/>
          <w:color w:val="000000"/>
          <w:sz w:val="20"/>
          <w:szCs w:val="20"/>
        </w:rPr>
        <w:t>erations.</w:t>
      </w:r>
    </w:p>
    <w:p w:rsidR="00000000" w:rsidRDefault="002223F7">
      <w:pPr>
        <w:divId w:val="1542089799"/>
        <w:rPr>
          <w:rFonts w:eastAsia="Times New Roman"/>
        </w:rPr>
      </w:pPr>
      <w:r>
        <w:rPr>
          <w:rFonts w:ascii="Arial" w:eastAsia="Times New Roman" w:hAnsi="Arial" w:cs="Arial"/>
          <w:b/>
          <w:bCs/>
          <w:color w:val="000000"/>
          <w:sz w:val="20"/>
          <w:szCs w:val="20"/>
        </w:rPr>
        <w:t>Some of our workforce is unionized, and we may face labor disruptions and cost increases that adversely affect our business.</w:t>
      </w:r>
    </w:p>
    <w:p w:rsidR="00000000" w:rsidRDefault="002223F7">
      <w:pPr>
        <w:jc w:val="both"/>
        <w:divId w:val="247731966"/>
        <w:rPr>
          <w:rFonts w:eastAsia="Times New Roman"/>
        </w:rPr>
      </w:pPr>
      <w:r>
        <w:rPr>
          <w:rFonts w:ascii="Arial" w:eastAsia="Times New Roman" w:hAnsi="Arial" w:cs="Arial"/>
          <w:color w:val="000000"/>
          <w:sz w:val="20"/>
          <w:szCs w:val="20"/>
        </w:rPr>
        <w:t>Some of our employees, including certain of our drivers that transport and deliver fuel products, are represented by labo</w:t>
      </w:r>
      <w:r>
        <w:rPr>
          <w:rFonts w:ascii="Arial" w:eastAsia="Times New Roman" w:hAnsi="Arial" w:cs="Arial"/>
          <w:color w:val="000000"/>
          <w:sz w:val="20"/>
          <w:szCs w:val="20"/>
        </w:rPr>
        <w:t>r unions under collective bargaining agreements. Additional unionization of our workforce or any renegotiation of current collective bargaining agreements may result in terms that are less favorable to us. Any strike, work stoppage or other dispute with ou</w:t>
      </w:r>
      <w:r>
        <w:rPr>
          <w:rFonts w:ascii="Arial" w:eastAsia="Times New Roman" w:hAnsi="Arial" w:cs="Arial"/>
          <w:color w:val="000000"/>
          <w:sz w:val="20"/>
          <w:szCs w:val="20"/>
        </w:rPr>
        <w:t>r unionized employees or those of third parties who provide us services or operate assets upon which we rely to distribute our products could have a material adverse effect on our results of operations and cash flows. Our customers may also experience stri</w:t>
      </w:r>
      <w:r>
        <w:rPr>
          <w:rFonts w:ascii="Arial" w:eastAsia="Times New Roman" w:hAnsi="Arial" w:cs="Arial"/>
          <w:color w:val="000000"/>
          <w:sz w:val="20"/>
          <w:szCs w:val="20"/>
        </w:rPr>
        <w:t>kes, labor negotiations, labor disputes and work stoppages that could reduce their demand for our products and services or their ability to pay for products and services already provided.</w:t>
      </w:r>
    </w:p>
    <w:p w:rsidR="00000000" w:rsidRDefault="002223F7">
      <w:pPr>
        <w:divId w:val="280888758"/>
        <w:rPr>
          <w:rFonts w:eastAsia="Times New Roman"/>
        </w:rPr>
      </w:pPr>
      <w:r>
        <w:rPr>
          <w:rFonts w:ascii="Arial" w:eastAsia="Times New Roman" w:hAnsi="Arial" w:cs="Arial"/>
          <w:b/>
          <w:bCs/>
          <w:color w:val="000000"/>
          <w:sz w:val="20"/>
          <w:szCs w:val="20"/>
        </w:rPr>
        <w:t>If we fail to provide products or services to our customers as agree</w:t>
      </w:r>
      <w:r>
        <w:rPr>
          <w:rFonts w:ascii="Arial" w:eastAsia="Times New Roman" w:hAnsi="Arial" w:cs="Arial"/>
          <w:b/>
          <w:bCs/>
          <w:color w:val="000000"/>
          <w:sz w:val="20"/>
          <w:szCs w:val="20"/>
        </w:rPr>
        <w:t>d, it could adversely affect our business.</w:t>
      </w:r>
    </w:p>
    <w:p w:rsidR="00000000" w:rsidRDefault="002223F7">
      <w:pPr>
        <w:jc w:val="both"/>
        <w:divId w:val="785731163"/>
        <w:rPr>
          <w:rFonts w:eastAsia="Times New Roman"/>
        </w:rPr>
      </w:pPr>
      <w:r>
        <w:rPr>
          <w:rFonts w:ascii="Arial" w:eastAsia="Times New Roman" w:hAnsi="Arial" w:cs="Arial"/>
          <w:color w:val="000000"/>
          <w:sz w:val="20"/>
          <w:szCs w:val="20"/>
        </w:rPr>
        <w:t>Our business depends on the availability and supply of fuel and fuel-related products, as well as the satisfactory performance of services by us or third parties on our behalf. If the fuel and other products we se</w:t>
      </w:r>
      <w:r>
        <w:rPr>
          <w:rFonts w:ascii="Arial" w:eastAsia="Times New Roman" w:hAnsi="Arial" w:cs="Arial"/>
          <w:color w:val="000000"/>
          <w:sz w:val="20"/>
          <w:szCs w:val="20"/>
        </w:rPr>
        <w:t xml:space="preserve">ll or the services we provide, whether directly or through a third party, fail to meet the requirements we have agreed to with customers or those mandated by law or regulation, whether due to contamination, arising in connection with our advisory services </w:t>
      </w:r>
      <w:r>
        <w:rPr>
          <w:rFonts w:ascii="Arial" w:eastAsia="Times New Roman" w:hAnsi="Arial" w:cs="Arial"/>
          <w:color w:val="000000"/>
          <w:sz w:val="20"/>
          <w:szCs w:val="20"/>
        </w:rPr>
        <w:t>or otherwise, our relationship with our customers can be adversely affected and we may be subject to material claims and liabilities. Changes in product quality specifications or blending requirements could reduce demand, impact our throughput volume, requ</w:t>
      </w:r>
      <w:r>
        <w:rPr>
          <w:rFonts w:ascii="Arial" w:eastAsia="Times New Roman" w:hAnsi="Arial" w:cs="Arial"/>
          <w:color w:val="000000"/>
          <w:sz w:val="20"/>
          <w:szCs w:val="20"/>
        </w:rPr>
        <w:t>ire us to incur additional costs or require capital expenditures. We may also incur material liabilities if our products cause physical damage to a vessel or aircraft, bodily injury or result in the assertion of substantial claims of civil liability agains</w:t>
      </w:r>
      <w:r>
        <w:rPr>
          <w:rFonts w:ascii="Arial" w:eastAsia="Times New Roman" w:hAnsi="Arial" w:cs="Arial"/>
          <w:color w:val="000000"/>
          <w:sz w:val="20"/>
          <w:szCs w:val="20"/>
        </w:rPr>
        <w:t>t us. In addition, adverse publicity about any allegations of contaminated products may negatively impact our business, regardless of whether such allegations are true.</w:t>
      </w:r>
    </w:p>
    <w:p w:rsidR="00000000" w:rsidRDefault="002223F7">
      <w:pPr>
        <w:jc w:val="both"/>
        <w:divId w:val="132333668"/>
        <w:rPr>
          <w:rFonts w:eastAsia="Times New Roman"/>
        </w:rPr>
      </w:pPr>
      <w:r>
        <w:rPr>
          <w:rFonts w:ascii="Arial" w:eastAsia="Times New Roman" w:hAnsi="Arial" w:cs="Arial"/>
          <w:color w:val="000000"/>
          <w:sz w:val="20"/>
          <w:szCs w:val="20"/>
        </w:rPr>
        <w:t>Although most of our agreements with suppliers provide that we have recourse against th</w:t>
      </w:r>
      <w:r>
        <w:rPr>
          <w:rFonts w:ascii="Arial" w:eastAsia="Times New Roman" w:hAnsi="Arial" w:cs="Arial"/>
          <w:color w:val="000000"/>
          <w:sz w:val="20"/>
          <w:szCs w:val="20"/>
        </w:rPr>
        <w:t xml:space="preserve">em for products that fail to meet contractual specifications, such recourse may be time-barred or otherwise insufficient to adequately cover the </w:t>
      </w:r>
    </w:p>
    <w:p w:rsidR="00000000" w:rsidRDefault="002223F7">
      <w:pPr>
        <w:jc w:val="center"/>
        <w:divId w:val="1397122261"/>
        <w:rPr>
          <w:rFonts w:eastAsia="Times New Roman"/>
        </w:rPr>
      </w:pPr>
      <w:r>
        <w:rPr>
          <w:rFonts w:ascii="Arial" w:eastAsia="Times New Roman" w:hAnsi="Arial" w:cs="Arial"/>
          <w:color w:val="000000"/>
          <w:sz w:val="16"/>
          <w:szCs w:val="16"/>
        </w:rPr>
        <w:t>10</w:t>
      </w:r>
    </w:p>
    <w:p w:rsidR="00000000" w:rsidRDefault="002223F7">
      <w:pPr>
        <w:rPr>
          <w:rFonts w:eastAsia="Times New Roman"/>
        </w:rPr>
      </w:pPr>
      <w:r>
        <w:rPr>
          <w:rFonts w:eastAsia="Times New Roman"/>
        </w:rPr>
        <w:pict>
          <v:rect id="_x0000_i1040" style="width:0;height:1.5pt" o:hralign="center" o:hrstd="t" o:hr="t" fillcolor="#a0a0a0" stroked="f"/>
        </w:pict>
      </w:r>
    </w:p>
    <w:p w:rsidR="00000000" w:rsidRDefault="002223F7">
      <w:pPr>
        <w:jc w:val="both"/>
        <w:divId w:val="1953900673"/>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1956326084"/>
        <w:rPr>
          <w:rFonts w:eastAsia="Times New Roman"/>
        </w:rPr>
      </w:pPr>
      <w:r>
        <w:rPr>
          <w:rFonts w:ascii="Arial" w:eastAsia="Times New Roman" w:hAnsi="Arial" w:cs="Arial"/>
          <w:color w:val="000000"/>
          <w:sz w:val="20"/>
          <w:szCs w:val="20"/>
        </w:rPr>
        <w:t>liability we may incur and our ability to enforce such recourse may be limited or costly. For example, several of our supply agreements are with foreign entities, including foreign</w:t>
      </w:r>
      <w:r>
        <w:rPr>
          <w:rFonts w:ascii="Arial" w:eastAsia="Times New Roman" w:hAnsi="Arial" w:cs="Arial"/>
          <w:color w:val="000000"/>
          <w:sz w:val="20"/>
          <w:szCs w:val="20"/>
        </w:rPr>
        <w:t xml:space="preserve"> governments, and are governed by the laws of foreign jurisdictions. We may incur substantial costs in seeking to enforce our rights against a local supplier in a foreign jurisdiction and the ultimate outcome can be unpredictable. In certain markets, we al</w:t>
      </w:r>
      <w:r>
        <w:rPr>
          <w:rFonts w:ascii="Arial" w:eastAsia="Times New Roman" w:hAnsi="Arial" w:cs="Arial"/>
          <w:color w:val="000000"/>
          <w:sz w:val="20"/>
          <w:szCs w:val="20"/>
        </w:rPr>
        <w:t>so rely on a single or limited number of suppliers to sell us fuel or provide services on our behalf. We may have limited alternatives if such supplier fails to meet applicable standards or requirements. Any of the foregoing can result in material liabilit</w:t>
      </w:r>
      <w:r>
        <w:rPr>
          <w:rFonts w:ascii="Arial" w:eastAsia="Times New Roman" w:hAnsi="Arial" w:cs="Arial"/>
          <w:color w:val="000000"/>
          <w:sz w:val="20"/>
          <w:szCs w:val="20"/>
        </w:rPr>
        <w:t>ies that may exceed any applicable insurance coverage or other form of recourse and ultimately, could have a material adverse effect on our business, financial condition, results of operations and cash flows.</w:t>
      </w:r>
    </w:p>
    <w:p w:rsidR="00000000" w:rsidRDefault="002223F7">
      <w:pPr>
        <w:divId w:val="1142968124"/>
        <w:rPr>
          <w:rFonts w:eastAsia="Times New Roman"/>
        </w:rPr>
      </w:pPr>
      <w:r>
        <w:rPr>
          <w:rFonts w:ascii="Arial" w:eastAsia="Times New Roman" w:hAnsi="Arial" w:cs="Arial"/>
          <w:b/>
          <w:bCs/>
          <w:color w:val="000000"/>
          <w:sz w:val="20"/>
          <w:szCs w:val="20"/>
        </w:rPr>
        <w:t xml:space="preserve">We may be unable to successfully integrate our </w:t>
      </w:r>
      <w:r>
        <w:rPr>
          <w:rFonts w:ascii="Arial" w:eastAsia="Times New Roman" w:hAnsi="Arial" w:cs="Arial"/>
          <w:b/>
          <w:bCs/>
          <w:color w:val="000000"/>
          <w:sz w:val="20"/>
          <w:szCs w:val="20"/>
        </w:rPr>
        <w:t>acquisitions or fully realize the anticipated benefits of our acquisitions and other strategic investments.</w:t>
      </w:r>
    </w:p>
    <w:p w:rsidR="00000000" w:rsidRDefault="002223F7">
      <w:pPr>
        <w:jc w:val="both"/>
        <w:divId w:val="1509058364"/>
        <w:rPr>
          <w:rFonts w:eastAsia="Times New Roman"/>
        </w:rPr>
      </w:pPr>
      <w:r>
        <w:rPr>
          <w:rFonts w:ascii="Arial" w:eastAsia="Times New Roman" w:hAnsi="Arial" w:cs="Arial"/>
          <w:color w:val="000000"/>
          <w:sz w:val="20"/>
          <w:szCs w:val="20"/>
        </w:rPr>
        <w:t xml:space="preserve">As part of our business strategy, we may pursue acquisition opportunities and strategic investments, as well as divest certain businesses to enable </w:t>
      </w:r>
      <w:r>
        <w:rPr>
          <w:rFonts w:ascii="Arial" w:eastAsia="Times New Roman" w:hAnsi="Arial" w:cs="Arial"/>
          <w:color w:val="000000"/>
          <w:sz w:val="20"/>
          <w:szCs w:val="20"/>
        </w:rPr>
        <w:t xml:space="preserve">us to invest in our core business activities. In early 2022, we completed our largest acquisition to date, the acquisition of Flyers Energy Group, LLC, significantly increasing the scale and geographic footprint of our land segment in North America. </w:t>
      </w:r>
    </w:p>
    <w:p w:rsidR="00000000" w:rsidRDefault="002223F7">
      <w:pPr>
        <w:jc w:val="both"/>
        <w:divId w:val="25372968"/>
        <w:rPr>
          <w:rFonts w:eastAsia="Times New Roman"/>
        </w:rPr>
      </w:pPr>
      <w:r>
        <w:rPr>
          <w:rFonts w:ascii="Arial" w:eastAsia="Times New Roman" w:hAnsi="Arial" w:cs="Arial"/>
          <w:color w:val="000000"/>
          <w:sz w:val="20"/>
          <w:szCs w:val="20"/>
        </w:rPr>
        <w:t>The i</w:t>
      </w:r>
      <w:r>
        <w:rPr>
          <w:rFonts w:ascii="Arial" w:eastAsia="Times New Roman" w:hAnsi="Arial" w:cs="Arial"/>
          <w:color w:val="000000"/>
          <w:sz w:val="20"/>
          <w:szCs w:val="20"/>
        </w:rPr>
        <w:t>ntegration of acquired businesses with our existing business is a complex, costly and time-consuming process. We have incurred, and expect to continue incurring, expenses related to the integration of businesses we acquire. The success of our inorganic gro</w:t>
      </w:r>
      <w:r>
        <w:rPr>
          <w:rFonts w:ascii="Arial" w:eastAsia="Times New Roman" w:hAnsi="Arial" w:cs="Arial"/>
          <w:color w:val="000000"/>
          <w:sz w:val="20"/>
          <w:szCs w:val="20"/>
        </w:rPr>
        <w:t>wth strategy will depend, in part, on our ability to successfully combine our existing business with acquired businesses and realize the anticipated benefits from such acquisitions, including synergies, cost savings, earnings growth, and operational effici</w:t>
      </w:r>
      <w:r>
        <w:rPr>
          <w:rFonts w:ascii="Arial" w:eastAsia="Times New Roman" w:hAnsi="Arial" w:cs="Arial"/>
          <w:color w:val="000000"/>
          <w:sz w:val="20"/>
          <w:szCs w:val="20"/>
        </w:rPr>
        <w:t xml:space="preserve">encies. </w:t>
      </w:r>
    </w:p>
    <w:p w:rsidR="00000000" w:rsidRDefault="002223F7">
      <w:pPr>
        <w:jc w:val="both"/>
        <w:divId w:val="1840467407"/>
        <w:rPr>
          <w:rFonts w:eastAsia="Times New Roman"/>
        </w:rPr>
      </w:pPr>
      <w:r>
        <w:rPr>
          <w:rFonts w:ascii="Arial" w:eastAsia="Times New Roman" w:hAnsi="Arial" w:cs="Arial"/>
          <w:color w:val="000000"/>
          <w:sz w:val="20"/>
          <w:szCs w:val="20"/>
        </w:rPr>
        <w:t>Acquiring and integrating businesses may place a strain on our management, operational and financial resources, and expose us to additional risks and unexpected expenses, some of which we have experienced in the past and which we may experience in</w:t>
      </w:r>
      <w:r>
        <w:rPr>
          <w:rFonts w:ascii="Arial" w:eastAsia="Times New Roman" w:hAnsi="Arial" w:cs="Arial"/>
          <w:color w:val="000000"/>
          <w:sz w:val="20"/>
          <w:szCs w:val="20"/>
        </w:rPr>
        <w:t xml:space="preserve"> the future, including:</w:t>
      </w:r>
    </w:p>
    <w:p w:rsidR="00000000" w:rsidRDefault="002223F7">
      <w:pPr>
        <w:ind w:hanging="360"/>
        <w:jc w:val="both"/>
        <w:divId w:val="730805904"/>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increased operating costs and difficulties in efficiently integrating the operations, financial reporting, IT systems, technology, and personnel of acquired businesses;</w:t>
      </w:r>
    </w:p>
    <w:p w:rsidR="00000000" w:rsidRDefault="002223F7">
      <w:pPr>
        <w:ind w:hanging="360"/>
        <w:jc w:val="both"/>
        <w:divId w:val="1116213727"/>
        <w:rPr>
          <w:rFonts w:eastAsia="Times New Roman"/>
        </w:rPr>
      </w:pPr>
      <w:r>
        <w:rPr>
          <w:rFonts w:ascii="Arial" w:eastAsia="Times New Roman" w:hAnsi="Arial" w:cs="Arial"/>
          <w:color w:val="000000"/>
          <w:sz w:val="20"/>
          <w:szCs w:val="20"/>
        </w:rPr>
        <w:t xml:space="preserve">•challenges managing acquired businesses while maintaining uniform standards, controls </w:t>
      </w:r>
      <w:r>
        <w:rPr>
          <w:rFonts w:ascii="Arial" w:eastAsia="Times New Roman" w:hAnsi="Arial" w:cs="Arial"/>
          <w:color w:val="000000"/>
          <w:sz w:val="20"/>
          <w:szCs w:val="20"/>
        </w:rPr>
        <w:t>and risk management processes appropriate for a public company;</w:t>
      </w:r>
    </w:p>
    <w:p w:rsidR="00000000" w:rsidRDefault="002223F7">
      <w:pPr>
        <w:ind w:hanging="360"/>
        <w:jc w:val="both"/>
        <w:divId w:val="737287069"/>
        <w:rPr>
          <w:rFonts w:eastAsia="Times New Roman"/>
        </w:rPr>
      </w:pPr>
      <w:r>
        <w:rPr>
          <w:rFonts w:ascii="Arial" w:eastAsia="Times New Roman" w:hAnsi="Arial" w:cs="Arial"/>
          <w:color w:val="000000"/>
          <w:sz w:val="20"/>
          <w:szCs w:val="20"/>
        </w:rPr>
        <w:t>•using estimates and judgments when evaluating the various risks and opportunities of the acquired business that may ultimately prove to be incorrect;</w:t>
      </w:r>
    </w:p>
    <w:p w:rsidR="00000000" w:rsidRDefault="002223F7">
      <w:pPr>
        <w:ind w:hanging="360"/>
        <w:jc w:val="both"/>
        <w:divId w:val="1924492331"/>
        <w:rPr>
          <w:rFonts w:eastAsia="Times New Roman"/>
        </w:rPr>
      </w:pPr>
      <w:r>
        <w:rPr>
          <w:rFonts w:ascii="Arial" w:eastAsia="Times New Roman" w:hAnsi="Arial" w:cs="Arial"/>
          <w:color w:val="000000"/>
          <w:sz w:val="20"/>
          <w:szCs w:val="20"/>
        </w:rPr>
        <w:t>•diversion of management's time and atten</w:t>
      </w:r>
      <w:r>
        <w:rPr>
          <w:rFonts w:ascii="Arial" w:eastAsia="Times New Roman" w:hAnsi="Arial" w:cs="Arial"/>
          <w:color w:val="000000"/>
          <w:sz w:val="20"/>
          <w:szCs w:val="20"/>
        </w:rPr>
        <w:t>tion from other business concerns;</w:t>
      </w:r>
    </w:p>
    <w:p w:rsidR="00000000" w:rsidRDefault="002223F7">
      <w:pPr>
        <w:ind w:hanging="360"/>
        <w:jc w:val="both"/>
        <w:divId w:val="1131749748"/>
        <w:rPr>
          <w:rFonts w:eastAsia="Times New Roman"/>
        </w:rPr>
      </w:pPr>
      <w:r>
        <w:rPr>
          <w:rFonts w:ascii="Arial" w:eastAsia="Times New Roman" w:hAnsi="Arial" w:cs="Arial"/>
          <w:color w:val="000000"/>
          <w:sz w:val="20"/>
          <w:szCs w:val="20"/>
        </w:rPr>
        <w:t>•negative impacts of changes in management on existing business relationships and other disruptions of the acquired business;</w:t>
      </w:r>
    </w:p>
    <w:p w:rsidR="00000000" w:rsidRDefault="002223F7">
      <w:pPr>
        <w:ind w:hanging="360"/>
        <w:jc w:val="both"/>
        <w:divId w:val="1771268593"/>
        <w:rPr>
          <w:rFonts w:eastAsia="Times New Roman"/>
        </w:rPr>
      </w:pPr>
      <w:r>
        <w:rPr>
          <w:rFonts w:ascii="Arial" w:eastAsia="Times New Roman" w:hAnsi="Arial" w:cs="Arial"/>
          <w:color w:val="000000"/>
          <w:sz w:val="20"/>
          <w:szCs w:val="20"/>
        </w:rPr>
        <w:t>•entry into markets in which we may have no or limited direct prior experience;</w:t>
      </w:r>
    </w:p>
    <w:p w:rsidR="00000000" w:rsidRDefault="002223F7">
      <w:pPr>
        <w:ind w:hanging="360"/>
        <w:jc w:val="both"/>
        <w:divId w:val="1615556381"/>
        <w:rPr>
          <w:rFonts w:eastAsia="Times New Roman"/>
        </w:rPr>
      </w:pPr>
      <w:r>
        <w:rPr>
          <w:rFonts w:ascii="Arial" w:eastAsia="Times New Roman" w:hAnsi="Arial" w:cs="Arial"/>
          <w:color w:val="000000"/>
          <w:sz w:val="20"/>
          <w:szCs w:val="20"/>
        </w:rPr>
        <w:t xml:space="preserve">•challenges in </w:t>
      </w:r>
      <w:r>
        <w:rPr>
          <w:rFonts w:ascii="Arial" w:eastAsia="Times New Roman" w:hAnsi="Arial" w:cs="Arial"/>
          <w:color w:val="000000"/>
          <w:sz w:val="20"/>
          <w:szCs w:val="20"/>
        </w:rPr>
        <w:t>retaining key employees, customers or suppliers of the acquired businesses;</w:t>
      </w:r>
    </w:p>
    <w:p w:rsidR="00000000" w:rsidRDefault="002223F7">
      <w:pPr>
        <w:ind w:hanging="360"/>
        <w:jc w:val="both"/>
        <w:divId w:val="1384282757"/>
        <w:rPr>
          <w:rFonts w:eastAsia="Times New Roman"/>
        </w:rPr>
      </w:pPr>
      <w:r>
        <w:rPr>
          <w:rFonts w:ascii="Arial" w:eastAsia="Times New Roman" w:hAnsi="Arial" w:cs="Arial"/>
          <w:color w:val="000000"/>
          <w:sz w:val="20"/>
          <w:szCs w:val="20"/>
        </w:rPr>
        <w:t>•reduced liquidity or increased indebtedness if we use a material portion of our available cash or borrowing capacity to fund acquisitions;</w:t>
      </w:r>
    </w:p>
    <w:p w:rsidR="00000000" w:rsidRDefault="002223F7">
      <w:pPr>
        <w:ind w:hanging="360"/>
        <w:jc w:val="both"/>
        <w:divId w:val="2060585526"/>
        <w:rPr>
          <w:rFonts w:eastAsia="Times New Roman"/>
        </w:rPr>
      </w:pPr>
      <w:r>
        <w:rPr>
          <w:rFonts w:ascii="Arial" w:eastAsia="Times New Roman" w:hAnsi="Arial" w:cs="Arial"/>
          <w:color w:val="000000"/>
          <w:sz w:val="20"/>
          <w:szCs w:val="20"/>
        </w:rPr>
        <w:t>•assumption of material liabilities, exp</w:t>
      </w:r>
      <w:r>
        <w:rPr>
          <w:rFonts w:ascii="Arial" w:eastAsia="Times New Roman" w:hAnsi="Arial" w:cs="Arial"/>
          <w:color w:val="000000"/>
          <w:sz w:val="20"/>
          <w:szCs w:val="20"/>
        </w:rPr>
        <w:t>osure to litigation, regulatory noncompliance or unknown liabilities associated with the acquired businesses; and</w:t>
      </w:r>
    </w:p>
    <w:p w:rsidR="00000000" w:rsidRDefault="002223F7">
      <w:pPr>
        <w:ind w:hanging="360"/>
        <w:jc w:val="both"/>
        <w:divId w:val="1333794426"/>
        <w:rPr>
          <w:rFonts w:eastAsia="Times New Roman"/>
        </w:rPr>
      </w:pPr>
      <w:r>
        <w:rPr>
          <w:rFonts w:ascii="Arial" w:eastAsia="Times New Roman" w:hAnsi="Arial" w:cs="Arial"/>
          <w:color w:val="000000"/>
          <w:sz w:val="20"/>
          <w:szCs w:val="20"/>
        </w:rPr>
        <w:t>•limited indemnities, or security supporting such indemnities, from sellers in an acquisition or ongoing indemnity obligations to purchasers i</w:t>
      </w:r>
      <w:r>
        <w:rPr>
          <w:rFonts w:ascii="Arial" w:eastAsia="Times New Roman" w:hAnsi="Arial" w:cs="Arial"/>
          <w:color w:val="000000"/>
          <w:sz w:val="20"/>
          <w:szCs w:val="20"/>
        </w:rPr>
        <w:t>n a divestiture.</w:t>
      </w:r>
    </w:p>
    <w:p w:rsidR="00000000" w:rsidRDefault="002223F7">
      <w:pPr>
        <w:jc w:val="both"/>
        <w:divId w:val="1593852184"/>
        <w:rPr>
          <w:rFonts w:eastAsia="Times New Roman"/>
        </w:rPr>
      </w:pPr>
      <w:r>
        <w:rPr>
          <w:rFonts w:ascii="Arial" w:eastAsia="Times New Roman" w:hAnsi="Arial" w:cs="Arial"/>
          <w:color w:val="000000"/>
          <w:sz w:val="20"/>
          <w:szCs w:val="20"/>
        </w:rPr>
        <w:t xml:space="preserve">These risks may result in an adverse effect on our results of operations or financial condition or result in costs that outweigh the financial benefit of such opportunities. We may also undertake dilutive issuances of equity securities to </w:t>
      </w:r>
      <w:r>
        <w:rPr>
          <w:rFonts w:ascii="Arial" w:eastAsia="Times New Roman" w:hAnsi="Arial" w:cs="Arial"/>
          <w:color w:val="000000"/>
          <w:sz w:val="20"/>
          <w:szCs w:val="20"/>
        </w:rPr>
        <w:t>fund the purchase or ongoing operations of the acquired business. This could adversely affect the market price of our common stock, inhibit our ability to pay dividends or otherwise restrict our operations.</w:t>
      </w:r>
    </w:p>
    <w:p w:rsidR="00000000" w:rsidRDefault="002223F7">
      <w:pPr>
        <w:divId w:val="1654526869"/>
        <w:rPr>
          <w:rFonts w:eastAsia="Times New Roman"/>
        </w:rPr>
      </w:pPr>
      <w:r>
        <w:rPr>
          <w:rFonts w:ascii="Arial" w:eastAsia="Times New Roman" w:hAnsi="Arial" w:cs="Arial"/>
          <w:b/>
          <w:bCs/>
          <w:color w:val="000000"/>
          <w:sz w:val="20"/>
          <w:szCs w:val="20"/>
        </w:rPr>
        <w:t>Information technology failures and data security</w:t>
      </w:r>
      <w:r>
        <w:rPr>
          <w:rFonts w:ascii="Arial" w:eastAsia="Times New Roman" w:hAnsi="Arial" w:cs="Arial"/>
          <w:b/>
          <w:bCs/>
          <w:color w:val="000000"/>
          <w:sz w:val="20"/>
          <w:szCs w:val="20"/>
        </w:rPr>
        <w:t xml:space="preserve"> breaches, including as a result of cybersecurity attacks, could negatively impact our results of operations and financial condition, subject us to increased operating costs, and expose us to litigation.</w:t>
      </w:r>
    </w:p>
    <w:p w:rsidR="00000000" w:rsidRDefault="002223F7">
      <w:pPr>
        <w:jc w:val="both"/>
        <w:divId w:val="1336229914"/>
        <w:rPr>
          <w:rFonts w:eastAsia="Times New Roman"/>
        </w:rPr>
      </w:pPr>
      <w:r>
        <w:rPr>
          <w:rFonts w:ascii="Arial" w:eastAsia="Times New Roman" w:hAnsi="Arial" w:cs="Arial"/>
          <w:color w:val="000000"/>
          <w:sz w:val="20"/>
          <w:szCs w:val="20"/>
        </w:rPr>
        <w:t>We rely heavily on the proper functioning and availa</w:t>
      </w:r>
      <w:r>
        <w:rPr>
          <w:rFonts w:ascii="Arial" w:eastAsia="Times New Roman" w:hAnsi="Arial" w:cs="Arial"/>
          <w:color w:val="000000"/>
          <w:sz w:val="20"/>
          <w:szCs w:val="20"/>
        </w:rPr>
        <w:t>bility of both internal and third-party information technology systems, including network infrastructure and cloud applications and services, to support a variety of business processes and activities across our global operations. Our technology systems and</w:t>
      </w:r>
      <w:r>
        <w:rPr>
          <w:rFonts w:ascii="Arial" w:eastAsia="Times New Roman" w:hAnsi="Arial" w:cs="Arial"/>
          <w:color w:val="000000"/>
          <w:sz w:val="20"/>
          <w:szCs w:val="20"/>
        </w:rPr>
        <w:t xml:space="preserve"> those of our third-party service providers are subject to various interruptions, including damage, disability or failures due to physical theft, power outages, telecommunication failures, programming or operational errors, natural disasters and other cata</w:t>
      </w:r>
      <w:r>
        <w:rPr>
          <w:rFonts w:ascii="Arial" w:eastAsia="Times New Roman" w:hAnsi="Arial" w:cs="Arial"/>
          <w:color w:val="000000"/>
          <w:sz w:val="20"/>
          <w:szCs w:val="20"/>
        </w:rPr>
        <w:t xml:space="preserve">strophic </w:t>
      </w:r>
    </w:p>
    <w:p w:rsidR="00000000" w:rsidRDefault="002223F7">
      <w:pPr>
        <w:jc w:val="center"/>
        <w:divId w:val="1036084844"/>
        <w:rPr>
          <w:rFonts w:eastAsia="Times New Roman"/>
        </w:rPr>
      </w:pPr>
      <w:r>
        <w:rPr>
          <w:rFonts w:ascii="Arial" w:eastAsia="Times New Roman" w:hAnsi="Arial" w:cs="Arial"/>
          <w:color w:val="000000"/>
          <w:sz w:val="16"/>
          <w:szCs w:val="16"/>
        </w:rPr>
        <w:t>11</w:t>
      </w:r>
    </w:p>
    <w:p w:rsidR="00000000" w:rsidRDefault="002223F7">
      <w:pPr>
        <w:rPr>
          <w:rFonts w:eastAsia="Times New Roman"/>
        </w:rPr>
      </w:pPr>
      <w:r>
        <w:rPr>
          <w:rFonts w:eastAsia="Times New Roman"/>
        </w:rPr>
        <w:pict>
          <v:rect id="_x0000_i1041" style="width:0;height:1.5pt" o:hralign="center" o:hrstd="t" o:hr="t" fillcolor="#a0a0a0" stroked="f"/>
        </w:pict>
      </w:r>
    </w:p>
    <w:p w:rsidR="00000000" w:rsidRDefault="002223F7">
      <w:pPr>
        <w:jc w:val="both"/>
        <w:divId w:val="1196504116"/>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444076894"/>
        <w:rPr>
          <w:rFonts w:eastAsia="Times New Roman"/>
        </w:rPr>
      </w:pPr>
      <w:r>
        <w:rPr>
          <w:rFonts w:ascii="Arial" w:eastAsia="Times New Roman" w:hAnsi="Arial" w:cs="Arial"/>
          <w:color w:val="000000"/>
          <w:sz w:val="20"/>
          <w:szCs w:val="20"/>
        </w:rPr>
        <w:t>events. These systems are also subject to cybersecurity attacks, such as hacking, malware, ransomware, denial-of-service attacks, computer viruses, misconduct by our employees or those of third-party providers, and other unauthorized access, release, corru</w:t>
      </w:r>
      <w:r>
        <w:rPr>
          <w:rFonts w:ascii="Arial" w:eastAsia="Times New Roman" w:hAnsi="Arial" w:cs="Arial"/>
          <w:color w:val="000000"/>
          <w:sz w:val="20"/>
          <w:szCs w:val="20"/>
        </w:rPr>
        <w:t>ption or loss of data. Given the nature of cyber attacks, some incidents can remain undetected for a period of time despite efforts to detect and respond to them in a timely manner. Furthermore, cyber attacks are becoming more sophisticated, including thos</w:t>
      </w:r>
      <w:r>
        <w:rPr>
          <w:rFonts w:ascii="Arial" w:eastAsia="Times New Roman" w:hAnsi="Arial" w:cs="Arial"/>
          <w:color w:val="000000"/>
          <w:sz w:val="20"/>
          <w:szCs w:val="20"/>
        </w:rPr>
        <w:t>e carried out by state-sponsored actors, and increasingly target critical infrastructure. Additionally, cyber attacks can affect third-party networks outside of our control that are required to operate trading platforms, pipelines, and other infrastructure</w:t>
      </w:r>
      <w:r>
        <w:rPr>
          <w:rFonts w:ascii="Arial" w:eastAsia="Times New Roman" w:hAnsi="Arial" w:cs="Arial"/>
          <w:color w:val="000000"/>
          <w:sz w:val="20"/>
          <w:szCs w:val="20"/>
        </w:rPr>
        <w:t xml:space="preserve"> we rely on to conduct our business. For example, in 2021, Colonial Pipeline Company temporarily shut down its pipeline system following a ransomware attack on its systems. While this shutdown did not have a material adverse impact on us or our operations,</w:t>
      </w:r>
      <w:r>
        <w:rPr>
          <w:rFonts w:ascii="Arial" w:eastAsia="Times New Roman" w:hAnsi="Arial" w:cs="Arial"/>
          <w:color w:val="000000"/>
          <w:sz w:val="20"/>
          <w:szCs w:val="20"/>
        </w:rPr>
        <w:t xml:space="preserve"> future cyberattacks affecting pipelines or other critical fuel delivery infrastructure could significantly impact our ability to procure supply or deliver our fuel products to customers. </w:t>
      </w:r>
    </w:p>
    <w:p w:rsidR="00000000" w:rsidRDefault="002223F7">
      <w:pPr>
        <w:jc w:val="both"/>
        <w:divId w:val="2053188089"/>
        <w:rPr>
          <w:rFonts w:eastAsia="Times New Roman"/>
        </w:rPr>
      </w:pPr>
      <w:r>
        <w:rPr>
          <w:rFonts w:ascii="Arial" w:eastAsia="Times New Roman" w:hAnsi="Arial" w:cs="Arial"/>
          <w:color w:val="000000"/>
          <w:sz w:val="20"/>
          <w:szCs w:val="20"/>
        </w:rPr>
        <w:t>Our reliance on email transmissions over public networks also expos</w:t>
      </w:r>
      <w:r>
        <w:rPr>
          <w:rFonts w:ascii="Arial" w:eastAsia="Times New Roman" w:hAnsi="Arial" w:cs="Arial"/>
          <w:color w:val="000000"/>
          <w:sz w:val="20"/>
          <w:szCs w:val="20"/>
        </w:rPr>
        <w:t>es us to risks associated with the failure of our employees, customers, business partners and other third parties to use appropriate controls to protect sensitive information, due to risks associated with social engineering (e.g., phishing and impersonatio</w:t>
      </w:r>
      <w:r>
        <w:rPr>
          <w:rFonts w:ascii="Arial" w:eastAsia="Times New Roman" w:hAnsi="Arial" w:cs="Arial"/>
          <w:color w:val="000000"/>
          <w:sz w:val="20"/>
          <w:szCs w:val="20"/>
        </w:rPr>
        <w:t>n), fraud and email scams. External parties may attempt to fraudulently induce employees, customers, suppliers or other users of our systems to disclose sensitive information to gain access to our data or use electronic means to induce us to enter into fra</w:t>
      </w:r>
      <w:r>
        <w:rPr>
          <w:rFonts w:ascii="Arial" w:eastAsia="Times New Roman" w:hAnsi="Arial" w:cs="Arial"/>
          <w:color w:val="000000"/>
          <w:sz w:val="20"/>
          <w:szCs w:val="20"/>
        </w:rPr>
        <w:t xml:space="preserve">udulent transactions. </w:t>
      </w:r>
    </w:p>
    <w:p w:rsidR="00000000" w:rsidRDefault="002223F7">
      <w:pPr>
        <w:jc w:val="both"/>
        <w:divId w:val="971520551"/>
        <w:rPr>
          <w:rFonts w:eastAsia="Times New Roman"/>
        </w:rPr>
      </w:pPr>
      <w:r>
        <w:rPr>
          <w:rFonts w:ascii="Arial" w:eastAsia="Times New Roman" w:hAnsi="Arial" w:cs="Arial"/>
          <w:color w:val="000000"/>
          <w:sz w:val="20"/>
          <w:szCs w:val="20"/>
        </w:rPr>
        <w:t>In addition, due to the large number of transactions that run through our systems each day, significant system downtime or disruption could have a material impact on our, and in the case of our technology offerings, our customers', a</w:t>
      </w:r>
      <w:r>
        <w:rPr>
          <w:rFonts w:ascii="Arial" w:eastAsia="Times New Roman" w:hAnsi="Arial" w:cs="Arial"/>
          <w:color w:val="000000"/>
          <w:sz w:val="20"/>
          <w:szCs w:val="20"/>
        </w:rPr>
        <w:t>bility to conduct business, process and record transactions, make operational and financial decisions or damage our reputation with customers or suppliers, particularly in the event of billing errors or payment delays. Similarly, if ours or any of our clou</w:t>
      </w:r>
      <w:r>
        <w:rPr>
          <w:rFonts w:ascii="Arial" w:eastAsia="Times New Roman" w:hAnsi="Arial" w:cs="Arial"/>
          <w:color w:val="000000"/>
          <w:sz w:val="20"/>
          <w:szCs w:val="20"/>
        </w:rPr>
        <w:t>d service providers' access to cloud-based platforms and services is disrupted for any reason and leads to disruptions in our critical systems, our operations and ability to manage our business could be adversely impacted. While we seek to obtain contractu</w:t>
      </w:r>
      <w:r>
        <w:rPr>
          <w:rFonts w:ascii="Arial" w:eastAsia="Times New Roman" w:hAnsi="Arial" w:cs="Arial"/>
          <w:color w:val="000000"/>
          <w:sz w:val="20"/>
          <w:szCs w:val="20"/>
        </w:rPr>
        <w:t>al protections in our agreements with these providers, we may not have sufficient recourse against these parties in the event they experience a significant cybersecurity attack or other security breach affecting our or our customers' data.</w:t>
      </w:r>
    </w:p>
    <w:p w:rsidR="00000000" w:rsidRDefault="002223F7">
      <w:pPr>
        <w:jc w:val="both"/>
        <w:divId w:val="100537336"/>
        <w:rPr>
          <w:rFonts w:eastAsia="Times New Roman"/>
        </w:rPr>
      </w:pPr>
      <w:r>
        <w:rPr>
          <w:rFonts w:ascii="Arial" w:eastAsia="Times New Roman" w:hAnsi="Arial" w:cs="Arial"/>
          <w:color w:val="000000"/>
          <w:sz w:val="20"/>
          <w:szCs w:val="20"/>
        </w:rPr>
        <w:t>Our cybersecurit</w:t>
      </w:r>
      <w:r>
        <w:rPr>
          <w:rFonts w:ascii="Arial" w:eastAsia="Times New Roman" w:hAnsi="Arial" w:cs="Arial"/>
          <w:color w:val="000000"/>
          <w:sz w:val="20"/>
          <w:szCs w:val="20"/>
        </w:rPr>
        <w:t>y and infrastructure protection technologies, disaster recovery plans and systems, employee training and vendor risk management that we use to mitigate cybersecurity threats may not be sufficient to defend us against all unauthorized attempts to access our</w:t>
      </w:r>
      <w:r>
        <w:rPr>
          <w:rFonts w:ascii="Arial" w:eastAsia="Times New Roman" w:hAnsi="Arial" w:cs="Arial"/>
          <w:color w:val="000000"/>
          <w:sz w:val="20"/>
          <w:szCs w:val="20"/>
        </w:rPr>
        <w:t xml:space="preserve"> information or impact our systems. As cybersecurity threats continue to evolve, we may be required to dedicate significant additional resources and incur substantial costs to modify or enhance our security measures or to investigate and remediate any vuln</w:t>
      </w:r>
      <w:r>
        <w:rPr>
          <w:rFonts w:ascii="Arial" w:eastAsia="Times New Roman" w:hAnsi="Arial" w:cs="Arial"/>
          <w:color w:val="000000"/>
          <w:sz w:val="20"/>
          <w:szCs w:val="20"/>
        </w:rPr>
        <w:t>erabilities. Despite these efforts, we may be unable to fully anticipate or implement adequate preventive measures or mitigate potential harm. To our knowledge, we have not experienced any material losses relating to cybersecurity attacks. However, there c</w:t>
      </w:r>
      <w:r>
        <w:rPr>
          <w:rFonts w:ascii="Arial" w:eastAsia="Times New Roman" w:hAnsi="Arial" w:cs="Arial"/>
          <w:color w:val="000000"/>
          <w:sz w:val="20"/>
          <w:szCs w:val="20"/>
        </w:rPr>
        <w:t>an be no assurance that we will not suffer material losses in the future. We currently maintain insurance to protect against cybersecurity risks and incidents, but this insurance may not be sufficient to cover the financial, legal, business or reputational</w:t>
      </w:r>
      <w:r>
        <w:rPr>
          <w:rFonts w:ascii="Arial" w:eastAsia="Times New Roman" w:hAnsi="Arial" w:cs="Arial"/>
          <w:color w:val="000000"/>
          <w:sz w:val="20"/>
          <w:szCs w:val="20"/>
        </w:rPr>
        <w:t xml:space="preserve"> losses that may result from such incidents. Any of the adverse effects described above could damage our brand, competitiveness and ability to conduct our business, impact our credit and risk exposure decisions, cause us to lose customers or revenues, subj</w:t>
      </w:r>
      <w:r>
        <w:rPr>
          <w:rFonts w:ascii="Arial" w:eastAsia="Times New Roman" w:hAnsi="Arial" w:cs="Arial"/>
          <w:color w:val="000000"/>
          <w:sz w:val="20"/>
          <w:szCs w:val="20"/>
        </w:rPr>
        <w:t xml:space="preserve">ect us to significant remediation costs, litigation or regulatory actions, fines and penalties, or otherwise have a material adverse effect on our cash flows, financial condition or results of operations. </w:t>
      </w:r>
    </w:p>
    <w:p w:rsidR="00000000" w:rsidRDefault="002223F7">
      <w:pPr>
        <w:divId w:val="774059047"/>
        <w:rPr>
          <w:rFonts w:eastAsia="Times New Roman"/>
        </w:rPr>
      </w:pPr>
      <w:r>
        <w:rPr>
          <w:rFonts w:ascii="Arial" w:eastAsia="Times New Roman" w:hAnsi="Arial" w:cs="Arial"/>
          <w:b/>
          <w:bCs/>
          <w:color w:val="000000"/>
          <w:sz w:val="20"/>
          <w:szCs w:val="20"/>
        </w:rPr>
        <w:t>Our sales to government customers subject us to ad</w:t>
      </w:r>
      <w:r>
        <w:rPr>
          <w:rFonts w:ascii="Arial" w:eastAsia="Times New Roman" w:hAnsi="Arial" w:cs="Arial"/>
          <w:b/>
          <w:bCs/>
          <w:color w:val="000000"/>
          <w:sz w:val="20"/>
          <w:szCs w:val="20"/>
        </w:rPr>
        <w:t>ditional risks.</w:t>
      </w:r>
    </w:p>
    <w:p w:rsidR="00000000" w:rsidRDefault="002223F7">
      <w:pPr>
        <w:jc w:val="both"/>
        <w:divId w:val="1281914414"/>
        <w:rPr>
          <w:rFonts w:eastAsia="Times New Roman"/>
        </w:rPr>
      </w:pPr>
      <w:r>
        <w:rPr>
          <w:rFonts w:ascii="Arial" w:eastAsia="Times New Roman" w:hAnsi="Arial" w:cs="Arial"/>
          <w:color w:val="000000"/>
          <w:sz w:val="20"/>
          <w:szCs w:val="20"/>
        </w:rPr>
        <w:t xml:space="preserve">Sales to government customers have accounted for a material portion of our profitability in the recent past. Government sales can be materially impacted by factors such as administration policy changes, supply disruptions, border closures, </w:t>
      </w:r>
      <w:r>
        <w:rPr>
          <w:rFonts w:ascii="Arial" w:eastAsia="Times New Roman" w:hAnsi="Arial" w:cs="Arial"/>
          <w:color w:val="000000"/>
          <w:sz w:val="20"/>
          <w:szCs w:val="20"/>
        </w:rPr>
        <w:t>road blockages, inventory shortages and other logistical difficulties that can arise when conducting business in areas with active military conflicts, natural disasters or other severe circumstances. Moreover, there is a risk of serious injury or loss of l</w:t>
      </w:r>
      <w:r>
        <w:rPr>
          <w:rFonts w:ascii="Arial" w:eastAsia="Times New Roman" w:hAnsi="Arial" w:cs="Arial"/>
          <w:color w:val="000000"/>
          <w:sz w:val="20"/>
          <w:szCs w:val="20"/>
        </w:rPr>
        <w:t>ife for our employees or subcontractors operating in high-risk locations. We may therefore incur substantial operating costs as a result of, among other things, hostility-related product losses, utilizing alternate supply routes or increased security requi</w:t>
      </w:r>
      <w:r>
        <w:rPr>
          <w:rFonts w:ascii="Arial" w:eastAsia="Times New Roman" w:hAnsi="Arial" w:cs="Arial"/>
          <w:color w:val="000000"/>
          <w:sz w:val="20"/>
          <w:szCs w:val="20"/>
        </w:rPr>
        <w:t>rements, particularly where our facilities are likely to be subject to terrorist activity or extreme weather-related impacts.</w:t>
      </w:r>
    </w:p>
    <w:p w:rsidR="00000000" w:rsidRDefault="002223F7">
      <w:pPr>
        <w:jc w:val="both"/>
        <w:divId w:val="1610118976"/>
        <w:rPr>
          <w:rFonts w:eastAsia="Times New Roman"/>
        </w:rPr>
      </w:pPr>
      <w:r>
        <w:rPr>
          <w:rFonts w:ascii="Arial" w:eastAsia="Times New Roman" w:hAnsi="Arial" w:cs="Arial"/>
          <w:color w:val="000000"/>
          <w:sz w:val="20"/>
          <w:szCs w:val="20"/>
        </w:rPr>
        <w:t>In addition, complying with government contracting rules and regulations is complex and government customers routinely audit contr</w:t>
      </w:r>
      <w:r>
        <w:rPr>
          <w:rFonts w:ascii="Arial" w:eastAsia="Times New Roman" w:hAnsi="Arial" w:cs="Arial"/>
          <w:color w:val="000000"/>
          <w:sz w:val="20"/>
          <w:szCs w:val="20"/>
        </w:rPr>
        <w:t>actors to review performance, cost structure and compliance with applicable laws, regulations, and standards, as well as the adequacy of and compliance with internal control systems and policies. Any inadequacies in our systems and policies could result in</w:t>
      </w:r>
      <w:r>
        <w:rPr>
          <w:rFonts w:ascii="Arial" w:eastAsia="Times New Roman" w:hAnsi="Arial" w:cs="Arial"/>
          <w:color w:val="000000"/>
          <w:sz w:val="20"/>
          <w:szCs w:val="20"/>
        </w:rPr>
        <w:t xml:space="preserve"> payments being withheld, penalties and reduced future business. Improper or illegal activities, including those caused by our subcontractors, could also subject us to civil or criminal penalties or administrative sanctions, including contract termination,</w:t>
      </w:r>
      <w:r>
        <w:rPr>
          <w:rFonts w:ascii="Arial" w:eastAsia="Times New Roman" w:hAnsi="Arial" w:cs="Arial"/>
          <w:color w:val="000000"/>
          <w:sz w:val="20"/>
          <w:szCs w:val="20"/>
        </w:rPr>
        <w:t xml:space="preserve"> fines, forfeiture of fees, suspension of payment and suspension or debarment from doing business with government agencies, any of which could </w:t>
      </w:r>
    </w:p>
    <w:p w:rsidR="00000000" w:rsidRDefault="002223F7">
      <w:pPr>
        <w:jc w:val="center"/>
        <w:divId w:val="205260254"/>
        <w:rPr>
          <w:rFonts w:eastAsia="Times New Roman"/>
        </w:rPr>
      </w:pPr>
      <w:r>
        <w:rPr>
          <w:rFonts w:ascii="Arial" w:eastAsia="Times New Roman" w:hAnsi="Arial" w:cs="Arial"/>
          <w:color w:val="000000"/>
          <w:sz w:val="16"/>
          <w:szCs w:val="16"/>
        </w:rPr>
        <w:t>12</w:t>
      </w:r>
    </w:p>
    <w:p w:rsidR="00000000" w:rsidRDefault="002223F7">
      <w:pPr>
        <w:rPr>
          <w:rFonts w:eastAsia="Times New Roman"/>
        </w:rPr>
      </w:pPr>
      <w:r>
        <w:rPr>
          <w:rFonts w:eastAsia="Times New Roman"/>
        </w:rPr>
        <w:pict>
          <v:rect id="_x0000_i1042" style="width:0;height:1.5pt" o:hralign="center" o:hrstd="t" o:hr="t" fillcolor="#a0a0a0" stroked="f"/>
        </w:pict>
      </w:r>
    </w:p>
    <w:p w:rsidR="00000000" w:rsidRDefault="002223F7">
      <w:pPr>
        <w:jc w:val="both"/>
        <w:divId w:val="202250256"/>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1662002025"/>
        <w:rPr>
          <w:rFonts w:eastAsia="Times New Roman"/>
        </w:rPr>
      </w:pPr>
      <w:r>
        <w:rPr>
          <w:rFonts w:ascii="Arial" w:eastAsia="Times New Roman" w:hAnsi="Arial" w:cs="Arial"/>
          <w:color w:val="000000"/>
          <w:sz w:val="20"/>
          <w:szCs w:val="20"/>
        </w:rPr>
        <w:t>materially adversely affect our reputation, business, financial condition or results of operations. See Part I. Item 1. – Business of this 2022 10-K Report for additional details regarding appli</w:t>
      </w:r>
      <w:r>
        <w:rPr>
          <w:rFonts w:ascii="Arial" w:eastAsia="Times New Roman" w:hAnsi="Arial" w:cs="Arial"/>
          <w:color w:val="000000"/>
          <w:sz w:val="20"/>
          <w:szCs w:val="20"/>
        </w:rPr>
        <w:t>cable laws and regulations.</w:t>
      </w:r>
    </w:p>
    <w:p w:rsidR="00000000" w:rsidRDefault="002223F7">
      <w:pPr>
        <w:divId w:val="65542657"/>
        <w:rPr>
          <w:rFonts w:eastAsia="Times New Roman"/>
        </w:rPr>
      </w:pPr>
      <w:r>
        <w:rPr>
          <w:rFonts w:ascii="Arial" w:eastAsia="Times New Roman" w:hAnsi="Arial" w:cs="Arial"/>
          <w:b/>
          <w:bCs/>
          <w:color w:val="000000"/>
          <w:sz w:val="20"/>
          <w:szCs w:val="20"/>
          <w:u w:val="single"/>
        </w:rPr>
        <w:t>Financial, Economic &amp; Market Risks</w:t>
      </w:r>
    </w:p>
    <w:p w:rsidR="00000000" w:rsidRDefault="002223F7">
      <w:pPr>
        <w:divId w:val="962073954"/>
        <w:rPr>
          <w:rFonts w:eastAsia="Times New Roman"/>
        </w:rPr>
      </w:pPr>
      <w:r>
        <w:rPr>
          <w:rFonts w:ascii="Arial" w:eastAsia="Times New Roman" w:hAnsi="Arial" w:cs="Arial"/>
          <w:b/>
          <w:bCs/>
          <w:color w:val="000000"/>
          <w:sz w:val="20"/>
          <w:szCs w:val="20"/>
        </w:rPr>
        <w:t>Economic, political and other risks associated with international sales and operations could adversely affect our business and future operating results.</w:t>
      </w:r>
    </w:p>
    <w:p w:rsidR="00000000" w:rsidRDefault="002223F7">
      <w:pPr>
        <w:jc w:val="both"/>
        <w:divId w:val="1301423349"/>
        <w:rPr>
          <w:rFonts w:eastAsia="Times New Roman"/>
        </w:rPr>
      </w:pPr>
      <w:r>
        <w:rPr>
          <w:rFonts w:ascii="Arial" w:eastAsia="Times New Roman" w:hAnsi="Arial" w:cs="Arial"/>
          <w:color w:val="000000"/>
          <w:sz w:val="20"/>
          <w:szCs w:val="20"/>
        </w:rPr>
        <w:t>Because we offer fuel products and services on a worldwide basis, our business is subject to risks asso</w:t>
      </w:r>
      <w:r>
        <w:rPr>
          <w:rFonts w:ascii="Arial" w:eastAsia="Times New Roman" w:hAnsi="Arial" w:cs="Arial"/>
          <w:color w:val="000000"/>
          <w:sz w:val="20"/>
          <w:szCs w:val="20"/>
        </w:rPr>
        <w:t>ciated with doing business internationally, such as:</w:t>
      </w:r>
    </w:p>
    <w:p w:rsidR="00000000" w:rsidRDefault="002223F7">
      <w:pPr>
        <w:ind w:hanging="360"/>
        <w:jc w:val="both"/>
        <w:divId w:val="1534688169"/>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trade protection measures and import, export and other licensing requirements, which could increase our costs or prevent us from doing certain business internationally;</w:t>
      </w:r>
    </w:p>
    <w:p w:rsidR="00000000" w:rsidRDefault="002223F7">
      <w:pPr>
        <w:ind w:hanging="360"/>
        <w:jc w:val="both"/>
        <w:divId w:val="696855148"/>
        <w:rPr>
          <w:rFonts w:eastAsia="Times New Roman"/>
        </w:rPr>
      </w:pPr>
      <w:r>
        <w:rPr>
          <w:rFonts w:ascii="Arial" w:eastAsia="Times New Roman" w:hAnsi="Arial" w:cs="Arial"/>
          <w:color w:val="000000"/>
          <w:sz w:val="20"/>
          <w:szCs w:val="20"/>
        </w:rPr>
        <w:t>•higher costs associated with hiring and retaining senior management for overseas opera</w:t>
      </w:r>
      <w:r>
        <w:rPr>
          <w:rFonts w:ascii="Arial" w:eastAsia="Times New Roman" w:hAnsi="Arial" w:cs="Arial"/>
          <w:color w:val="000000"/>
          <w:sz w:val="20"/>
          <w:szCs w:val="20"/>
        </w:rPr>
        <w:t>tions;</w:t>
      </w:r>
    </w:p>
    <w:p w:rsidR="00000000" w:rsidRDefault="002223F7">
      <w:pPr>
        <w:ind w:hanging="360"/>
        <w:jc w:val="both"/>
        <w:divId w:val="190385826"/>
        <w:rPr>
          <w:rFonts w:eastAsia="Times New Roman"/>
        </w:rPr>
      </w:pPr>
      <w:r>
        <w:rPr>
          <w:rFonts w:ascii="Arial" w:eastAsia="Times New Roman" w:hAnsi="Arial" w:cs="Arial"/>
          <w:color w:val="000000"/>
          <w:sz w:val="20"/>
          <w:szCs w:val="20"/>
        </w:rPr>
        <w:t>•difficulty in staffing and managing widespread operations, which could reduce our productivity;</w:t>
      </w:r>
    </w:p>
    <w:p w:rsidR="00000000" w:rsidRDefault="002223F7">
      <w:pPr>
        <w:ind w:hanging="360"/>
        <w:jc w:val="both"/>
        <w:divId w:val="1442602383"/>
        <w:rPr>
          <w:rFonts w:eastAsia="Times New Roman"/>
        </w:rPr>
      </w:pPr>
      <w:r>
        <w:rPr>
          <w:rFonts w:ascii="Arial" w:eastAsia="Times New Roman" w:hAnsi="Arial" w:cs="Arial"/>
          <w:color w:val="000000"/>
          <w:sz w:val="20"/>
          <w:szCs w:val="20"/>
        </w:rPr>
        <w:t>•changes in regulatory requirements, which may be costly and require significant time to implement;</w:t>
      </w:r>
    </w:p>
    <w:p w:rsidR="00000000" w:rsidRDefault="002223F7">
      <w:pPr>
        <w:ind w:hanging="360"/>
        <w:jc w:val="both"/>
        <w:divId w:val="1669938655"/>
        <w:rPr>
          <w:rFonts w:eastAsia="Times New Roman"/>
        </w:rPr>
      </w:pPr>
      <w:r>
        <w:rPr>
          <w:rFonts w:ascii="Arial" w:eastAsia="Times New Roman" w:hAnsi="Arial" w:cs="Arial"/>
          <w:color w:val="000000"/>
          <w:sz w:val="20"/>
          <w:szCs w:val="20"/>
        </w:rPr>
        <w:t>•laws that restrict us from repatriating profits ear</w:t>
      </w:r>
      <w:r>
        <w:rPr>
          <w:rFonts w:ascii="Arial" w:eastAsia="Times New Roman" w:hAnsi="Arial" w:cs="Arial"/>
          <w:color w:val="000000"/>
          <w:sz w:val="20"/>
          <w:szCs w:val="20"/>
        </w:rPr>
        <w:t>ned from our activities within certain foreign countries;</w:t>
      </w:r>
    </w:p>
    <w:p w:rsidR="00000000" w:rsidRDefault="002223F7">
      <w:pPr>
        <w:ind w:hanging="360"/>
        <w:jc w:val="both"/>
        <w:divId w:val="868681017"/>
        <w:rPr>
          <w:rFonts w:eastAsia="Times New Roman"/>
        </w:rPr>
      </w:pPr>
      <w:r>
        <w:rPr>
          <w:rFonts w:ascii="Arial" w:eastAsia="Times New Roman" w:hAnsi="Arial" w:cs="Arial"/>
          <w:color w:val="000000"/>
          <w:sz w:val="20"/>
          <w:szCs w:val="20"/>
        </w:rPr>
        <w:t>•fluctuations in foreign currency exchange rates and severe currency devaluations;</w:t>
      </w:r>
    </w:p>
    <w:p w:rsidR="00000000" w:rsidRDefault="002223F7">
      <w:pPr>
        <w:ind w:hanging="360"/>
        <w:jc w:val="both"/>
        <w:divId w:val="1639802241"/>
        <w:rPr>
          <w:rFonts w:eastAsia="Times New Roman"/>
        </w:rPr>
      </w:pPr>
      <w:r>
        <w:rPr>
          <w:rFonts w:ascii="Arial" w:eastAsia="Times New Roman" w:hAnsi="Arial" w:cs="Arial"/>
          <w:color w:val="000000"/>
          <w:sz w:val="20"/>
          <w:szCs w:val="20"/>
        </w:rPr>
        <w:t xml:space="preserve">•governmental actions that may result in expropriation, the deprivation of our contractual rights or the inability </w:t>
      </w:r>
      <w:r>
        <w:rPr>
          <w:rFonts w:ascii="Arial" w:eastAsia="Times New Roman" w:hAnsi="Arial" w:cs="Arial"/>
          <w:color w:val="000000"/>
          <w:sz w:val="20"/>
          <w:szCs w:val="20"/>
        </w:rPr>
        <w:t>to obtain or retain authorizations required to conduct our business;</w:t>
      </w:r>
    </w:p>
    <w:p w:rsidR="00000000" w:rsidRDefault="002223F7">
      <w:pPr>
        <w:ind w:hanging="360"/>
        <w:jc w:val="both"/>
        <w:divId w:val="663825211"/>
        <w:rPr>
          <w:rFonts w:eastAsia="Times New Roman"/>
        </w:rPr>
      </w:pPr>
      <w:r>
        <w:rPr>
          <w:rFonts w:ascii="Arial" w:eastAsia="Times New Roman" w:hAnsi="Arial" w:cs="Arial"/>
          <w:color w:val="000000"/>
          <w:sz w:val="20"/>
          <w:szCs w:val="20"/>
        </w:rPr>
        <w:t>•political risks, including changes in governments, corruption and uncertain regulatory environments; and</w:t>
      </w:r>
    </w:p>
    <w:p w:rsidR="00000000" w:rsidRDefault="002223F7">
      <w:pPr>
        <w:ind w:hanging="360"/>
        <w:jc w:val="both"/>
        <w:divId w:val="103883618"/>
        <w:rPr>
          <w:rFonts w:eastAsia="Times New Roman"/>
        </w:rPr>
      </w:pPr>
      <w:r>
        <w:rPr>
          <w:rFonts w:ascii="Arial" w:eastAsia="Times New Roman" w:hAnsi="Arial" w:cs="Arial"/>
          <w:color w:val="000000"/>
          <w:sz w:val="20"/>
          <w:szCs w:val="20"/>
        </w:rPr>
        <w:t>•terrorism, war, civil unrest, natural disasters and other severe weather-related</w:t>
      </w:r>
      <w:r>
        <w:rPr>
          <w:rFonts w:ascii="Arial" w:eastAsia="Times New Roman" w:hAnsi="Arial" w:cs="Arial"/>
          <w:color w:val="000000"/>
          <w:sz w:val="20"/>
          <w:szCs w:val="20"/>
        </w:rPr>
        <w:t xml:space="preserve"> events.</w:t>
      </w:r>
    </w:p>
    <w:p w:rsidR="00000000" w:rsidRDefault="002223F7">
      <w:pPr>
        <w:jc w:val="both"/>
        <w:divId w:val="1838227820"/>
        <w:rPr>
          <w:rFonts w:eastAsia="Times New Roman"/>
        </w:rPr>
      </w:pPr>
      <w:r>
        <w:rPr>
          <w:rFonts w:ascii="Arial" w:eastAsia="Times New Roman" w:hAnsi="Arial" w:cs="Arial"/>
          <w:color w:val="000000"/>
          <w:sz w:val="20"/>
          <w:szCs w:val="20"/>
        </w:rPr>
        <w:t>Additionally, we have substantial operations in the U.K., particularly in our land segment, and the U.K.'s exit from the E.U. in January 2020 (commonly referred to as "Brexit") may adversely affect our business in the U.K. and relationships with o</w:t>
      </w:r>
      <w:r>
        <w:rPr>
          <w:rFonts w:ascii="Arial" w:eastAsia="Times New Roman" w:hAnsi="Arial" w:cs="Arial"/>
          <w:color w:val="000000"/>
          <w:sz w:val="20"/>
          <w:szCs w:val="20"/>
        </w:rPr>
        <w:t>ur customers, suppliers and other stakeholders. These risks include disruptions in our supply chains and the free movement of goods, services and people between the U.K. and the E.U., staffing challenges, increased costs, legal uncertainties and potentiall</w:t>
      </w:r>
      <w:r>
        <w:rPr>
          <w:rFonts w:ascii="Arial" w:eastAsia="Times New Roman" w:hAnsi="Arial" w:cs="Arial"/>
          <w:color w:val="000000"/>
          <w:sz w:val="20"/>
          <w:szCs w:val="20"/>
        </w:rPr>
        <w:t xml:space="preserve">y divergent national laws and regulations in areas such as tax, licensing and other regulatory rights and obligations. There can be no assurance that any or all of these events will not have a material adverse effect on our business operations, results of </w:t>
      </w:r>
      <w:r>
        <w:rPr>
          <w:rFonts w:ascii="Arial" w:eastAsia="Times New Roman" w:hAnsi="Arial" w:cs="Arial"/>
          <w:color w:val="000000"/>
          <w:sz w:val="20"/>
          <w:szCs w:val="20"/>
        </w:rPr>
        <w:t>operations and financial condition.</w:t>
      </w:r>
    </w:p>
    <w:p w:rsidR="00000000" w:rsidRDefault="002223F7">
      <w:pPr>
        <w:divId w:val="729382508"/>
        <w:rPr>
          <w:rFonts w:eastAsia="Times New Roman"/>
        </w:rPr>
      </w:pPr>
      <w:r>
        <w:rPr>
          <w:rFonts w:ascii="Arial" w:eastAsia="Times New Roman" w:hAnsi="Arial" w:cs="Arial"/>
          <w:b/>
          <w:bCs/>
          <w:color w:val="000000"/>
          <w:sz w:val="20"/>
          <w:szCs w:val="20"/>
        </w:rPr>
        <w:t>Our business depends on our ability to adequately finance our capital requirements and fund our investments, which, if not available to us, would impact our ability to conduct our operations.</w:t>
      </w:r>
    </w:p>
    <w:p w:rsidR="00000000" w:rsidRDefault="002223F7">
      <w:pPr>
        <w:jc w:val="both"/>
        <w:divId w:val="692265275"/>
        <w:rPr>
          <w:rFonts w:eastAsia="Times New Roman"/>
        </w:rPr>
      </w:pPr>
      <w:r>
        <w:rPr>
          <w:rFonts w:ascii="Arial" w:eastAsia="Times New Roman" w:hAnsi="Arial" w:cs="Arial"/>
          <w:color w:val="000000"/>
          <w:sz w:val="20"/>
          <w:szCs w:val="20"/>
        </w:rPr>
        <w:t>We rely on credit arrangemen</w:t>
      </w:r>
      <w:r>
        <w:rPr>
          <w:rFonts w:ascii="Arial" w:eastAsia="Times New Roman" w:hAnsi="Arial" w:cs="Arial"/>
          <w:color w:val="000000"/>
          <w:sz w:val="20"/>
          <w:szCs w:val="20"/>
        </w:rPr>
        <w:t>ts with banks, suppliers and other parties as an important source of liquidity for capital requirements that are not satisfied by our operating cash flow. Future market volatility, inflation, and persistent weakness in global energy markets may adversely a</w:t>
      </w:r>
      <w:r>
        <w:rPr>
          <w:rFonts w:ascii="Arial" w:eastAsia="Times New Roman" w:hAnsi="Arial" w:cs="Arial"/>
          <w:color w:val="000000"/>
          <w:sz w:val="20"/>
          <w:szCs w:val="20"/>
        </w:rPr>
        <w:t>ffect our ability to access capital and credit markets or to obtain funds at low interest rates or on other advantageous terms. If we are unable to obtain credit on acceptable terms or at all, perhaps due to a substantial tightening of the global credit ma</w:t>
      </w:r>
      <w:r>
        <w:rPr>
          <w:rFonts w:ascii="Arial" w:eastAsia="Times New Roman" w:hAnsi="Arial" w:cs="Arial"/>
          <w:color w:val="000000"/>
          <w:sz w:val="20"/>
          <w:szCs w:val="20"/>
        </w:rPr>
        <w:t>rkets, our liquidity, business, financial condition, and cash flows, as well as our future development and growth could be negatively impacted. In addition, if we are unable to obtain debt or other forms of financing and resort to raising capital through e</w:t>
      </w:r>
      <w:r>
        <w:rPr>
          <w:rFonts w:ascii="Arial" w:eastAsia="Times New Roman" w:hAnsi="Arial" w:cs="Arial"/>
          <w:color w:val="000000"/>
          <w:sz w:val="20"/>
          <w:szCs w:val="20"/>
        </w:rPr>
        <w:t>quity issuances, our existing shareholders would be diluted.</w:t>
      </w:r>
    </w:p>
    <w:p w:rsidR="00000000" w:rsidRDefault="002223F7">
      <w:pPr>
        <w:jc w:val="both"/>
        <w:divId w:val="1755475467"/>
        <w:rPr>
          <w:rFonts w:eastAsia="Times New Roman"/>
        </w:rPr>
      </w:pPr>
      <w:r>
        <w:rPr>
          <w:rFonts w:ascii="Arial" w:eastAsia="Times New Roman" w:hAnsi="Arial" w:cs="Arial"/>
          <w:color w:val="000000"/>
          <w:sz w:val="20"/>
          <w:szCs w:val="20"/>
        </w:rPr>
        <w:t xml:space="preserve">Our business is also impacted by the availability of trade credit to fund our fuel purchases from suppliers. An actual or perceived decline in our liquidity or business could cause our suppliers </w:t>
      </w:r>
      <w:r>
        <w:rPr>
          <w:rFonts w:ascii="Arial" w:eastAsia="Times New Roman" w:hAnsi="Arial" w:cs="Arial"/>
          <w:color w:val="000000"/>
          <w:sz w:val="20"/>
          <w:szCs w:val="20"/>
        </w:rPr>
        <w:t>to reduce our credit lines, seek credit support in the form of additional collateral, or otherwise materially modify their payment terms. Adverse changes in our payment terms from principal suppliers, including shortened payment cycles or requiring prepaym</w:t>
      </w:r>
      <w:r>
        <w:rPr>
          <w:rFonts w:ascii="Arial" w:eastAsia="Times New Roman" w:hAnsi="Arial" w:cs="Arial"/>
          <w:color w:val="000000"/>
          <w:sz w:val="20"/>
          <w:szCs w:val="20"/>
        </w:rPr>
        <w:t>ent, could impact our liquidity, business, results of operations and cash flows.</w:t>
      </w:r>
    </w:p>
    <w:p w:rsidR="00000000" w:rsidRDefault="002223F7">
      <w:pPr>
        <w:jc w:val="both"/>
        <w:divId w:val="1128089640"/>
        <w:rPr>
          <w:rFonts w:eastAsia="Times New Roman"/>
        </w:rPr>
      </w:pPr>
      <w:r>
        <w:rPr>
          <w:rFonts w:ascii="Arial" w:eastAsia="Times New Roman" w:hAnsi="Arial" w:cs="Arial"/>
          <w:color w:val="000000"/>
          <w:sz w:val="20"/>
          <w:szCs w:val="20"/>
        </w:rPr>
        <w:t>Finally, our Credit Agreement imposes certain operating and financial covenants on us, which, among other things, restrict our ability to pay dividends or make certain other r</w:t>
      </w:r>
      <w:r>
        <w:rPr>
          <w:rFonts w:ascii="Arial" w:eastAsia="Times New Roman" w:hAnsi="Arial" w:cs="Arial"/>
          <w:color w:val="000000"/>
          <w:sz w:val="20"/>
          <w:szCs w:val="20"/>
        </w:rPr>
        <w:t>estricted payments, incur additional debt, create liens and sell a material amount of assets. Our failure or inability to comply with the requirements of these facilities, including meeting certain financial ratios or other covenants, could limit the avail</w:t>
      </w:r>
      <w:r>
        <w:rPr>
          <w:rFonts w:ascii="Arial" w:eastAsia="Times New Roman" w:hAnsi="Arial" w:cs="Arial"/>
          <w:color w:val="000000"/>
          <w:sz w:val="20"/>
          <w:szCs w:val="20"/>
        </w:rPr>
        <w:t xml:space="preserve">ability under our Credit Facility or result in an event of default. An event of default, if not cured or waived, would permit acceleration of any outstanding indebtedness under these facilities, could trigger cross-defaults under other agreements to which </w:t>
      </w:r>
      <w:r>
        <w:rPr>
          <w:rFonts w:ascii="Arial" w:eastAsia="Times New Roman" w:hAnsi="Arial" w:cs="Arial"/>
          <w:color w:val="000000"/>
          <w:sz w:val="20"/>
          <w:szCs w:val="20"/>
        </w:rPr>
        <w:t xml:space="preserve">we are a party (such as certain derivative contracts), and would impair our ability to obtain working capital advances and letters of credit, any of which could have a material adverse effect on our business, financial condition, results of operations and </w:t>
      </w:r>
      <w:r>
        <w:rPr>
          <w:rFonts w:ascii="Arial" w:eastAsia="Times New Roman" w:hAnsi="Arial" w:cs="Arial"/>
          <w:color w:val="000000"/>
          <w:sz w:val="20"/>
          <w:szCs w:val="20"/>
        </w:rPr>
        <w:t>cash flows.</w:t>
      </w:r>
    </w:p>
    <w:p w:rsidR="00000000" w:rsidRDefault="002223F7">
      <w:pPr>
        <w:jc w:val="center"/>
        <w:divId w:val="881476890"/>
        <w:rPr>
          <w:rFonts w:eastAsia="Times New Roman"/>
        </w:rPr>
      </w:pPr>
      <w:r>
        <w:rPr>
          <w:rFonts w:ascii="Arial" w:eastAsia="Times New Roman" w:hAnsi="Arial" w:cs="Arial"/>
          <w:color w:val="000000"/>
          <w:sz w:val="16"/>
          <w:szCs w:val="16"/>
        </w:rPr>
        <w:t>13</w:t>
      </w:r>
    </w:p>
    <w:p w:rsidR="00000000" w:rsidRDefault="002223F7">
      <w:pPr>
        <w:rPr>
          <w:rFonts w:eastAsia="Times New Roman"/>
        </w:rPr>
      </w:pPr>
      <w:r>
        <w:rPr>
          <w:rFonts w:eastAsia="Times New Roman"/>
        </w:rPr>
        <w:pict>
          <v:rect id="_x0000_i1043" style="width:0;height:1.5pt" o:hralign="center" o:hrstd="t" o:hr="t" fillcolor="#a0a0a0" stroked="f"/>
        </w:pict>
      </w:r>
    </w:p>
    <w:p w:rsidR="00000000" w:rsidRDefault="002223F7">
      <w:pPr>
        <w:jc w:val="both"/>
        <w:divId w:val="1055812389"/>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divId w:val="947351634"/>
        <w:rPr>
          <w:rFonts w:eastAsia="Times New Roman"/>
        </w:rPr>
      </w:pPr>
      <w:r>
        <w:rPr>
          <w:rFonts w:ascii="Arial" w:eastAsia="Times New Roman" w:hAnsi="Arial" w:cs="Arial"/>
          <w:b/>
          <w:bCs/>
          <w:color w:val="000000"/>
          <w:sz w:val="20"/>
          <w:szCs w:val="20"/>
        </w:rPr>
        <w:t xml:space="preserve">Our business is subject to seasonal variability, which has caused our </w:t>
      </w:r>
      <w:r>
        <w:rPr>
          <w:rFonts w:ascii="Arial" w:eastAsia="Times New Roman" w:hAnsi="Arial" w:cs="Arial"/>
          <w:b/>
          <w:bCs/>
          <w:color w:val="000000"/>
          <w:sz w:val="20"/>
          <w:szCs w:val="20"/>
        </w:rPr>
        <w:t>revenues and operating results to fluctuate and can adversely affect the market price of our shares.</w:t>
      </w:r>
    </w:p>
    <w:p w:rsidR="00000000" w:rsidRDefault="002223F7">
      <w:pPr>
        <w:jc w:val="both"/>
        <w:divId w:val="900284442"/>
        <w:rPr>
          <w:rFonts w:eastAsia="Times New Roman"/>
        </w:rPr>
      </w:pPr>
      <w:r>
        <w:rPr>
          <w:rFonts w:ascii="Arial" w:eastAsia="Times New Roman" w:hAnsi="Arial" w:cs="Arial"/>
          <w:color w:val="000000"/>
          <w:sz w:val="20"/>
          <w:szCs w:val="20"/>
        </w:rPr>
        <w:t>Our operating results are subject to seasonal variability. Seasonality results from numerous factors, including demand changes related to seasonal travel a</w:t>
      </w:r>
      <w:r>
        <w:rPr>
          <w:rFonts w:ascii="Arial" w:eastAsia="Times New Roman" w:hAnsi="Arial" w:cs="Arial"/>
          <w:color w:val="000000"/>
          <w:sz w:val="20"/>
          <w:szCs w:val="20"/>
        </w:rPr>
        <w:t xml:space="preserve">nd weather patterns. As such, our results for the second and third quarters of the year tend to be the strongest for our aviation segment and our results for the fourth and first quarters of the year tend to be the strongest for our land segment. However, </w:t>
      </w:r>
      <w:r>
        <w:rPr>
          <w:rFonts w:ascii="Arial" w:eastAsia="Times New Roman" w:hAnsi="Arial" w:cs="Arial"/>
          <w:color w:val="000000"/>
          <w:sz w:val="20"/>
          <w:szCs w:val="20"/>
        </w:rPr>
        <w:t>extreme or unseasonable weather conditions can substantially reduce the demand for our products and services or significantly increase the prices of the fuel products we sell, which can in turn adversely impact our results of operations. For example, unsea</w:t>
      </w:r>
      <w:r>
        <w:rPr>
          <w:rFonts w:ascii="Arial" w:eastAsia="Times New Roman" w:hAnsi="Arial" w:cs="Arial"/>
          <w:color w:val="000000"/>
          <w:sz w:val="20"/>
          <w:szCs w:val="20"/>
        </w:rPr>
        <w:t>sonably warm winter weather in the U.S. and U.K. in the recent past has adversely impacted our results in the land segment.</w:t>
      </w:r>
    </w:p>
    <w:p w:rsidR="00000000" w:rsidRDefault="002223F7">
      <w:pPr>
        <w:jc w:val="both"/>
        <w:divId w:val="1356074041"/>
        <w:rPr>
          <w:rFonts w:eastAsia="Times New Roman"/>
        </w:rPr>
      </w:pPr>
      <w:r>
        <w:rPr>
          <w:rFonts w:ascii="Arial" w:eastAsia="Times New Roman" w:hAnsi="Arial" w:cs="Arial"/>
          <w:color w:val="000000"/>
          <w:sz w:val="20"/>
          <w:szCs w:val="20"/>
        </w:rPr>
        <w:t>Furthermore, we cannot provide any assurances that the seasonal variability will continue in future periods. Accordingly, results fo</w:t>
      </w:r>
      <w:r>
        <w:rPr>
          <w:rFonts w:ascii="Arial" w:eastAsia="Times New Roman" w:hAnsi="Arial" w:cs="Arial"/>
          <w:color w:val="000000"/>
          <w:sz w:val="20"/>
          <w:szCs w:val="20"/>
        </w:rPr>
        <w:t>r any one quarter may not necessarily be indicative of the results that may be achieved for such quarter the following year or for the full fiscal year. These seasonal fluctuations in our quarterly operating results can therefore adversely affect the marke</w:t>
      </w:r>
      <w:r>
        <w:rPr>
          <w:rFonts w:ascii="Arial" w:eastAsia="Times New Roman" w:hAnsi="Arial" w:cs="Arial"/>
          <w:color w:val="000000"/>
          <w:sz w:val="20"/>
          <w:szCs w:val="20"/>
        </w:rPr>
        <w:t>t price of our shares.</w:t>
      </w:r>
    </w:p>
    <w:p w:rsidR="00000000" w:rsidRDefault="002223F7">
      <w:pPr>
        <w:divId w:val="83963622"/>
        <w:rPr>
          <w:rFonts w:eastAsia="Times New Roman"/>
        </w:rPr>
      </w:pPr>
      <w:r>
        <w:rPr>
          <w:rFonts w:ascii="Arial" w:eastAsia="Times New Roman" w:hAnsi="Arial" w:cs="Arial"/>
          <w:b/>
          <w:bCs/>
          <w:color w:val="000000"/>
          <w:sz w:val="20"/>
          <w:szCs w:val="20"/>
        </w:rPr>
        <w:t>A material impairment of our goodwill or intangible assets could reduce our earnings or adversely impact our results of operations.</w:t>
      </w:r>
    </w:p>
    <w:p w:rsidR="00000000" w:rsidRDefault="002223F7">
      <w:pPr>
        <w:jc w:val="both"/>
        <w:divId w:val="1156454651"/>
        <w:rPr>
          <w:rFonts w:eastAsia="Times New Roman"/>
        </w:rPr>
      </w:pPr>
      <w:r>
        <w:rPr>
          <w:rFonts w:ascii="Arial" w:eastAsia="Times New Roman" w:hAnsi="Arial" w:cs="Arial"/>
          <w:color w:val="000000"/>
          <w:sz w:val="20"/>
          <w:szCs w:val="20"/>
        </w:rPr>
        <w:t>When we acquire a business, a substantial portion of the purchase price of the acquisition may be allocated to goodwill and other identifiable intangible assets. Factors that could affect whether goodwill or intangible assets may be impaired include a decl</w:t>
      </w:r>
      <w:r>
        <w:rPr>
          <w:rFonts w:ascii="Arial" w:eastAsia="Times New Roman" w:hAnsi="Arial" w:cs="Arial"/>
          <w:color w:val="000000"/>
          <w:sz w:val="20"/>
          <w:szCs w:val="20"/>
        </w:rPr>
        <w:t xml:space="preserve">ine in our stock price or market capitalization, changes in our marketing or branding strategy, reduced estimates of future cash flows in our annual operating plan and slower growth rates in our industry. Our valuation methodology for assessing impairment </w:t>
      </w:r>
      <w:r>
        <w:rPr>
          <w:rFonts w:ascii="Arial" w:eastAsia="Times New Roman" w:hAnsi="Arial" w:cs="Arial"/>
          <w:color w:val="000000"/>
          <w:sz w:val="20"/>
          <w:szCs w:val="20"/>
        </w:rPr>
        <w:t xml:space="preserve">requires us to make judgments and assumptions based on several factors including industry experience, the economic environment, and our projections of future operating performance. If our estimates and assumptions prove to be incorrect, we may be required </w:t>
      </w:r>
      <w:r>
        <w:rPr>
          <w:rFonts w:ascii="Arial" w:eastAsia="Times New Roman" w:hAnsi="Arial" w:cs="Arial"/>
          <w:color w:val="000000"/>
          <w:sz w:val="20"/>
          <w:szCs w:val="20"/>
        </w:rPr>
        <w:t>to impair some or all of the carrying amount of goodwill and intangible assets within one or more of our reporting units.</w:t>
      </w:r>
    </w:p>
    <w:p w:rsidR="00000000" w:rsidRDefault="002223F7">
      <w:pPr>
        <w:jc w:val="both"/>
        <w:divId w:val="1872381441"/>
        <w:rPr>
          <w:rFonts w:eastAsia="Times New Roman"/>
        </w:rPr>
      </w:pPr>
      <w:r>
        <w:rPr>
          <w:rFonts w:ascii="Arial" w:eastAsia="Times New Roman" w:hAnsi="Arial" w:cs="Arial"/>
          <w:color w:val="000000"/>
          <w:sz w:val="20"/>
          <w:szCs w:val="20"/>
        </w:rPr>
        <w:t xml:space="preserve">In the past, we have recorded impairment charges in connection with actions such as exiting certain markets or lines of business. Due </w:t>
      </w:r>
      <w:r>
        <w:rPr>
          <w:rFonts w:ascii="Arial" w:eastAsia="Times New Roman" w:hAnsi="Arial" w:cs="Arial"/>
          <w:color w:val="000000"/>
          <w:sz w:val="20"/>
          <w:szCs w:val="20"/>
        </w:rPr>
        <w:t>to continual changes in market and general business conditions, we cannot predict whether, and to what extent, our goodwill and long-lived intangible assets may be impaired in future periods. Our operating results may be negatively affected by both the imp</w:t>
      </w:r>
      <w:r>
        <w:rPr>
          <w:rFonts w:ascii="Arial" w:eastAsia="Times New Roman" w:hAnsi="Arial" w:cs="Arial"/>
          <w:color w:val="000000"/>
          <w:sz w:val="20"/>
          <w:szCs w:val="20"/>
        </w:rPr>
        <w:t>airment and the underlying business trends that triggered the impairment. See Note 6. Goodwill and Identifiable Intangible Assets.</w:t>
      </w:r>
    </w:p>
    <w:p w:rsidR="00000000" w:rsidRDefault="002223F7">
      <w:pPr>
        <w:divId w:val="1142573994"/>
        <w:rPr>
          <w:rFonts w:eastAsia="Times New Roman"/>
        </w:rPr>
      </w:pPr>
      <w:r>
        <w:rPr>
          <w:rFonts w:ascii="Arial" w:eastAsia="Times New Roman" w:hAnsi="Arial" w:cs="Arial"/>
          <w:b/>
          <w:bCs/>
          <w:color w:val="000000"/>
          <w:sz w:val="20"/>
          <w:szCs w:val="20"/>
        </w:rPr>
        <w:t>Significant inflation and higher interest rates may adversely affect our business and financial condition.</w:t>
      </w:r>
    </w:p>
    <w:p w:rsidR="00000000" w:rsidRDefault="002223F7">
      <w:pPr>
        <w:jc w:val="both"/>
        <w:divId w:val="1212572206"/>
        <w:rPr>
          <w:rFonts w:eastAsia="Times New Roman"/>
        </w:rPr>
      </w:pPr>
      <w:r>
        <w:rPr>
          <w:rFonts w:ascii="Arial" w:eastAsia="Times New Roman" w:hAnsi="Arial" w:cs="Arial"/>
          <w:color w:val="000000"/>
          <w:sz w:val="20"/>
          <w:szCs w:val="20"/>
        </w:rPr>
        <w:t>After being relatively moderate in recent years, inflation in the United States and other jurisdictions in which we do business increased significantly in late 2021 into 2022, driven in part by supply chain disruptions, labor shortages and increased commod</w:t>
      </w:r>
      <w:r>
        <w:rPr>
          <w:rFonts w:ascii="Arial" w:eastAsia="Times New Roman" w:hAnsi="Arial" w:cs="Arial"/>
          <w:color w:val="000000"/>
          <w:sz w:val="20"/>
          <w:szCs w:val="20"/>
        </w:rPr>
        <w:t>ity prices. A significant or prolonged period of high inflation, particularly when combined with rising interest rates due to actions taken by governments to attempt to control inflation, could adversely impact our results if costs, including employee comp</w:t>
      </w:r>
      <w:r>
        <w:rPr>
          <w:rFonts w:ascii="Arial" w:eastAsia="Times New Roman" w:hAnsi="Arial" w:cs="Arial"/>
          <w:color w:val="000000"/>
          <w:sz w:val="20"/>
          <w:szCs w:val="20"/>
        </w:rPr>
        <w:t>ensation driven by competitive job market conditions, were to increase at a rate greater than the increase in the revenues we generate. Higher interest rates also typically increase the interest expense associated with our credit arrangements with banks an</w:t>
      </w:r>
      <w:r>
        <w:rPr>
          <w:rFonts w:ascii="Arial" w:eastAsia="Times New Roman" w:hAnsi="Arial" w:cs="Arial"/>
          <w:color w:val="000000"/>
          <w:sz w:val="20"/>
          <w:szCs w:val="20"/>
        </w:rPr>
        <w:t>d other parties that serve as important sources of liquidity for us, which can therefore negatively impact our results of operations for a particular period. For additional information on the effects of inflation on our business, see Item 7. Management’s D</w:t>
      </w:r>
      <w:r>
        <w:rPr>
          <w:rFonts w:ascii="Arial" w:eastAsia="Times New Roman" w:hAnsi="Arial" w:cs="Arial"/>
          <w:color w:val="000000"/>
          <w:sz w:val="20"/>
          <w:szCs w:val="20"/>
        </w:rPr>
        <w:t xml:space="preserve">iscussion and Analysis of Financial Condition and Results of Operations. </w:t>
      </w:r>
    </w:p>
    <w:p w:rsidR="00000000" w:rsidRDefault="002223F7">
      <w:pPr>
        <w:divId w:val="889683863"/>
        <w:rPr>
          <w:rFonts w:eastAsia="Times New Roman"/>
        </w:rPr>
      </w:pPr>
      <w:r>
        <w:rPr>
          <w:rFonts w:ascii="Arial" w:eastAsia="Times New Roman" w:hAnsi="Arial" w:cs="Arial"/>
          <w:b/>
          <w:bCs/>
          <w:color w:val="000000"/>
          <w:sz w:val="20"/>
          <w:szCs w:val="20"/>
        </w:rPr>
        <w:t xml:space="preserve">We face intense competition and, if we are not able to effectively compete in our markets, our revenues and profits may decrease. </w:t>
      </w:r>
    </w:p>
    <w:p w:rsidR="00000000" w:rsidRDefault="002223F7">
      <w:pPr>
        <w:jc w:val="both"/>
        <w:divId w:val="1998224710"/>
        <w:rPr>
          <w:rFonts w:eastAsia="Times New Roman"/>
        </w:rPr>
      </w:pPr>
      <w:r>
        <w:rPr>
          <w:rFonts w:ascii="Arial" w:eastAsia="Times New Roman" w:hAnsi="Arial" w:cs="Arial"/>
          <w:color w:val="000000"/>
          <w:sz w:val="20"/>
          <w:szCs w:val="20"/>
        </w:rPr>
        <w:t>Competitive pressures in our markets could adversel</w:t>
      </w:r>
      <w:r>
        <w:rPr>
          <w:rFonts w:ascii="Arial" w:eastAsia="Times New Roman" w:hAnsi="Arial" w:cs="Arial"/>
          <w:color w:val="000000"/>
          <w:sz w:val="20"/>
          <w:szCs w:val="20"/>
        </w:rPr>
        <w:t>y affect our competitive position, leading to a possible loss of market share or a reduction in prices, either of which can result in lower revenues and profits. We have numerous competitors, ranging from large multinational corporations, which have signif</w:t>
      </w:r>
      <w:r>
        <w:rPr>
          <w:rFonts w:ascii="Arial" w:eastAsia="Times New Roman" w:hAnsi="Arial" w:cs="Arial"/>
          <w:color w:val="000000"/>
          <w:sz w:val="20"/>
          <w:szCs w:val="20"/>
        </w:rPr>
        <w:t>icantly greater capital resources than we do, to relatively small and specialized firms that compete with us in a particular line of business. Industry developments, such as fuel price transparency, procurement technology tools, increased regulation and in</w:t>
      </w:r>
      <w:r>
        <w:rPr>
          <w:rFonts w:ascii="Arial" w:eastAsia="Times New Roman" w:hAnsi="Arial" w:cs="Arial"/>
          <w:color w:val="000000"/>
          <w:sz w:val="20"/>
          <w:szCs w:val="20"/>
        </w:rPr>
        <w:t>creasing customer sophistication may, over time, reduce demand for our services and thereby exacerbate the risks associated with competition. In addition, we rely on a single or limited number of suppliers for the provision of fuel and related products and</w:t>
      </w:r>
      <w:r>
        <w:rPr>
          <w:rFonts w:ascii="Arial" w:eastAsia="Times New Roman" w:hAnsi="Arial" w:cs="Arial"/>
          <w:color w:val="000000"/>
          <w:sz w:val="20"/>
          <w:szCs w:val="20"/>
        </w:rPr>
        <w:t xml:space="preserve"> services in certain markets. These parties may have significant negotiating leverage over us, and if they are unable or unwilling to supply us on commercially reasonable terms, our business would be adversely affected.</w:t>
      </w:r>
    </w:p>
    <w:p w:rsidR="00000000" w:rsidRDefault="002223F7">
      <w:pPr>
        <w:jc w:val="both"/>
        <w:divId w:val="81992249"/>
        <w:rPr>
          <w:rFonts w:eastAsia="Times New Roman"/>
        </w:rPr>
      </w:pPr>
      <w:r>
        <w:rPr>
          <w:rFonts w:ascii="Arial" w:eastAsia="Times New Roman" w:hAnsi="Arial" w:cs="Arial"/>
          <w:color w:val="000000"/>
          <w:sz w:val="20"/>
          <w:szCs w:val="20"/>
        </w:rPr>
        <w:t>In addition to competing with resell</w:t>
      </w:r>
      <w:r>
        <w:rPr>
          <w:rFonts w:ascii="Arial" w:eastAsia="Times New Roman" w:hAnsi="Arial" w:cs="Arial"/>
          <w:color w:val="000000"/>
          <w:sz w:val="20"/>
          <w:szCs w:val="20"/>
        </w:rPr>
        <w:t>ers, we also compete with the major oil producers that market fuel and other energy products directly to large commercial airlines, shipping companies and commercial and industrial users. In recent years, a lower fuel price environment caused many major oi</w:t>
      </w:r>
      <w:r>
        <w:rPr>
          <w:rFonts w:ascii="Arial" w:eastAsia="Times New Roman" w:hAnsi="Arial" w:cs="Arial"/>
          <w:color w:val="000000"/>
          <w:sz w:val="20"/>
          <w:szCs w:val="20"/>
        </w:rPr>
        <w:t xml:space="preserve">l companies to remain in or re-enter the downstream markets. Our business could be adversely affected and subject to the risk of disintermediation if our </w:t>
      </w:r>
    </w:p>
    <w:p w:rsidR="00000000" w:rsidRDefault="002223F7">
      <w:pPr>
        <w:jc w:val="center"/>
        <w:divId w:val="72630409"/>
        <w:rPr>
          <w:rFonts w:eastAsia="Times New Roman"/>
        </w:rPr>
      </w:pPr>
      <w:r>
        <w:rPr>
          <w:rFonts w:ascii="Arial" w:eastAsia="Times New Roman" w:hAnsi="Arial" w:cs="Arial"/>
          <w:color w:val="000000"/>
          <w:sz w:val="16"/>
          <w:szCs w:val="16"/>
        </w:rPr>
        <w:t>14</w:t>
      </w:r>
    </w:p>
    <w:p w:rsidR="00000000" w:rsidRDefault="002223F7">
      <w:pPr>
        <w:rPr>
          <w:rFonts w:eastAsia="Times New Roman"/>
        </w:rPr>
      </w:pPr>
      <w:r>
        <w:rPr>
          <w:rFonts w:eastAsia="Times New Roman"/>
        </w:rPr>
        <w:pict>
          <v:rect id="_x0000_i1044" style="width:0;height:1.5pt" o:hralign="center" o:hrstd="t" o:hr="t" fillcolor="#a0a0a0" stroked="f"/>
        </w:pict>
      </w:r>
    </w:p>
    <w:p w:rsidR="00000000" w:rsidRDefault="002223F7">
      <w:pPr>
        <w:jc w:val="both"/>
        <w:divId w:val="422998501"/>
        <w:rPr>
          <w:rFonts w:eastAsia="Times New Roman"/>
        </w:rPr>
      </w:pPr>
      <w:hyperlink w:anchor="ic88e567e3f8642dcb6f41d9ec77f1b73_7" w:history="1">
        <w:r>
          <w:rPr>
            <w:rStyle w:val="a3"/>
            <w:rFonts w:ascii="Arial" w:eastAsia="Times New Roman" w:hAnsi="Arial" w:cs="Arial"/>
            <w:sz w:val="20"/>
            <w:szCs w:val="20"/>
          </w:rPr>
          <w:t>Tabl</w:t>
        </w:r>
        <w:r>
          <w:rPr>
            <w:rStyle w:val="a3"/>
            <w:rFonts w:ascii="Arial" w:eastAsia="Times New Roman" w:hAnsi="Arial" w:cs="Arial"/>
            <w:sz w:val="20"/>
            <w:szCs w:val="20"/>
          </w:rPr>
          <w:t xml:space="preserve">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1198853011"/>
        <w:rPr>
          <w:rFonts w:eastAsia="Times New Roman"/>
        </w:rPr>
      </w:pPr>
      <w:r>
        <w:rPr>
          <w:rFonts w:ascii="Arial" w:eastAsia="Times New Roman" w:hAnsi="Arial" w:cs="Arial"/>
          <w:color w:val="000000"/>
          <w:sz w:val="20"/>
          <w:szCs w:val="20"/>
        </w:rPr>
        <w:t>suppliers choose to increase their direct marketing to our customers to compete with us or provide less advantageous price and credit terms to us than to our other competitors.</w:t>
      </w:r>
    </w:p>
    <w:p w:rsidR="00000000" w:rsidRDefault="002223F7">
      <w:pPr>
        <w:divId w:val="129787033"/>
        <w:rPr>
          <w:rFonts w:eastAsia="Times New Roman"/>
        </w:rPr>
      </w:pPr>
      <w:r>
        <w:rPr>
          <w:rFonts w:ascii="Arial" w:eastAsia="Times New Roman" w:hAnsi="Arial" w:cs="Arial"/>
          <w:b/>
          <w:bCs/>
          <w:color w:val="000000"/>
          <w:sz w:val="20"/>
          <w:szCs w:val="20"/>
          <w:u w:val="single"/>
        </w:rPr>
        <w:t>Legal &amp;</w:t>
      </w:r>
      <w:r>
        <w:rPr>
          <w:rFonts w:ascii="Arial" w:eastAsia="Times New Roman" w:hAnsi="Arial" w:cs="Arial"/>
          <w:b/>
          <w:bCs/>
          <w:color w:val="000000"/>
          <w:sz w:val="20"/>
          <w:szCs w:val="20"/>
          <w:u w:val="single"/>
        </w:rPr>
        <w:t xml:space="preserve"> Regulatory Risks</w:t>
      </w:r>
    </w:p>
    <w:p w:rsidR="00000000" w:rsidRDefault="002223F7">
      <w:pPr>
        <w:divId w:val="1550805129"/>
        <w:rPr>
          <w:rFonts w:eastAsia="Times New Roman"/>
        </w:rPr>
      </w:pPr>
      <w:r>
        <w:rPr>
          <w:rFonts w:ascii="Arial" w:eastAsia="Times New Roman" w:hAnsi="Arial" w:cs="Arial"/>
          <w:b/>
          <w:bCs/>
          <w:color w:val="000000"/>
          <w:sz w:val="20"/>
          <w:szCs w:val="20"/>
        </w:rPr>
        <w:t xml:space="preserve">Climate change and the market and regulatory responses relating to GHG emissions could have a significant impact on our business operations and financial results. </w:t>
      </w:r>
    </w:p>
    <w:p w:rsidR="00000000" w:rsidRDefault="002223F7">
      <w:pPr>
        <w:jc w:val="both"/>
        <w:divId w:val="157574591"/>
        <w:rPr>
          <w:rFonts w:eastAsia="Times New Roman"/>
        </w:rPr>
      </w:pPr>
      <w:r>
        <w:rPr>
          <w:rFonts w:ascii="Arial" w:eastAsia="Times New Roman" w:hAnsi="Arial" w:cs="Arial"/>
          <w:color w:val="000000"/>
          <w:sz w:val="20"/>
          <w:szCs w:val="20"/>
        </w:rPr>
        <w:t>Climate change continues to attract considerable public and scientific att</w:t>
      </w:r>
      <w:r>
        <w:rPr>
          <w:rFonts w:ascii="Arial" w:eastAsia="Times New Roman" w:hAnsi="Arial" w:cs="Arial"/>
          <w:color w:val="000000"/>
          <w:sz w:val="20"/>
          <w:szCs w:val="20"/>
        </w:rPr>
        <w:t>ention in the U.S. and in foreign countries. As a result, numerous proposals have been adopted and will likely continue to be made at various levels of governments globally to monitor and limit GHG emissions, reduce the use of hydrocarbon-based fuels or re</w:t>
      </w:r>
      <w:r>
        <w:rPr>
          <w:rFonts w:ascii="Arial" w:eastAsia="Times New Roman" w:hAnsi="Arial" w:cs="Arial"/>
          <w:color w:val="000000"/>
          <w:sz w:val="20"/>
          <w:szCs w:val="20"/>
        </w:rPr>
        <w:t xml:space="preserve">quire substantial additional and costly disclosure relating to emissions. These include the adoption of cap -and -trade regimes, carbon taxes, trade tariffs, minimum renewable usage requirements, restrictive permitting, increased efficiency standards, and </w:t>
      </w:r>
      <w:r>
        <w:rPr>
          <w:rFonts w:ascii="Arial" w:eastAsia="Times New Roman" w:hAnsi="Arial" w:cs="Arial"/>
          <w:color w:val="000000"/>
          <w:sz w:val="20"/>
          <w:szCs w:val="20"/>
        </w:rPr>
        <w:t>incentives or mandates for renewable energy. In 2015, various countries adopted the Paris Agreement, which seeks to reduce GHG emissions and calls for nations to undertake efforts with respect to global temperatures and GHG emissions by submitting emission</w:t>
      </w:r>
      <w:r>
        <w:rPr>
          <w:rFonts w:ascii="Arial" w:eastAsia="Times New Roman" w:hAnsi="Arial" w:cs="Arial"/>
          <w:color w:val="000000"/>
          <w:sz w:val="20"/>
          <w:szCs w:val="20"/>
        </w:rPr>
        <w:t xml:space="preserve"> reduction goals every five years after 2020. </w:t>
      </w:r>
    </w:p>
    <w:p w:rsidR="00000000" w:rsidRDefault="002223F7">
      <w:pPr>
        <w:jc w:val="both"/>
        <w:divId w:val="1996837006"/>
        <w:rPr>
          <w:rFonts w:eastAsia="Times New Roman"/>
        </w:rPr>
      </w:pPr>
      <w:r>
        <w:rPr>
          <w:rFonts w:ascii="Arial" w:eastAsia="Times New Roman" w:hAnsi="Arial" w:cs="Arial"/>
          <w:color w:val="000000"/>
          <w:sz w:val="20"/>
          <w:szCs w:val="20"/>
        </w:rPr>
        <w:t>In the U.S., various federal, state and local laws and regulations have been enacted relating to GHG emissions. However, the direction of future U.S. climate change regulations is difficult to predict given th</w:t>
      </w:r>
      <w:r>
        <w:rPr>
          <w:rFonts w:ascii="Arial" w:eastAsia="Times New Roman" w:hAnsi="Arial" w:cs="Arial"/>
          <w:color w:val="000000"/>
          <w:sz w:val="20"/>
          <w:szCs w:val="20"/>
        </w:rPr>
        <w:t>e potential for policy changes under different Presidential administrations and Congressional leadership. President Biden has signed executive orders recommitting the U.S. to the Paris Agreement and calling for the federal government to begin formulating e</w:t>
      </w:r>
      <w:r>
        <w:rPr>
          <w:rFonts w:ascii="Arial" w:eastAsia="Times New Roman" w:hAnsi="Arial" w:cs="Arial"/>
          <w:color w:val="000000"/>
          <w:sz w:val="20"/>
          <w:szCs w:val="20"/>
        </w:rPr>
        <w:t xml:space="preserve">missions reduction goals and increasing the emphasis on climate-related risk across governmental agencies and economic sectors. </w:t>
      </w:r>
    </w:p>
    <w:p w:rsidR="00000000" w:rsidRDefault="002223F7">
      <w:pPr>
        <w:jc w:val="both"/>
        <w:divId w:val="1856535057"/>
        <w:rPr>
          <w:rFonts w:eastAsia="Times New Roman"/>
        </w:rPr>
      </w:pPr>
      <w:r>
        <w:rPr>
          <w:rFonts w:ascii="Arial" w:eastAsia="Times New Roman" w:hAnsi="Arial" w:cs="Arial"/>
          <w:color w:val="000000"/>
          <w:sz w:val="20"/>
          <w:szCs w:val="20"/>
        </w:rPr>
        <w:t>Additionally, in August 2022 the Inflation Reduction Act of 2022 was signed into law, which appropriates significant federal fu</w:t>
      </w:r>
      <w:r>
        <w:rPr>
          <w:rFonts w:ascii="Arial" w:eastAsia="Times New Roman" w:hAnsi="Arial" w:cs="Arial"/>
          <w:color w:val="000000"/>
          <w:sz w:val="20"/>
          <w:szCs w:val="20"/>
        </w:rPr>
        <w:t>nding for renewable energy initiatives and, for the first time, imposes a fee on GHG emissions from certain facilities in the oil and natural gas sector. The emissions fee and renewable and low carbon energy funding provisions of the law could accelerate t</w:t>
      </w:r>
      <w:r>
        <w:rPr>
          <w:rFonts w:ascii="Arial" w:eastAsia="Times New Roman" w:hAnsi="Arial" w:cs="Arial"/>
          <w:color w:val="000000"/>
          <w:sz w:val="20"/>
          <w:szCs w:val="20"/>
        </w:rPr>
        <w:t>he transition away from fossil fuels or otherwise adversely impact the use of petroleum-based motor fuels, which could in turn have an indirect adverse effect on our business and results of operations. Under the Biden Administration, it is anticipated that</w:t>
      </w:r>
      <w:r>
        <w:rPr>
          <w:rFonts w:ascii="Arial" w:eastAsia="Times New Roman" w:hAnsi="Arial" w:cs="Arial"/>
          <w:color w:val="000000"/>
          <w:sz w:val="20"/>
          <w:szCs w:val="20"/>
        </w:rPr>
        <w:t xml:space="preserve"> efforts by the EPA or other federal agencies to restrict GHG emissions will continue. It is unclear the extent to which any new environmental laws or regulations, or any repeal of existing environmental laws or regulations, will impact our business or tha</w:t>
      </w:r>
      <w:r>
        <w:rPr>
          <w:rFonts w:ascii="Arial" w:eastAsia="Times New Roman" w:hAnsi="Arial" w:cs="Arial"/>
          <w:color w:val="000000"/>
          <w:sz w:val="20"/>
          <w:szCs w:val="20"/>
        </w:rPr>
        <w:t>t of our customers.</w:t>
      </w:r>
    </w:p>
    <w:p w:rsidR="00000000" w:rsidRDefault="002223F7">
      <w:pPr>
        <w:jc w:val="both"/>
        <w:divId w:val="338969220"/>
        <w:rPr>
          <w:rFonts w:eastAsia="Times New Roman"/>
        </w:rPr>
      </w:pPr>
      <w:r>
        <w:rPr>
          <w:rFonts w:ascii="Arial" w:eastAsia="Times New Roman" w:hAnsi="Arial" w:cs="Arial"/>
          <w:color w:val="000000"/>
          <w:sz w:val="20"/>
          <w:szCs w:val="20"/>
        </w:rPr>
        <w:t>There have also been significant governmental incentives and consumer pressures to increase the use of alternative fuels in the U.S. and throughout the world. Automotive, industrial and power generation manufacturers are developing more</w:t>
      </w:r>
      <w:r>
        <w:rPr>
          <w:rFonts w:ascii="Arial" w:eastAsia="Times New Roman" w:hAnsi="Arial" w:cs="Arial"/>
          <w:color w:val="000000"/>
          <w:sz w:val="20"/>
          <w:szCs w:val="20"/>
        </w:rPr>
        <w:t xml:space="preserve"> fuel-efficient engines, hybrid engines and alternative clean power systems. Several automobile manufacturers have announced goals to substantially increase the proportion of their new vehicle sales from battery electric, fuel cell and plug-in hybrid vehic</w:t>
      </w:r>
      <w:r>
        <w:rPr>
          <w:rFonts w:ascii="Arial" w:eastAsia="Times New Roman" w:hAnsi="Arial" w:cs="Arial"/>
          <w:color w:val="000000"/>
          <w:sz w:val="20"/>
          <w:szCs w:val="20"/>
        </w:rPr>
        <w:t xml:space="preserve">les. Further, in August 2022, the California Air Resources Board finalized its Advanced Clean Cars II (ACC II) program, including requiring an increasing percentage of new passenger vehicles sold in the state to be zero emission vehicles for the 2026-2035 </w:t>
      </w:r>
      <w:r>
        <w:rPr>
          <w:rFonts w:ascii="Arial" w:eastAsia="Times New Roman" w:hAnsi="Arial" w:cs="Arial"/>
          <w:color w:val="000000"/>
          <w:sz w:val="20"/>
          <w:szCs w:val="20"/>
        </w:rPr>
        <w:t>model years, ending with a 100% sales target in the 2035 model year. Additional U.S. jurisdictions could adopt similar requirements. The more prevalent these vehicles become as a result of governmental incentives or regulations, technological advances, con</w:t>
      </w:r>
      <w:r>
        <w:rPr>
          <w:rFonts w:ascii="Arial" w:eastAsia="Times New Roman" w:hAnsi="Arial" w:cs="Arial"/>
          <w:color w:val="000000"/>
          <w:sz w:val="20"/>
          <w:szCs w:val="20"/>
        </w:rPr>
        <w:t xml:space="preserve">sumer demand, improved pricing or otherwise, the greater the potential negative impact on pricing and demand for our fuel products and accordingly, our profitability. </w:t>
      </w:r>
    </w:p>
    <w:p w:rsidR="00000000" w:rsidRDefault="002223F7">
      <w:pPr>
        <w:jc w:val="both"/>
        <w:divId w:val="1743016674"/>
        <w:rPr>
          <w:rFonts w:eastAsia="Times New Roman"/>
        </w:rPr>
      </w:pPr>
      <w:r>
        <w:rPr>
          <w:rFonts w:ascii="Arial" w:eastAsia="Times New Roman" w:hAnsi="Arial" w:cs="Arial"/>
          <w:color w:val="000000"/>
          <w:sz w:val="20"/>
          <w:szCs w:val="20"/>
        </w:rPr>
        <w:t>Additional changes in regulatory policies or any adverse publicity in the global marketp</w:t>
      </w:r>
      <w:r>
        <w:rPr>
          <w:rFonts w:ascii="Arial" w:eastAsia="Times New Roman" w:hAnsi="Arial" w:cs="Arial"/>
          <w:color w:val="000000"/>
          <w:sz w:val="20"/>
          <w:szCs w:val="20"/>
        </w:rPr>
        <w:t>lace about our potential impact on climate change or the impact of other companies in our industry could also lead to a reduction in the demand for products that are deemed to contribute to GHGs, harm our reputation and adversely impact our sales of fuel p</w:t>
      </w:r>
      <w:r>
        <w:rPr>
          <w:rFonts w:ascii="Arial" w:eastAsia="Times New Roman" w:hAnsi="Arial" w:cs="Arial"/>
          <w:color w:val="000000"/>
          <w:sz w:val="20"/>
          <w:szCs w:val="20"/>
        </w:rPr>
        <w:t>roducts. Finally, the potential physical impacts of climate change on our operations are highly uncertain and vary amongst the geographic areas in which we operate. These may include changes in rainfall and storm patterns and intensities, hurricanes, chang</w:t>
      </w:r>
      <w:r>
        <w:rPr>
          <w:rFonts w:ascii="Arial" w:eastAsia="Times New Roman" w:hAnsi="Arial" w:cs="Arial"/>
          <w:color w:val="000000"/>
          <w:sz w:val="20"/>
          <w:szCs w:val="20"/>
        </w:rPr>
        <w:t>ing sea levels, and changing temperatures that may impact the seasonality of our business, such as our heating oil business in the U.K. The occurrence of any of the foregoing factors could increase our costs and the prices we charge our customers, reduce t</w:t>
      </w:r>
      <w:r>
        <w:rPr>
          <w:rFonts w:ascii="Arial" w:eastAsia="Times New Roman" w:hAnsi="Arial" w:cs="Arial"/>
          <w:color w:val="000000"/>
          <w:sz w:val="20"/>
          <w:szCs w:val="20"/>
        </w:rPr>
        <w:t>he demand for our products, and therefore adversely affect our business, financial condition, results of operations and cash flows.</w:t>
      </w:r>
    </w:p>
    <w:p w:rsidR="00000000" w:rsidRDefault="002223F7">
      <w:pPr>
        <w:divId w:val="1357655394"/>
        <w:rPr>
          <w:rFonts w:eastAsia="Times New Roman"/>
        </w:rPr>
      </w:pPr>
      <w:r>
        <w:rPr>
          <w:rFonts w:ascii="Arial" w:eastAsia="Times New Roman" w:hAnsi="Arial" w:cs="Arial"/>
          <w:b/>
          <w:bCs/>
          <w:color w:val="000000"/>
          <w:sz w:val="20"/>
          <w:szCs w:val="20"/>
        </w:rPr>
        <w:t xml:space="preserve">Changes in U.S. or foreign tax laws or adverse outcomes from governmental challenges to our tax position could adversely affect our business and future operating results. </w:t>
      </w:r>
    </w:p>
    <w:p w:rsidR="00000000" w:rsidRDefault="002223F7">
      <w:pPr>
        <w:jc w:val="both"/>
        <w:divId w:val="731852927"/>
        <w:rPr>
          <w:rFonts w:eastAsia="Times New Roman"/>
        </w:rPr>
      </w:pPr>
      <w:r>
        <w:rPr>
          <w:rFonts w:ascii="Arial" w:eastAsia="Times New Roman" w:hAnsi="Arial" w:cs="Arial"/>
          <w:color w:val="000000"/>
          <w:sz w:val="20"/>
          <w:szCs w:val="20"/>
        </w:rPr>
        <w:t>As a global company, we are subject to various U.S. and foreign taxes, including inc</w:t>
      </w:r>
      <w:r>
        <w:rPr>
          <w:rFonts w:ascii="Arial" w:eastAsia="Times New Roman" w:hAnsi="Arial" w:cs="Arial"/>
          <w:color w:val="000000"/>
          <w:sz w:val="20"/>
          <w:szCs w:val="20"/>
        </w:rPr>
        <w:t>ome taxes and taxes imposed on the purchase and sale of aviation, marine and land fuel products, such as sales, excise, value-added tax ("VAT"), mineral oil, energy, environmental and other taxes. We are also subject to a variety of tax collection obligati</w:t>
      </w:r>
      <w:r>
        <w:rPr>
          <w:rFonts w:ascii="Arial" w:eastAsia="Times New Roman" w:hAnsi="Arial" w:cs="Arial"/>
          <w:color w:val="000000"/>
          <w:sz w:val="20"/>
          <w:szCs w:val="20"/>
        </w:rPr>
        <w:t xml:space="preserve">ons including obligations to withhold or collect these types of taxes or other taxes or other requirements that may result in liability for third party obligations. We may recognize additional tax expense and be subject to additional tax </w:t>
      </w:r>
    </w:p>
    <w:p w:rsidR="00000000" w:rsidRDefault="002223F7">
      <w:pPr>
        <w:jc w:val="center"/>
        <w:divId w:val="416482499"/>
        <w:rPr>
          <w:rFonts w:eastAsia="Times New Roman"/>
        </w:rPr>
      </w:pPr>
      <w:r>
        <w:rPr>
          <w:rFonts w:ascii="Arial" w:eastAsia="Times New Roman" w:hAnsi="Arial" w:cs="Arial"/>
          <w:color w:val="000000"/>
          <w:sz w:val="16"/>
          <w:szCs w:val="16"/>
        </w:rPr>
        <w:t>15</w:t>
      </w:r>
    </w:p>
    <w:p w:rsidR="00000000" w:rsidRDefault="002223F7">
      <w:pPr>
        <w:rPr>
          <w:rFonts w:eastAsia="Times New Roman"/>
        </w:rPr>
      </w:pPr>
      <w:r>
        <w:rPr>
          <w:rFonts w:eastAsia="Times New Roman"/>
        </w:rPr>
        <w:pict>
          <v:rect id="_x0000_i1045" style="width:0;height:1.5pt" o:hralign="center" o:hrstd="t" o:hr="t" fillcolor="#a0a0a0" stroked="f"/>
        </w:pict>
      </w:r>
    </w:p>
    <w:p w:rsidR="00000000" w:rsidRDefault="002223F7">
      <w:pPr>
        <w:jc w:val="both"/>
        <w:divId w:val="2060087969"/>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42679202"/>
        <w:rPr>
          <w:rFonts w:eastAsia="Times New Roman"/>
        </w:rPr>
      </w:pPr>
      <w:r>
        <w:rPr>
          <w:rFonts w:ascii="Arial" w:eastAsia="Times New Roman" w:hAnsi="Arial" w:cs="Arial"/>
          <w:color w:val="000000"/>
          <w:sz w:val="20"/>
          <w:szCs w:val="20"/>
        </w:rPr>
        <w:t>liabilities, including other liabilities for tax collection obligations due to changes in laws, regu</w:t>
      </w:r>
      <w:r>
        <w:rPr>
          <w:rFonts w:ascii="Arial" w:eastAsia="Times New Roman" w:hAnsi="Arial" w:cs="Arial"/>
          <w:color w:val="000000"/>
          <w:sz w:val="20"/>
          <w:szCs w:val="20"/>
        </w:rPr>
        <w:t>lations, administrative practices, and interpretations related to tax. Our results of operations and cash flows could be adversely affected by additional carbon or other taxes imposed on us prospectively or retroactively or additional taxes and penalties r</w:t>
      </w:r>
      <w:r>
        <w:rPr>
          <w:rFonts w:ascii="Arial" w:eastAsia="Times New Roman" w:hAnsi="Arial" w:cs="Arial"/>
          <w:color w:val="000000"/>
          <w:sz w:val="20"/>
          <w:szCs w:val="20"/>
        </w:rPr>
        <w:t>esulting from the failure to comply with any collection obligations or failure to provide information about our customers, suppliers, and other third parties for tax reporting purposes to various government agencies. In some cases, we also may not have suf</w:t>
      </w:r>
      <w:r>
        <w:rPr>
          <w:rFonts w:ascii="Arial" w:eastAsia="Times New Roman" w:hAnsi="Arial" w:cs="Arial"/>
          <w:color w:val="000000"/>
          <w:sz w:val="20"/>
          <w:szCs w:val="20"/>
        </w:rPr>
        <w:t>ficient notice to enable us to timely build systems and adopt sufficient processes to timely comply with new reporting or collection obligations.</w:t>
      </w:r>
    </w:p>
    <w:p w:rsidR="00000000" w:rsidRDefault="002223F7">
      <w:pPr>
        <w:jc w:val="both"/>
        <w:divId w:val="1019507396"/>
        <w:rPr>
          <w:rFonts w:eastAsia="Times New Roman"/>
        </w:rPr>
      </w:pPr>
      <w:r>
        <w:rPr>
          <w:rFonts w:ascii="Arial" w:eastAsia="Times New Roman" w:hAnsi="Arial" w:cs="Arial"/>
          <w:color w:val="000000"/>
          <w:sz w:val="20"/>
          <w:szCs w:val="20"/>
        </w:rPr>
        <w:t>Our operating results and cash flows can be adversely affected by changes in our tax expense and the effective</w:t>
      </w:r>
      <w:r>
        <w:rPr>
          <w:rFonts w:ascii="Arial" w:eastAsia="Times New Roman" w:hAnsi="Arial" w:cs="Arial"/>
          <w:color w:val="000000"/>
          <w:sz w:val="20"/>
          <w:szCs w:val="20"/>
        </w:rPr>
        <w:t xml:space="preserve"> tax rate because of a change in the mix of earnings in countries with differing statutory tax rates or our overall profitability, changes in tax legislation, our failure to comply with tax regulations or the applicability of special or extraterritorial ta</w:t>
      </w:r>
      <w:r>
        <w:rPr>
          <w:rFonts w:ascii="Arial" w:eastAsia="Times New Roman" w:hAnsi="Arial" w:cs="Arial"/>
          <w:color w:val="000000"/>
          <w:sz w:val="20"/>
          <w:szCs w:val="20"/>
        </w:rPr>
        <w:t>x regimes. Our effective tax rate is subject to significant variation due to numerous factors, including variability in our pre-tax and taxable income and loss and the mix of jurisdictions to which they relate, intercompany transactions, and the applicabil</w:t>
      </w:r>
      <w:r>
        <w:rPr>
          <w:rFonts w:ascii="Arial" w:eastAsia="Times New Roman" w:hAnsi="Arial" w:cs="Arial"/>
          <w:color w:val="000000"/>
          <w:sz w:val="20"/>
          <w:szCs w:val="20"/>
        </w:rPr>
        <w:t>ity of tax concessions. For example, we have benefited from an income tax concession in Singapore since 2008, which reduces the income tax rate on qualified sales and derivative gains and losses. We recently renewed the concession for an additional five-ye</w:t>
      </w:r>
      <w:r>
        <w:rPr>
          <w:rFonts w:ascii="Arial" w:eastAsia="Times New Roman" w:hAnsi="Arial" w:cs="Arial"/>
          <w:color w:val="000000"/>
          <w:sz w:val="20"/>
          <w:szCs w:val="20"/>
        </w:rPr>
        <w:t xml:space="preserve">ar period beginning January 1, 2023. The concession remains conditioned upon our meeting certain employment and investment thresholds which, if not met, may eliminate the benefit beginning with the first year in which the conditions are not satisfied. Our </w:t>
      </w:r>
      <w:r>
        <w:rPr>
          <w:rFonts w:ascii="Arial" w:eastAsia="Times New Roman" w:hAnsi="Arial" w:cs="Arial"/>
          <w:color w:val="000000"/>
          <w:sz w:val="20"/>
          <w:szCs w:val="20"/>
        </w:rPr>
        <w:t xml:space="preserve">effective tax rate can be more or less volatile based on the amount of pre-tax income or loss. For example, the impact of discrete items and non-deductible expenses on our effective tax rate is greater when our pre-tax income is lower. </w:t>
      </w:r>
    </w:p>
    <w:p w:rsidR="00000000" w:rsidRDefault="002223F7">
      <w:pPr>
        <w:jc w:val="both"/>
        <w:divId w:val="69237451"/>
        <w:rPr>
          <w:rFonts w:eastAsia="Times New Roman"/>
        </w:rPr>
      </w:pPr>
      <w:r>
        <w:rPr>
          <w:rFonts w:ascii="Arial" w:eastAsia="Times New Roman" w:hAnsi="Arial" w:cs="Arial"/>
          <w:color w:val="000000"/>
          <w:sz w:val="20"/>
          <w:szCs w:val="20"/>
        </w:rPr>
        <w:t>Furthermore, signif</w:t>
      </w:r>
      <w:r>
        <w:rPr>
          <w:rFonts w:ascii="Arial" w:eastAsia="Times New Roman" w:hAnsi="Arial" w:cs="Arial"/>
          <w:color w:val="000000"/>
          <w:sz w:val="20"/>
          <w:szCs w:val="20"/>
        </w:rPr>
        <w:t>icant judgment is required in determining our worldwide provision for income taxes and other tax liabilities. Our tax expense includes estimates of additional tax that may be incurred for tax exposures and reflects various estimates and assumptions, includ</w:t>
      </w:r>
      <w:r>
        <w:rPr>
          <w:rFonts w:ascii="Arial" w:eastAsia="Times New Roman" w:hAnsi="Arial" w:cs="Arial"/>
          <w:color w:val="000000"/>
          <w:sz w:val="20"/>
          <w:szCs w:val="20"/>
        </w:rPr>
        <w:t>ing assessments of future earnings that could affect the realizability of our net deferred tax assets.</w:t>
      </w:r>
    </w:p>
    <w:p w:rsidR="00000000" w:rsidRDefault="002223F7">
      <w:pPr>
        <w:jc w:val="both"/>
        <w:divId w:val="1665008460"/>
        <w:rPr>
          <w:rFonts w:eastAsia="Times New Roman"/>
        </w:rPr>
      </w:pPr>
      <w:r>
        <w:rPr>
          <w:rFonts w:ascii="Arial" w:eastAsia="Times New Roman" w:hAnsi="Arial" w:cs="Arial"/>
          <w:color w:val="000000"/>
          <w:sz w:val="20"/>
          <w:szCs w:val="20"/>
        </w:rPr>
        <w:t>Tax rates in the various jurisdictions in which we and our subsidiaries are organized and conduct operations may also change significantly because of pol</w:t>
      </w:r>
      <w:r>
        <w:rPr>
          <w:rFonts w:ascii="Arial" w:eastAsia="Times New Roman" w:hAnsi="Arial" w:cs="Arial"/>
          <w:color w:val="000000"/>
          <w:sz w:val="20"/>
          <w:szCs w:val="20"/>
        </w:rPr>
        <w:t>itical or economic factors beyond our control. Ongoing developments regarding the projects by the Organisation for Economic Co-operation and Development ("OECD") including global minimum tax and other initiatives, could adversely affect our worldwide effec</w:t>
      </w:r>
      <w:r>
        <w:rPr>
          <w:rFonts w:ascii="Arial" w:eastAsia="Times New Roman" w:hAnsi="Arial" w:cs="Arial"/>
          <w:color w:val="000000"/>
          <w:sz w:val="20"/>
          <w:szCs w:val="20"/>
        </w:rPr>
        <w:t xml:space="preserve">tive tax rate. Countries including the U.K. have begun the process to introduce the OECD model rules on a global minimum tax and other OECD initiatives into their tax regimes; South Korea enacted minimum tax rules that will be effective for our 2024 year. </w:t>
      </w:r>
      <w:r>
        <w:rPr>
          <w:rFonts w:ascii="Arial" w:eastAsia="Times New Roman" w:hAnsi="Arial" w:cs="Arial"/>
          <w:color w:val="000000"/>
          <w:sz w:val="20"/>
          <w:szCs w:val="20"/>
        </w:rPr>
        <w:t>The extent to which countries in which we operate adopt and implement these rules and actions could have a material adverse impact on our income tax expense, effective tax rate, financial condition, and results of operations and cash flows. We are continui</w:t>
      </w:r>
      <w:r>
        <w:rPr>
          <w:rFonts w:ascii="Arial" w:eastAsia="Times New Roman" w:hAnsi="Arial" w:cs="Arial"/>
          <w:color w:val="000000"/>
          <w:sz w:val="20"/>
          <w:szCs w:val="20"/>
        </w:rPr>
        <w:t>ng to review and evaluate the potential impact of these rules as additional guidance and clarification becomes available.</w:t>
      </w:r>
    </w:p>
    <w:p w:rsidR="00000000" w:rsidRDefault="002223F7">
      <w:pPr>
        <w:jc w:val="both"/>
        <w:divId w:val="1986203983"/>
        <w:rPr>
          <w:rFonts w:eastAsia="Times New Roman"/>
        </w:rPr>
      </w:pPr>
      <w:r>
        <w:rPr>
          <w:rFonts w:ascii="Arial" w:eastAsia="Times New Roman" w:hAnsi="Arial" w:cs="Arial"/>
          <w:color w:val="000000"/>
          <w:sz w:val="20"/>
          <w:szCs w:val="20"/>
        </w:rPr>
        <w:t>We are regularly audited by various domestic and foreign tax authorities and are involved in various inquiries, audits, challenges and</w:t>
      </w:r>
      <w:r>
        <w:rPr>
          <w:rFonts w:ascii="Arial" w:eastAsia="Times New Roman" w:hAnsi="Arial" w:cs="Arial"/>
          <w:color w:val="000000"/>
          <w:sz w:val="20"/>
          <w:szCs w:val="20"/>
        </w:rPr>
        <w:t xml:space="preserve"> litigation in a number of countries, including Brazil, Denmark, South Korea, and the U.S., where the amounts under controversy may be material. We are in the process of addressing and responding to inquiries in various jurisdictions and challenging a numb</w:t>
      </w:r>
      <w:r>
        <w:rPr>
          <w:rFonts w:ascii="Arial" w:eastAsia="Times New Roman" w:hAnsi="Arial" w:cs="Arial"/>
          <w:color w:val="000000"/>
          <w:sz w:val="20"/>
          <w:szCs w:val="20"/>
        </w:rPr>
        <w:t>er of tax assessments in several administrative and legal proceedings, each of which is at various stages in the process. In some jurisdictions, these challenges require the posting of collateral or payment of the contested amount, which may affect our fle</w:t>
      </w:r>
      <w:r>
        <w:rPr>
          <w:rFonts w:ascii="Arial" w:eastAsia="Times New Roman" w:hAnsi="Arial" w:cs="Arial"/>
          <w:color w:val="000000"/>
          <w:sz w:val="20"/>
          <w:szCs w:val="20"/>
        </w:rPr>
        <w:t>xibility in operating our business or our liquidity.</w:t>
      </w:r>
    </w:p>
    <w:p w:rsidR="00000000" w:rsidRDefault="002223F7">
      <w:pPr>
        <w:jc w:val="both"/>
        <w:divId w:val="563374746"/>
        <w:rPr>
          <w:rFonts w:eastAsia="Times New Roman"/>
        </w:rPr>
      </w:pPr>
      <w:r>
        <w:rPr>
          <w:rFonts w:ascii="Arial" w:eastAsia="Times New Roman" w:hAnsi="Arial" w:cs="Arial"/>
          <w:color w:val="000000"/>
          <w:sz w:val="20"/>
          <w:szCs w:val="20"/>
        </w:rPr>
        <w:t>Although we believe our tax estimates are reasonable, the final determination of tax audits and any related litigation could be materially different than what is reflected in our income tax provisions an</w:t>
      </w:r>
      <w:r>
        <w:rPr>
          <w:rFonts w:ascii="Arial" w:eastAsia="Times New Roman" w:hAnsi="Arial" w:cs="Arial"/>
          <w:color w:val="000000"/>
          <w:sz w:val="20"/>
          <w:szCs w:val="20"/>
        </w:rPr>
        <w:t>d accruals. If these challenges are ultimately determined unfavorably to us, these proceedings may have a material adverse effect on our business, financial condition, results of operations and cash flows. Furthermore, any failure to comply with applicable</w:t>
      </w:r>
      <w:r>
        <w:rPr>
          <w:rFonts w:ascii="Arial" w:eastAsia="Times New Roman" w:hAnsi="Arial" w:cs="Arial"/>
          <w:color w:val="000000"/>
          <w:sz w:val="20"/>
          <w:szCs w:val="20"/>
        </w:rPr>
        <w:t xml:space="preserve"> laws and regulations or appropriately resolve these challenges could subject us to administrative, civil or criminal penalties, including fines, penalties, disgorgement, injunctions and damage to our reputation. See Notes 10. Income Taxes and 11. Commitme</w:t>
      </w:r>
      <w:r>
        <w:rPr>
          <w:rFonts w:ascii="Arial" w:eastAsia="Times New Roman" w:hAnsi="Arial" w:cs="Arial"/>
          <w:color w:val="000000"/>
          <w:sz w:val="20"/>
          <w:szCs w:val="20"/>
        </w:rPr>
        <w:t>nts and Contingencies for additional details regarding certain tax matters.</w:t>
      </w:r>
    </w:p>
    <w:p w:rsidR="00000000" w:rsidRDefault="002223F7">
      <w:pPr>
        <w:divId w:val="717247864"/>
        <w:rPr>
          <w:rFonts w:eastAsia="Times New Roman"/>
        </w:rPr>
      </w:pPr>
      <w:r>
        <w:rPr>
          <w:rFonts w:ascii="Arial" w:eastAsia="Times New Roman" w:hAnsi="Arial" w:cs="Arial"/>
          <w:b/>
          <w:bCs/>
          <w:color w:val="000000"/>
          <w:sz w:val="20"/>
          <w:szCs w:val="20"/>
        </w:rPr>
        <w:t>Increasing attention to environmental, social and governance issues, including those related to climate change and sustainability, may increase our costs and impose difficult and e</w:t>
      </w:r>
      <w:r>
        <w:rPr>
          <w:rFonts w:ascii="Arial" w:eastAsia="Times New Roman" w:hAnsi="Arial" w:cs="Arial"/>
          <w:b/>
          <w:bCs/>
          <w:color w:val="000000"/>
          <w:sz w:val="20"/>
          <w:szCs w:val="20"/>
        </w:rPr>
        <w:t xml:space="preserve">xpensive compliance requirements. </w:t>
      </w:r>
    </w:p>
    <w:p w:rsidR="00000000" w:rsidRDefault="002223F7">
      <w:pPr>
        <w:jc w:val="both"/>
        <w:divId w:val="149255154"/>
        <w:rPr>
          <w:rFonts w:eastAsia="Times New Roman"/>
        </w:rPr>
      </w:pPr>
      <w:r>
        <w:rPr>
          <w:rFonts w:ascii="Arial" w:eastAsia="Times New Roman" w:hAnsi="Arial" w:cs="Arial"/>
          <w:color w:val="000000"/>
          <w:sz w:val="20"/>
          <w:szCs w:val="20"/>
        </w:rPr>
        <w:t>Customers, consumers, investors, and other stakeholders are increasingly focusing on environmental, social and governance (“ESG”) matters, including climate, water use and other sustainability concerns. Furthermore, numer</w:t>
      </w:r>
      <w:r>
        <w:rPr>
          <w:rFonts w:ascii="Arial" w:eastAsia="Times New Roman" w:hAnsi="Arial" w:cs="Arial"/>
          <w:color w:val="000000"/>
          <w:sz w:val="20"/>
          <w:szCs w:val="20"/>
        </w:rPr>
        <w:t>ous institutional investors and financial institutions have indicated a focus on matters affecting the environment, which may result in reduced investments in, or financing available to, industries that emit GHG emissions. Many of these groups believe that</w:t>
      </w:r>
      <w:r>
        <w:rPr>
          <w:rFonts w:ascii="Arial" w:eastAsia="Times New Roman" w:hAnsi="Arial" w:cs="Arial"/>
          <w:color w:val="000000"/>
          <w:sz w:val="20"/>
          <w:szCs w:val="20"/>
        </w:rPr>
        <w:t xml:space="preserve"> climate change will significantly influence companies' long-term prospects and have developed ESG standards and guidelines to measure companies' performance. </w:t>
      </w:r>
    </w:p>
    <w:p w:rsidR="00000000" w:rsidRDefault="002223F7">
      <w:pPr>
        <w:jc w:val="center"/>
        <w:divId w:val="759985065"/>
        <w:rPr>
          <w:rFonts w:eastAsia="Times New Roman"/>
        </w:rPr>
      </w:pPr>
      <w:r>
        <w:rPr>
          <w:rFonts w:ascii="Arial" w:eastAsia="Times New Roman" w:hAnsi="Arial" w:cs="Arial"/>
          <w:color w:val="000000"/>
          <w:sz w:val="16"/>
          <w:szCs w:val="16"/>
        </w:rPr>
        <w:t>16</w:t>
      </w:r>
    </w:p>
    <w:p w:rsidR="00000000" w:rsidRDefault="002223F7">
      <w:pPr>
        <w:rPr>
          <w:rFonts w:eastAsia="Times New Roman"/>
        </w:rPr>
      </w:pPr>
      <w:r>
        <w:rPr>
          <w:rFonts w:eastAsia="Times New Roman"/>
        </w:rPr>
        <w:pict>
          <v:rect id="_x0000_i1046" style="width:0;height:1.5pt" o:hralign="center" o:hrstd="t" o:hr="t" fillcolor="#a0a0a0" stroked="f"/>
        </w:pict>
      </w:r>
    </w:p>
    <w:p w:rsidR="00000000" w:rsidRDefault="002223F7">
      <w:pPr>
        <w:jc w:val="both"/>
        <w:divId w:val="1945073767"/>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2115199284"/>
        <w:rPr>
          <w:rFonts w:eastAsia="Times New Roman"/>
        </w:rPr>
      </w:pPr>
      <w:r>
        <w:rPr>
          <w:rFonts w:ascii="Arial" w:eastAsia="Times New Roman" w:hAnsi="Arial" w:cs="Arial"/>
          <w:color w:val="000000"/>
          <w:sz w:val="20"/>
          <w:szCs w:val="20"/>
        </w:rPr>
        <w:t xml:space="preserve">We, along with many of our customers and suppliers, are seeking to reduce carbon emissions throughout our supply chains. The achievement of initiatives we may undertake relating to the reduction of GHG emissions or other ESG matters, however, may increase </w:t>
      </w:r>
      <w:r>
        <w:rPr>
          <w:rFonts w:ascii="Arial" w:eastAsia="Times New Roman" w:hAnsi="Arial" w:cs="Arial"/>
          <w:color w:val="000000"/>
          <w:sz w:val="20"/>
          <w:szCs w:val="20"/>
        </w:rPr>
        <w:t>our costs, particularly if they require significant changes to our operations, infrastructure or businesses. If our ESG initiatives fail to satisfy our investors, customers, suppliers, or other stakeholders, our reputation, ability to sell products and ser</w:t>
      </w:r>
      <w:r>
        <w:rPr>
          <w:rFonts w:ascii="Arial" w:eastAsia="Times New Roman" w:hAnsi="Arial" w:cs="Arial"/>
          <w:color w:val="000000"/>
          <w:sz w:val="20"/>
          <w:szCs w:val="20"/>
        </w:rPr>
        <w:t>vices to customers, our ability to attract or retain employees, and our attractiveness as an investment or business partner could be negatively impacted.</w:t>
      </w:r>
    </w:p>
    <w:p w:rsidR="00000000" w:rsidRDefault="002223F7">
      <w:pPr>
        <w:jc w:val="both"/>
        <w:divId w:val="825895223"/>
        <w:rPr>
          <w:rFonts w:eastAsia="Times New Roman"/>
        </w:rPr>
      </w:pPr>
      <w:r>
        <w:rPr>
          <w:rFonts w:ascii="Arial" w:eastAsia="Times New Roman" w:hAnsi="Arial" w:cs="Arial"/>
          <w:color w:val="000000"/>
          <w:sz w:val="20"/>
          <w:szCs w:val="20"/>
        </w:rPr>
        <w:t>In addition, various governmental authorities, as well as voluntary sustainability initiatives and org</w:t>
      </w:r>
      <w:r>
        <w:rPr>
          <w:rFonts w:ascii="Arial" w:eastAsia="Times New Roman" w:hAnsi="Arial" w:cs="Arial"/>
          <w:color w:val="000000"/>
          <w:sz w:val="20"/>
          <w:szCs w:val="20"/>
        </w:rPr>
        <w:t>anizations, have promulgated different environmental and social responsibility laws, regulations, policies, and initiatives, which are under active development, can be unpredictable and conflicting, and may change rapidly in future periods. Unfavorable rat</w:t>
      </w:r>
      <w:r>
        <w:rPr>
          <w:rFonts w:ascii="Arial" w:eastAsia="Times New Roman" w:hAnsi="Arial" w:cs="Arial"/>
          <w:color w:val="000000"/>
          <w:sz w:val="20"/>
          <w:szCs w:val="20"/>
        </w:rPr>
        <w:t xml:space="preserve">ings under these evolving standards or benchmarks could adversely impact our reputation, business, stock price or access to capital. Non-compliance with any applicable laws, regulations or standards may also result in potential cost increases, litigation, </w:t>
      </w:r>
      <w:r>
        <w:rPr>
          <w:rFonts w:ascii="Arial" w:eastAsia="Times New Roman" w:hAnsi="Arial" w:cs="Arial"/>
          <w:color w:val="000000"/>
          <w:sz w:val="20"/>
          <w:szCs w:val="20"/>
        </w:rPr>
        <w:t>fines, penalties, sales restrictions or loss of customers.</w:t>
      </w:r>
    </w:p>
    <w:p w:rsidR="00000000" w:rsidRDefault="002223F7">
      <w:pPr>
        <w:divId w:val="830868989"/>
        <w:rPr>
          <w:rFonts w:eastAsia="Times New Roman"/>
        </w:rPr>
      </w:pPr>
      <w:r>
        <w:rPr>
          <w:rFonts w:ascii="Arial" w:eastAsia="Times New Roman" w:hAnsi="Arial" w:cs="Arial"/>
          <w:b/>
          <w:bCs/>
          <w:color w:val="000000"/>
          <w:sz w:val="20"/>
          <w:szCs w:val="20"/>
        </w:rPr>
        <w:t>Our business is subject to extensive laws and regulations, including environmental protection, health and safety, that can result in material costs and liabilities.</w:t>
      </w:r>
    </w:p>
    <w:p w:rsidR="00000000" w:rsidRDefault="002223F7">
      <w:pPr>
        <w:jc w:val="both"/>
        <w:divId w:val="1022366082"/>
        <w:rPr>
          <w:rFonts w:eastAsia="Times New Roman"/>
        </w:rPr>
      </w:pPr>
      <w:r>
        <w:rPr>
          <w:rFonts w:ascii="Arial" w:eastAsia="Times New Roman" w:hAnsi="Arial" w:cs="Arial"/>
          <w:color w:val="000000"/>
          <w:sz w:val="20"/>
          <w:szCs w:val="20"/>
        </w:rPr>
        <w:t>We are required to comply with e</w:t>
      </w:r>
      <w:r>
        <w:rPr>
          <w:rFonts w:ascii="Arial" w:eastAsia="Times New Roman" w:hAnsi="Arial" w:cs="Arial"/>
          <w:color w:val="000000"/>
          <w:sz w:val="20"/>
          <w:szCs w:val="20"/>
        </w:rPr>
        <w:t>xtensive and complex laws and other regulations at the international, federal, state/provincial and local government levels in the countries in which we operate. See Part I. Item 1. – Business for additional information about laws and regulations applicabl</w:t>
      </w:r>
      <w:r>
        <w:rPr>
          <w:rFonts w:ascii="Arial" w:eastAsia="Times New Roman" w:hAnsi="Arial" w:cs="Arial"/>
          <w:color w:val="000000"/>
          <w:sz w:val="20"/>
          <w:szCs w:val="20"/>
        </w:rPr>
        <w:t>e to our business. Laws and regulations relating to environmental protection and occupational safety and health, can be particularly complex and can impose strict liability on us for remediation of spills and releases of oil and hazardous substances withou</w:t>
      </w:r>
      <w:r>
        <w:rPr>
          <w:rFonts w:ascii="Arial" w:eastAsia="Times New Roman" w:hAnsi="Arial" w:cs="Arial"/>
          <w:color w:val="000000"/>
          <w:sz w:val="20"/>
          <w:szCs w:val="20"/>
        </w:rPr>
        <w:t>t regard to whether we were negligent or at fault. Violations of these laws and regulations, or any future environmental law or regulation, could result in significant liability, including administrative, civil or criminal penalties, fines, injunctions, or</w:t>
      </w:r>
      <w:r>
        <w:rPr>
          <w:rFonts w:ascii="Arial" w:eastAsia="Times New Roman" w:hAnsi="Arial" w:cs="Arial"/>
          <w:color w:val="000000"/>
          <w:sz w:val="20"/>
          <w:szCs w:val="20"/>
        </w:rPr>
        <w:t xml:space="preserve"> the suspension or termination of our operations at an affected area. We may also be held responsible for remediation costs for natural resource damages as well as third-party damages. In our marine segment, we utilize fuel delivery barges and store refine</w:t>
      </w:r>
      <w:r>
        <w:rPr>
          <w:rFonts w:ascii="Arial" w:eastAsia="Times New Roman" w:hAnsi="Arial" w:cs="Arial"/>
          <w:color w:val="000000"/>
          <w:sz w:val="20"/>
          <w:szCs w:val="20"/>
        </w:rPr>
        <w:t xml:space="preserve">d products adjacent to water, thereby potentially subjecting us to strict, joint, and potentially unlimited liability for removal costs and other consequences of where a spill is into navigable waters, along shorelines or in the exclusive economic zone of </w:t>
      </w:r>
      <w:r>
        <w:rPr>
          <w:rFonts w:ascii="Arial" w:eastAsia="Times New Roman" w:hAnsi="Arial" w:cs="Arial"/>
          <w:color w:val="000000"/>
          <w:sz w:val="20"/>
          <w:szCs w:val="20"/>
        </w:rPr>
        <w:t>the U.S. Any of these occurrences and any resulting negative media coverage could have a material adverse effect on our stock price and on our business, financial condition, results of operations and cash flows.</w:t>
      </w:r>
    </w:p>
    <w:p w:rsidR="00000000" w:rsidRDefault="002223F7">
      <w:pPr>
        <w:jc w:val="both"/>
        <w:divId w:val="978730594"/>
        <w:rPr>
          <w:rFonts w:eastAsia="Times New Roman"/>
        </w:rPr>
      </w:pPr>
      <w:r>
        <w:rPr>
          <w:rFonts w:ascii="Arial" w:eastAsia="Times New Roman" w:hAnsi="Arial" w:cs="Arial"/>
          <w:color w:val="000000"/>
          <w:sz w:val="20"/>
          <w:szCs w:val="20"/>
        </w:rPr>
        <w:t>In addition, increasingly stringent U.S. and</w:t>
      </w:r>
      <w:r>
        <w:rPr>
          <w:rFonts w:ascii="Arial" w:eastAsia="Times New Roman" w:hAnsi="Arial" w:cs="Arial"/>
          <w:color w:val="000000"/>
          <w:sz w:val="20"/>
          <w:szCs w:val="20"/>
        </w:rPr>
        <w:t xml:space="preserve"> foreign environmental laws and regulations have resulted and will likely continue to increase our operating costs. For example, compliance with existing and future laws that regulate the delivery of fuel by barge, truck, vessel, pipeline or railcar; or fu</w:t>
      </w:r>
      <w:r>
        <w:rPr>
          <w:rFonts w:ascii="Arial" w:eastAsia="Times New Roman" w:hAnsi="Arial" w:cs="Arial"/>
          <w:color w:val="000000"/>
          <w:sz w:val="20"/>
          <w:szCs w:val="20"/>
        </w:rPr>
        <w:t>el storage terminals or underground storage tanks that we own, lease or operate may require significant capital expenditures and increased operating and maintenance costs, particularly as we acquire businesses with more physical assets. In addition, contin</w:t>
      </w:r>
      <w:r>
        <w:rPr>
          <w:rFonts w:ascii="Arial" w:eastAsia="Times New Roman" w:hAnsi="Arial" w:cs="Arial"/>
          <w:color w:val="000000"/>
          <w:sz w:val="20"/>
          <w:szCs w:val="20"/>
        </w:rPr>
        <w:t>uing changes in environmental laws and regulations may also require capital expenditures by our customers or otherwise increase our customers' operating costs, which could in turn, reduce the demand for our products and services or impact the pricing or av</w:t>
      </w:r>
      <w:r>
        <w:rPr>
          <w:rFonts w:ascii="Arial" w:eastAsia="Times New Roman" w:hAnsi="Arial" w:cs="Arial"/>
          <w:color w:val="000000"/>
          <w:sz w:val="20"/>
          <w:szCs w:val="20"/>
        </w:rPr>
        <w:t>ailability of the products we sell. Although the ultimate impact of any regulations is difficult to predict accurately, the occurrence of any of the foregoing could have an adverse effect on our business or on the businesses of our customers.</w:t>
      </w:r>
    </w:p>
    <w:p w:rsidR="00000000" w:rsidRDefault="002223F7">
      <w:pPr>
        <w:divId w:val="1573470599"/>
        <w:rPr>
          <w:rFonts w:eastAsia="Times New Roman"/>
        </w:rPr>
      </w:pPr>
      <w:r>
        <w:rPr>
          <w:rFonts w:ascii="Arial" w:eastAsia="Times New Roman" w:hAnsi="Arial" w:cs="Arial"/>
          <w:b/>
          <w:bCs/>
          <w:color w:val="000000"/>
          <w:sz w:val="20"/>
          <w:szCs w:val="20"/>
        </w:rPr>
        <w:t>The data that</w:t>
      </w:r>
      <w:r>
        <w:rPr>
          <w:rFonts w:ascii="Arial" w:eastAsia="Times New Roman" w:hAnsi="Arial" w:cs="Arial"/>
          <w:b/>
          <w:bCs/>
          <w:color w:val="000000"/>
          <w:sz w:val="20"/>
          <w:szCs w:val="20"/>
        </w:rPr>
        <w:t xml:space="preserve"> we collect may be vulnerable to breach, loss or misuse, and our handling of such data may be impacted by changes in data privacy and protection laws and regulations, which could increase operational costs or result in regulatory penalties or litigation.</w:t>
      </w:r>
    </w:p>
    <w:p w:rsidR="00000000" w:rsidRDefault="002223F7">
      <w:pPr>
        <w:jc w:val="both"/>
        <w:divId w:val="1774281858"/>
        <w:rPr>
          <w:rFonts w:eastAsia="Times New Roman"/>
        </w:rPr>
      </w:pPr>
      <w:r>
        <w:rPr>
          <w:rFonts w:ascii="Arial" w:eastAsia="Times New Roman" w:hAnsi="Arial" w:cs="Arial"/>
          <w:color w:val="000000"/>
          <w:sz w:val="20"/>
          <w:szCs w:val="20"/>
        </w:rPr>
        <w:t>I</w:t>
      </w:r>
      <w:r>
        <w:rPr>
          <w:rFonts w:ascii="Arial" w:eastAsia="Times New Roman" w:hAnsi="Arial" w:cs="Arial"/>
          <w:color w:val="000000"/>
          <w:sz w:val="20"/>
          <w:szCs w:val="20"/>
        </w:rPr>
        <w:t>n connection with various businesses we operate, we have access to sensitive, confidential or personal data from our employees, customers (both corporate and individual consumers), suppliers and other third parties, some of which may be subject to privacy,</w:t>
      </w:r>
      <w:r>
        <w:rPr>
          <w:rFonts w:ascii="Arial" w:eastAsia="Times New Roman" w:hAnsi="Arial" w:cs="Arial"/>
          <w:color w:val="000000"/>
          <w:sz w:val="20"/>
          <w:szCs w:val="20"/>
        </w:rPr>
        <w:t xml:space="preserve"> security or residency laws, regulations and customer-imposed controls. In the ordinary course of business, we collect, retain, process, and transmit such data across national boundaries. Despite our efforts to properly handle and protect this information </w:t>
      </w:r>
      <w:r>
        <w:rPr>
          <w:rFonts w:ascii="Arial" w:eastAsia="Times New Roman" w:hAnsi="Arial" w:cs="Arial"/>
          <w:color w:val="000000"/>
          <w:sz w:val="20"/>
          <w:szCs w:val="20"/>
        </w:rPr>
        <w:t>in compliance with such requirements, our facilities and systems and those of our third-party service providers may be vulnerable to security breaches, theft, misplaced or lost data, and programming, procedural or human errors that could potentially lead t</w:t>
      </w:r>
      <w:r>
        <w:rPr>
          <w:rFonts w:ascii="Arial" w:eastAsia="Times New Roman" w:hAnsi="Arial" w:cs="Arial"/>
          <w:color w:val="000000"/>
          <w:sz w:val="20"/>
          <w:szCs w:val="20"/>
        </w:rPr>
        <w:t>o such information being compromised or handled improperly.</w:t>
      </w:r>
    </w:p>
    <w:p w:rsidR="00000000" w:rsidRDefault="002223F7">
      <w:pPr>
        <w:jc w:val="both"/>
        <w:divId w:val="2061436782"/>
        <w:rPr>
          <w:rFonts w:eastAsia="Times New Roman"/>
        </w:rPr>
      </w:pPr>
      <w:r>
        <w:rPr>
          <w:rFonts w:ascii="Arial" w:eastAsia="Times New Roman" w:hAnsi="Arial" w:cs="Arial"/>
          <w:color w:val="000000"/>
          <w:sz w:val="20"/>
          <w:szCs w:val="20"/>
        </w:rPr>
        <w:t>There has been increased public attention regarding the use of personal data and security of data transfers, accompanied by legislation and regulations intended to strengthen data protection, info</w:t>
      </w:r>
      <w:r>
        <w:rPr>
          <w:rFonts w:ascii="Arial" w:eastAsia="Times New Roman" w:hAnsi="Arial" w:cs="Arial"/>
          <w:color w:val="000000"/>
          <w:sz w:val="20"/>
          <w:szCs w:val="20"/>
        </w:rPr>
        <w:t>rmation security and consumer and personal privacy. The evolving nature of privacy laws in the U.S., the European Union ("E.U."), Australia, Brazil and other countries where we have operations and customers, could impact our processing of this data, includ</w:t>
      </w:r>
      <w:r>
        <w:rPr>
          <w:rFonts w:ascii="Arial" w:eastAsia="Times New Roman" w:hAnsi="Arial" w:cs="Arial"/>
          <w:color w:val="000000"/>
          <w:sz w:val="20"/>
          <w:szCs w:val="20"/>
        </w:rPr>
        <w:t>ing requiring us to make costly changes to our IT systems to properly handle such data. For example, the E.U.'s General Data Protection Regulation imposes strict rules on handling personal data related to the E.U. and imposes significant sanctions for viol</w:t>
      </w:r>
      <w:r>
        <w:rPr>
          <w:rFonts w:ascii="Arial" w:eastAsia="Times New Roman" w:hAnsi="Arial" w:cs="Arial"/>
          <w:color w:val="000000"/>
          <w:sz w:val="20"/>
          <w:szCs w:val="20"/>
        </w:rPr>
        <w:t xml:space="preserve">ations. We have substantial operations in the E.U. and are therefore subject to </w:t>
      </w:r>
    </w:p>
    <w:p w:rsidR="00000000" w:rsidRDefault="002223F7">
      <w:pPr>
        <w:jc w:val="center"/>
        <w:divId w:val="379939134"/>
        <w:rPr>
          <w:rFonts w:eastAsia="Times New Roman"/>
        </w:rPr>
      </w:pPr>
      <w:r>
        <w:rPr>
          <w:rFonts w:ascii="Arial" w:eastAsia="Times New Roman" w:hAnsi="Arial" w:cs="Arial"/>
          <w:color w:val="000000"/>
          <w:sz w:val="16"/>
          <w:szCs w:val="16"/>
        </w:rPr>
        <w:t>17</w:t>
      </w:r>
    </w:p>
    <w:p w:rsidR="00000000" w:rsidRDefault="002223F7">
      <w:pPr>
        <w:rPr>
          <w:rFonts w:eastAsia="Times New Roman"/>
        </w:rPr>
      </w:pPr>
      <w:r>
        <w:rPr>
          <w:rFonts w:eastAsia="Times New Roman"/>
        </w:rPr>
        <w:pict>
          <v:rect id="_x0000_i1047" style="width:0;height:1.5pt" o:hralign="center" o:hrstd="t" o:hr="t" fillcolor="#a0a0a0" stroked="f"/>
        </w:pict>
      </w:r>
    </w:p>
    <w:p w:rsidR="00000000" w:rsidRDefault="002223F7">
      <w:pPr>
        <w:jc w:val="both"/>
        <w:divId w:val="464546209"/>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1409229561"/>
        <w:rPr>
          <w:rFonts w:eastAsia="Times New Roman"/>
        </w:rPr>
      </w:pPr>
      <w:r>
        <w:rPr>
          <w:rFonts w:ascii="Arial" w:eastAsia="Times New Roman" w:hAnsi="Arial" w:cs="Arial"/>
          <w:color w:val="000000"/>
          <w:sz w:val="20"/>
          <w:szCs w:val="20"/>
        </w:rPr>
        <w:t>th</w:t>
      </w:r>
      <w:r>
        <w:rPr>
          <w:rFonts w:ascii="Arial" w:eastAsia="Times New Roman" w:hAnsi="Arial" w:cs="Arial"/>
          <w:color w:val="000000"/>
          <w:sz w:val="20"/>
          <w:szCs w:val="20"/>
        </w:rPr>
        <w:t>ese heightened standards. Similarly, the California Consumer Privacy Act, grants certain rights to California residents with respect to their personal data and requires that companies take or refrain from taking certain actions. As the interpretation and e</w:t>
      </w:r>
      <w:r>
        <w:rPr>
          <w:rFonts w:ascii="Arial" w:eastAsia="Times New Roman" w:hAnsi="Arial" w:cs="Arial"/>
          <w:color w:val="000000"/>
          <w:sz w:val="20"/>
          <w:szCs w:val="20"/>
        </w:rPr>
        <w:t>nforcement of these and other future data privacy, security or residency laws, regulations and industry standards evolve, it may create a range of new compliance obligations, which could cause us to change our business practices, with the possibility for s</w:t>
      </w:r>
      <w:r>
        <w:rPr>
          <w:rFonts w:ascii="Arial" w:eastAsia="Times New Roman" w:hAnsi="Arial" w:cs="Arial"/>
          <w:color w:val="000000"/>
          <w:sz w:val="20"/>
          <w:szCs w:val="20"/>
        </w:rPr>
        <w:t xml:space="preserve">ignificant financial penalties for noncompliance that could have an adverse effect on our financial condition and results of operations. </w:t>
      </w:r>
    </w:p>
    <w:p w:rsidR="00000000" w:rsidRDefault="002223F7">
      <w:pPr>
        <w:jc w:val="both"/>
        <w:divId w:val="1143307522"/>
        <w:rPr>
          <w:rFonts w:eastAsia="Times New Roman"/>
        </w:rPr>
      </w:pPr>
      <w:r>
        <w:rPr>
          <w:rFonts w:ascii="Arial" w:eastAsia="Times New Roman" w:hAnsi="Arial" w:cs="Arial"/>
          <w:color w:val="000000"/>
          <w:sz w:val="20"/>
          <w:szCs w:val="20"/>
        </w:rPr>
        <w:t>While we cannot yet determine the full impact such laws, regulations, and requirements may have on our business, our f</w:t>
      </w:r>
      <w:r>
        <w:rPr>
          <w:rFonts w:ascii="Arial" w:eastAsia="Times New Roman" w:hAnsi="Arial" w:cs="Arial"/>
          <w:color w:val="000000"/>
          <w:sz w:val="20"/>
          <w:szCs w:val="20"/>
        </w:rPr>
        <w:t>ailure to adequately comply with them could lead to substantial fines, penalties, third-party liability, remediation costs, potential cancellation of existing contracts and the inability to compete for future business. Any significant breach of data privac</w:t>
      </w:r>
      <w:r>
        <w:rPr>
          <w:rFonts w:ascii="Arial" w:eastAsia="Times New Roman" w:hAnsi="Arial" w:cs="Arial"/>
          <w:color w:val="000000"/>
          <w:sz w:val="20"/>
          <w:szCs w:val="20"/>
        </w:rPr>
        <w:t>y-related regulations or related customer requirements could have a material adverse effect on our business and reputation, as well as our financial condition, results of operations and cash flows.</w:t>
      </w:r>
    </w:p>
    <w:p w:rsidR="00000000" w:rsidRDefault="002223F7">
      <w:pPr>
        <w:divId w:val="1794250567"/>
        <w:rPr>
          <w:rFonts w:eastAsia="Times New Roman"/>
        </w:rPr>
      </w:pPr>
      <w:r>
        <w:rPr>
          <w:rFonts w:ascii="Arial" w:eastAsia="Times New Roman" w:hAnsi="Arial" w:cs="Arial"/>
          <w:b/>
          <w:bCs/>
          <w:color w:val="000000"/>
          <w:sz w:val="20"/>
          <w:szCs w:val="20"/>
        </w:rPr>
        <w:t>Our international operations subject us to international t</w:t>
      </w:r>
      <w:r>
        <w:rPr>
          <w:rFonts w:ascii="Arial" w:eastAsia="Times New Roman" w:hAnsi="Arial" w:cs="Arial"/>
          <w:b/>
          <w:bCs/>
          <w:color w:val="000000"/>
          <w:sz w:val="20"/>
          <w:szCs w:val="20"/>
        </w:rPr>
        <w:t>rade control, anti-money laundering and anti-corruption laws that can impose substantial compliance costs and expose us to civil and/or criminal penalties.</w:t>
      </w:r>
    </w:p>
    <w:p w:rsidR="00000000" w:rsidRDefault="002223F7">
      <w:pPr>
        <w:jc w:val="both"/>
        <w:divId w:val="257906640"/>
        <w:rPr>
          <w:rFonts w:eastAsia="Times New Roman"/>
        </w:rPr>
      </w:pPr>
      <w:r>
        <w:rPr>
          <w:rFonts w:ascii="Arial" w:eastAsia="Times New Roman" w:hAnsi="Arial" w:cs="Arial"/>
          <w:color w:val="000000"/>
          <w:sz w:val="20"/>
          <w:szCs w:val="20"/>
        </w:rPr>
        <w:t>Our global operations are subject to applicable anti-corruption laws, such as the U.S. Foreign Corru</w:t>
      </w:r>
      <w:r>
        <w:rPr>
          <w:rFonts w:ascii="Arial" w:eastAsia="Times New Roman" w:hAnsi="Arial" w:cs="Arial"/>
          <w:color w:val="000000"/>
          <w:sz w:val="20"/>
          <w:szCs w:val="20"/>
        </w:rPr>
        <w:t xml:space="preserve">pt Practices Act and the U.K. Bribery Act 2010, anti-money laundering laws, international trade controls, and competition laws. Anti-corruption laws generally prohibit us from providing anything of value to foreign officials for the purposes of improperly </w:t>
      </w:r>
      <w:r>
        <w:rPr>
          <w:rFonts w:ascii="Arial" w:eastAsia="Times New Roman" w:hAnsi="Arial" w:cs="Arial"/>
          <w:color w:val="000000"/>
          <w:sz w:val="20"/>
          <w:szCs w:val="20"/>
        </w:rPr>
        <w:t>influencing official decisions or improperly obtaining or retaining business and may also apply to commercial bribery.</w:t>
      </w:r>
    </w:p>
    <w:p w:rsidR="00000000" w:rsidRDefault="002223F7">
      <w:pPr>
        <w:jc w:val="both"/>
        <w:divId w:val="1901624477"/>
        <w:rPr>
          <w:rFonts w:eastAsia="Times New Roman"/>
        </w:rPr>
      </w:pPr>
      <w:r>
        <w:rPr>
          <w:rFonts w:ascii="Arial" w:eastAsia="Times New Roman" w:hAnsi="Arial" w:cs="Arial"/>
          <w:color w:val="000000"/>
          <w:sz w:val="20"/>
          <w:szCs w:val="20"/>
        </w:rPr>
        <w:t>As part of our business, we operate in countries with a high degree of corruption and frequently interact with state-owned enterprises an</w:t>
      </w:r>
      <w:r>
        <w:rPr>
          <w:rFonts w:ascii="Arial" w:eastAsia="Times New Roman" w:hAnsi="Arial" w:cs="Arial"/>
          <w:color w:val="000000"/>
          <w:sz w:val="20"/>
          <w:szCs w:val="20"/>
        </w:rPr>
        <w:t>d government officials. This may increase the risk of improper payments being demanded of, offered by, or made by one of our employees or a party acting on our behalf. The risk of enforcement has also grown in recent years as more of the countries in which</w:t>
      </w:r>
      <w:r>
        <w:rPr>
          <w:rFonts w:ascii="Arial" w:eastAsia="Times New Roman" w:hAnsi="Arial" w:cs="Arial"/>
          <w:color w:val="000000"/>
          <w:sz w:val="20"/>
          <w:szCs w:val="20"/>
        </w:rPr>
        <w:t xml:space="preserve"> we operate have passed anti-corruption laws and prioritized enforcement of those laws which can result in significant fines and penalties.</w:t>
      </w:r>
    </w:p>
    <w:p w:rsidR="00000000" w:rsidRDefault="002223F7">
      <w:pPr>
        <w:jc w:val="both"/>
        <w:divId w:val="859004642"/>
        <w:rPr>
          <w:rFonts w:eastAsia="Times New Roman"/>
        </w:rPr>
      </w:pPr>
      <w:r>
        <w:rPr>
          <w:rFonts w:ascii="Arial" w:eastAsia="Times New Roman" w:hAnsi="Arial" w:cs="Arial"/>
          <w:color w:val="000000"/>
          <w:sz w:val="20"/>
          <w:szCs w:val="20"/>
        </w:rPr>
        <w:t xml:space="preserve">International trade controls, including economic sanctions such as those administered by the U.S. Treasury's Office </w:t>
      </w:r>
      <w:r>
        <w:rPr>
          <w:rFonts w:ascii="Arial" w:eastAsia="Times New Roman" w:hAnsi="Arial" w:cs="Arial"/>
          <w:color w:val="000000"/>
          <w:sz w:val="20"/>
          <w:szCs w:val="20"/>
        </w:rPr>
        <w:t>of Foreign Assets Control ("OFAC") or the U.K.'s HM Treasury, export controls and anti-boycott regulations, restrict our business dealings with certain countries and individuals, are complex, may conflict with each other, are continually changing and may b</w:t>
      </w:r>
      <w:r>
        <w:rPr>
          <w:rFonts w:ascii="Arial" w:eastAsia="Times New Roman" w:hAnsi="Arial" w:cs="Arial"/>
          <w:color w:val="000000"/>
          <w:sz w:val="20"/>
          <w:szCs w:val="20"/>
        </w:rPr>
        <w:t>e adopted quickly. For example, as a result of the military conflict in Eastern Europe, the U.S., the E.U., the U.K. and other countries in which we operate have imposed numerous sanctions on Russia and certain other individuals and entities with connectio</w:t>
      </w:r>
      <w:r>
        <w:rPr>
          <w:rFonts w:ascii="Arial" w:eastAsia="Times New Roman" w:hAnsi="Arial" w:cs="Arial"/>
          <w:color w:val="000000"/>
          <w:sz w:val="20"/>
          <w:szCs w:val="20"/>
        </w:rPr>
        <w:t>ns to the Russian state. Russia has responded in kind, and the continuation of the conflict may result in additional sanctions being enacted by the U.S., other North Atlantic Treaty Organization member states, or other countries.</w:t>
      </w:r>
    </w:p>
    <w:p w:rsidR="00000000" w:rsidRDefault="002223F7">
      <w:pPr>
        <w:jc w:val="both"/>
        <w:divId w:val="967785109"/>
        <w:rPr>
          <w:rFonts w:eastAsia="Times New Roman"/>
        </w:rPr>
      </w:pPr>
      <w:r>
        <w:rPr>
          <w:rFonts w:ascii="Arial" w:eastAsia="Times New Roman" w:hAnsi="Arial" w:cs="Arial"/>
          <w:color w:val="000000"/>
          <w:sz w:val="20"/>
          <w:szCs w:val="20"/>
        </w:rPr>
        <w:t>Additional restrictions ma</w:t>
      </w:r>
      <w:r>
        <w:rPr>
          <w:rFonts w:ascii="Arial" w:eastAsia="Times New Roman" w:hAnsi="Arial" w:cs="Arial"/>
          <w:color w:val="000000"/>
          <w:sz w:val="20"/>
          <w:szCs w:val="20"/>
        </w:rPr>
        <w:t>y be enacted, amended, enforced or interpreted in a manner that materially impacts our operations. From time to time, certain of our subsidiaries have limited business dealings in countries subject to comprehensive OFAC administered sanctions. While such a</w:t>
      </w:r>
      <w:r>
        <w:rPr>
          <w:rFonts w:ascii="Arial" w:eastAsia="Times New Roman" w:hAnsi="Arial" w:cs="Arial"/>
          <w:color w:val="000000"/>
          <w:sz w:val="20"/>
          <w:szCs w:val="20"/>
        </w:rPr>
        <w:t>ctivities currently represent an immaterial amount of our consolidated revenue and income and are undertaken pursuant to general and/or specific licenses issued by OFAC or as otherwise permitted by applicable sanctions regulations, these activities, as wel</w:t>
      </w:r>
      <w:r>
        <w:rPr>
          <w:rFonts w:ascii="Arial" w:eastAsia="Times New Roman" w:hAnsi="Arial" w:cs="Arial"/>
          <w:color w:val="000000"/>
          <w:sz w:val="20"/>
          <w:szCs w:val="20"/>
        </w:rPr>
        <w:t xml:space="preserve">l as rapidly changing sanctions regimes across the globe, may expose us to a heightened risk of violating trade control regulations. </w:t>
      </w:r>
    </w:p>
    <w:p w:rsidR="00000000" w:rsidRDefault="002223F7">
      <w:pPr>
        <w:jc w:val="both"/>
        <w:divId w:val="68115280"/>
        <w:rPr>
          <w:rFonts w:eastAsia="Times New Roman"/>
        </w:rPr>
      </w:pPr>
      <w:r>
        <w:rPr>
          <w:rFonts w:ascii="Arial" w:eastAsia="Times New Roman" w:hAnsi="Arial" w:cs="Arial"/>
          <w:color w:val="000000"/>
          <w:sz w:val="20"/>
          <w:szCs w:val="20"/>
        </w:rPr>
        <w:t>We have established policies and procedures designed to assist with our compliance with these laws and regulations. Such p</w:t>
      </w:r>
      <w:r>
        <w:rPr>
          <w:rFonts w:ascii="Arial" w:eastAsia="Times New Roman" w:hAnsi="Arial" w:cs="Arial"/>
          <w:color w:val="000000"/>
          <w:sz w:val="20"/>
          <w:szCs w:val="20"/>
        </w:rPr>
        <w:t>olicies and procedures may not always prevent us, our employees or parties acting on our behalf from violating these laws and regulations. Violations may expose us to criminal or civil penalties, or other adverse consequences including the denial of export</w:t>
      </w:r>
      <w:r>
        <w:rPr>
          <w:rFonts w:ascii="Arial" w:eastAsia="Times New Roman" w:hAnsi="Arial" w:cs="Arial"/>
          <w:color w:val="000000"/>
          <w:sz w:val="20"/>
          <w:szCs w:val="20"/>
        </w:rPr>
        <w:t xml:space="preserve"> privileges, injunctions, asset seizures, debarment from government contracts, and/or revocations or restrictions of licenses. In addition, the costs associated with responding to a government investigation and remediating any violations can be substantial</w:t>
      </w:r>
      <w:r>
        <w:rPr>
          <w:rFonts w:ascii="Arial" w:eastAsia="Times New Roman" w:hAnsi="Arial" w:cs="Arial"/>
          <w:color w:val="000000"/>
          <w:sz w:val="20"/>
          <w:szCs w:val="20"/>
        </w:rPr>
        <w:t>. Furthermore, violations could trigger an event of default under our Credit Agreement, which if not waived, could result in the acceleration of any outstanding indebtedness, cause cross-defaults under other agreements to which we are a party, and impair o</w:t>
      </w:r>
      <w:r>
        <w:rPr>
          <w:rFonts w:ascii="Arial" w:eastAsia="Times New Roman" w:hAnsi="Arial" w:cs="Arial"/>
          <w:color w:val="000000"/>
          <w:sz w:val="20"/>
          <w:szCs w:val="20"/>
        </w:rPr>
        <w:t>ur ability to obtain working capital advances or letters of credit. Accordingly, violations could adversely affect, among other things, our reputation, business, financial condition, results of operations and cash flows.</w:t>
      </w:r>
    </w:p>
    <w:p w:rsidR="00000000" w:rsidRDefault="002223F7">
      <w:pPr>
        <w:divId w:val="883255432"/>
        <w:rPr>
          <w:rFonts w:eastAsia="Times New Roman"/>
        </w:rPr>
      </w:pPr>
      <w:r>
        <w:rPr>
          <w:rFonts w:ascii="Arial" w:eastAsia="Times New Roman" w:hAnsi="Arial" w:cs="Arial"/>
          <w:b/>
          <w:bCs/>
          <w:color w:val="000000"/>
          <w:sz w:val="20"/>
          <w:szCs w:val="20"/>
          <w:u w:val="single"/>
        </w:rPr>
        <w:t>General Risks</w:t>
      </w:r>
    </w:p>
    <w:p w:rsidR="00000000" w:rsidRDefault="002223F7">
      <w:pPr>
        <w:divId w:val="1631935816"/>
        <w:rPr>
          <w:rFonts w:eastAsia="Times New Roman"/>
        </w:rPr>
      </w:pPr>
      <w:r>
        <w:rPr>
          <w:rFonts w:ascii="Arial" w:eastAsia="Times New Roman" w:hAnsi="Arial" w:cs="Arial"/>
          <w:b/>
          <w:bCs/>
          <w:color w:val="000000"/>
          <w:sz w:val="20"/>
          <w:szCs w:val="20"/>
        </w:rPr>
        <w:t>A pandemic, epidemic, or other outbreak of infectious disease may adversely affect our business, results of operations and financial condition.</w:t>
      </w:r>
    </w:p>
    <w:p w:rsidR="00000000" w:rsidRDefault="002223F7">
      <w:pPr>
        <w:jc w:val="both"/>
        <w:divId w:val="1077287079"/>
        <w:rPr>
          <w:rFonts w:eastAsia="Times New Roman"/>
        </w:rPr>
      </w:pPr>
      <w:r>
        <w:rPr>
          <w:rFonts w:ascii="Arial" w:eastAsia="Times New Roman" w:hAnsi="Arial" w:cs="Arial"/>
          <w:color w:val="000000"/>
          <w:sz w:val="20"/>
          <w:szCs w:val="20"/>
        </w:rPr>
        <w:t>Public health crises, epidemics, and pandemics, such as the COVID-19 pandemic, have impacted our operations dire</w:t>
      </w:r>
      <w:r>
        <w:rPr>
          <w:rFonts w:ascii="Arial" w:eastAsia="Times New Roman" w:hAnsi="Arial" w:cs="Arial"/>
          <w:color w:val="000000"/>
          <w:sz w:val="20"/>
          <w:szCs w:val="20"/>
        </w:rPr>
        <w:t xml:space="preserve">ctly and may in the future impact us directly, or may disrupt the operations of our business partners, suppliers and customers in ways that could have an adverse effect on our business, results of operations and financial </w:t>
      </w:r>
    </w:p>
    <w:p w:rsidR="00000000" w:rsidRDefault="002223F7">
      <w:pPr>
        <w:jc w:val="center"/>
        <w:divId w:val="1129739174"/>
        <w:rPr>
          <w:rFonts w:eastAsia="Times New Roman"/>
        </w:rPr>
      </w:pPr>
      <w:r>
        <w:rPr>
          <w:rFonts w:ascii="Arial" w:eastAsia="Times New Roman" w:hAnsi="Arial" w:cs="Arial"/>
          <w:color w:val="000000"/>
          <w:sz w:val="16"/>
          <w:szCs w:val="16"/>
        </w:rPr>
        <w:t>18</w:t>
      </w:r>
    </w:p>
    <w:p w:rsidR="00000000" w:rsidRDefault="002223F7">
      <w:pPr>
        <w:rPr>
          <w:rFonts w:eastAsia="Times New Roman"/>
        </w:rPr>
      </w:pPr>
      <w:r>
        <w:rPr>
          <w:rFonts w:eastAsia="Times New Roman"/>
        </w:rPr>
        <w:pict>
          <v:rect id="_x0000_i1048" style="width:0;height:1.5pt" o:hralign="center" o:hrstd="t" o:hr="t" fillcolor="#a0a0a0" stroked="f"/>
        </w:pict>
      </w:r>
    </w:p>
    <w:p w:rsidR="00000000" w:rsidRDefault="002223F7">
      <w:pPr>
        <w:jc w:val="both"/>
        <w:divId w:val="184904891"/>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763458550"/>
        <w:rPr>
          <w:rFonts w:eastAsia="Times New Roman"/>
        </w:rPr>
      </w:pPr>
      <w:r>
        <w:rPr>
          <w:rFonts w:ascii="Arial" w:eastAsia="Times New Roman" w:hAnsi="Arial" w:cs="Arial"/>
          <w:color w:val="000000"/>
          <w:sz w:val="20"/>
          <w:szCs w:val="20"/>
        </w:rPr>
        <w:t>condition. Beginning in 2020, the COVID-19 pandemic negatively impacted the global economy, disrupted global supply chains and created uncertainty and volatility in financial markets. Our business operations and activities have since normalized to near pre</w:t>
      </w:r>
      <w:r>
        <w:rPr>
          <w:rFonts w:ascii="Arial" w:eastAsia="Times New Roman" w:hAnsi="Arial" w:cs="Arial"/>
          <w:color w:val="000000"/>
          <w:sz w:val="20"/>
          <w:szCs w:val="20"/>
        </w:rPr>
        <w:t xml:space="preserve">-pandemic levels, however, we continue to monitor our business and those of our business partners, suppliers and customers for future disruptions relating to COVID-19 or other infectious disease outbreaks. </w:t>
      </w:r>
    </w:p>
    <w:p w:rsidR="00000000" w:rsidRDefault="002223F7">
      <w:pPr>
        <w:jc w:val="both"/>
        <w:divId w:val="1494686602"/>
        <w:rPr>
          <w:rFonts w:eastAsia="Times New Roman"/>
        </w:rPr>
      </w:pPr>
      <w:r>
        <w:rPr>
          <w:rFonts w:ascii="Arial" w:eastAsia="Times New Roman" w:hAnsi="Arial" w:cs="Arial"/>
          <w:color w:val="000000"/>
          <w:sz w:val="20"/>
          <w:szCs w:val="20"/>
        </w:rPr>
        <w:t xml:space="preserve">To the extent that a pandemic, epidemic or other </w:t>
      </w:r>
      <w:r>
        <w:rPr>
          <w:rFonts w:ascii="Arial" w:eastAsia="Times New Roman" w:hAnsi="Arial" w:cs="Arial"/>
          <w:color w:val="000000"/>
          <w:sz w:val="20"/>
          <w:szCs w:val="20"/>
        </w:rPr>
        <w:t>outbreak of infectious disease adversely affects our business, results of operations and financial condition, it may also have the effect of exacerbating many of the other risks discussed in this 2022 10-K Report or any of our other periodic reports, which</w:t>
      </w:r>
      <w:r>
        <w:rPr>
          <w:rFonts w:ascii="Arial" w:eastAsia="Times New Roman" w:hAnsi="Arial" w:cs="Arial"/>
          <w:color w:val="000000"/>
          <w:sz w:val="20"/>
          <w:szCs w:val="20"/>
        </w:rPr>
        <w:t xml:space="preserve"> could have a material adverse effect on us and our results of operations.</w:t>
      </w:r>
    </w:p>
    <w:p w:rsidR="00000000" w:rsidRDefault="002223F7">
      <w:pPr>
        <w:divId w:val="358624167"/>
        <w:rPr>
          <w:rFonts w:eastAsia="Times New Roman"/>
        </w:rPr>
      </w:pPr>
      <w:r>
        <w:rPr>
          <w:rFonts w:ascii="Arial" w:eastAsia="Times New Roman" w:hAnsi="Arial" w:cs="Arial"/>
          <w:b/>
          <w:bCs/>
          <w:color w:val="000000"/>
          <w:sz w:val="20"/>
          <w:szCs w:val="20"/>
        </w:rPr>
        <w:t>Our derivative transactions with customers, suppliers, merchants and financial institutions expose us to price and credit risks, which could have a material adverse effect on our bu</w:t>
      </w:r>
      <w:r>
        <w:rPr>
          <w:rFonts w:ascii="Arial" w:eastAsia="Times New Roman" w:hAnsi="Arial" w:cs="Arial"/>
          <w:b/>
          <w:bCs/>
          <w:color w:val="000000"/>
          <w:sz w:val="20"/>
          <w:szCs w:val="20"/>
        </w:rPr>
        <w:t>siness.</w:t>
      </w:r>
    </w:p>
    <w:p w:rsidR="00000000" w:rsidRDefault="002223F7">
      <w:pPr>
        <w:jc w:val="both"/>
        <w:divId w:val="864365014"/>
        <w:rPr>
          <w:rFonts w:eastAsia="Times New Roman"/>
        </w:rPr>
      </w:pPr>
      <w:r>
        <w:rPr>
          <w:rFonts w:ascii="Arial" w:eastAsia="Times New Roman" w:hAnsi="Arial" w:cs="Arial"/>
          <w:color w:val="000000"/>
          <w:sz w:val="20"/>
          <w:szCs w:val="20"/>
        </w:rPr>
        <w:t xml:space="preserve">As part of our price risk management services, we offer customers various pricing structures for the purchase of energy products, including derivatives products designed to hedge exposure to fluctuations in energy prices. In the ordinary course of </w:t>
      </w:r>
      <w:r>
        <w:rPr>
          <w:rFonts w:ascii="Arial" w:eastAsia="Times New Roman" w:hAnsi="Arial" w:cs="Arial"/>
          <w:color w:val="000000"/>
          <w:sz w:val="20"/>
          <w:szCs w:val="20"/>
        </w:rPr>
        <w:t>business, we enter into fixed forward contracts with some of our counterparties under which we agree to sell or purchase certain volumes of energy products at fixed prices. In addition, we may act as a counterparty in over-the-counter swap transactions wit</w:t>
      </w:r>
      <w:r>
        <w:rPr>
          <w:rFonts w:ascii="Arial" w:eastAsia="Times New Roman" w:hAnsi="Arial" w:cs="Arial"/>
          <w:color w:val="000000"/>
          <w:sz w:val="20"/>
          <w:szCs w:val="20"/>
        </w:rPr>
        <w:t>h some of our customers where the customer may be required to pay us in connection with changes in the price of the underlying energy product. Further, we may use derivatives to hedge price risks associated with our fuel inventories and purchase and sale c</w:t>
      </w:r>
      <w:r>
        <w:rPr>
          <w:rFonts w:ascii="Arial" w:eastAsia="Times New Roman" w:hAnsi="Arial" w:cs="Arial"/>
          <w:color w:val="000000"/>
          <w:sz w:val="20"/>
          <w:szCs w:val="20"/>
        </w:rPr>
        <w:t>ommitments. We typically hedge our price risk in any of the foregoing types of transactions by entering into derivative instruments with large energy companies, trading houses and financial institutions.</w:t>
      </w:r>
    </w:p>
    <w:p w:rsidR="00000000" w:rsidRDefault="002223F7">
      <w:pPr>
        <w:jc w:val="both"/>
        <w:divId w:val="285742128"/>
        <w:rPr>
          <w:rFonts w:eastAsia="Times New Roman"/>
        </w:rPr>
      </w:pPr>
      <w:r>
        <w:rPr>
          <w:rFonts w:ascii="Arial" w:eastAsia="Times New Roman" w:hAnsi="Arial" w:cs="Arial"/>
          <w:color w:val="000000"/>
          <w:sz w:val="20"/>
          <w:szCs w:val="20"/>
        </w:rPr>
        <w:t>If we have not required a customer to post collatera</w:t>
      </w:r>
      <w:r>
        <w:rPr>
          <w:rFonts w:ascii="Arial" w:eastAsia="Times New Roman" w:hAnsi="Arial" w:cs="Arial"/>
          <w:color w:val="000000"/>
          <w:sz w:val="20"/>
          <w:szCs w:val="20"/>
        </w:rPr>
        <w:t>l in connection with a fixed forward contract or swap transaction and there is an outstanding mark-to-market liability owing, we will have effectively extended unsecured credit to that customer and such amounts could be substantial. Based on the volatility</w:t>
      </w:r>
      <w:r>
        <w:rPr>
          <w:rFonts w:ascii="Arial" w:eastAsia="Times New Roman" w:hAnsi="Arial" w:cs="Arial"/>
          <w:color w:val="000000"/>
          <w:sz w:val="20"/>
          <w:szCs w:val="20"/>
        </w:rPr>
        <w:t xml:space="preserve"> of energy prices, our counterparties may not be willing or able to fulfill their obligations to us under their fixed forward contracts or swap transactions. In such cases, we would be exposed to potential losses or costs associated with any resulting defa</w:t>
      </w:r>
      <w:r>
        <w:rPr>
          <w:rFonts w:ascii="Arial" w:eastAsia="Times New Roman" w:hAnsi="Arial" w:cs="Arial"/>
          <w:color w:val="000000"/>
          <w:sz w:val="20"/>
          <w:szCs w:val="20"/>
        </w:rPr>
        <w:t>ult. For example, in the event the spot market price of fuel at the time of delivery is substantially less than the fixed price of the contract with the customer, a customer could default on its purchase obligation to us and purchase the fuel at a lower "s</w:t>
      </w:r>
      <w:r>
        <w:rPr>
          <w:rFonts w:ascii="Arial" w:eastAsia="Times New Roman" w:hAnsi="Arial" w:cs="Arial"/>
          <w:color w:val="000000"/>
          <w:sz w:val="20"/>
          <w:szCs w:val="20"/>
        </w:rPr>
        <w:t>pot" market price from another supplier. Meanwhile, we may have entered into a corresponding commitment with a supplier to offer our customer specified fixed pricing or terms and would be obligated to perform our fixed price purchase obligations to such su</w:t>
      </w:r>
      <w:r>
        <w:rPr>
          <w:rFonts w:ascii="Arial" w:eastAsia="Times New Roman" w:hAnsi="Arial" w:cs="Arial"/>
          <w:color w:val="000000"/>
          <w:sz w:val="20"/>
          <w:szCs w:val="20"/>
        </w:rPr>
        <w:t>pplier. Similarly, the counterparties with whom we may hedge our price risk exposure may not be willing or able to fulfill their obligations to us under their swap transactions.</w:t>
      </w:r>
    </w:p>
    <w:p w:rsidR="00000000" w:rsidRDefault="002223F7">
      <w:pPr>
        <w:jc w:val="both"/>
        <w:divId w:val="1891108774"/>
        <w:rPr>
          <w:rFonts w:eastAsia="Times New Roman"/>
        </w:rPr>
      </w:pPr>
      <w:r>
        <w:rPr>
          <w:rFonts w:ascii="Arial" w:eastAsia="Times New Roman" w:hAnsi="Arial" w:cs="Arial"/>
          <w:color w:val="000000"/>
          <w:sz w:val="20"/>
          <w:szCs w:val="20"/>
        </w:rPr>
        <w:t>If we are unable to recover losses from a defaulting counterparty, we could su</w:t>
      </w:r>
      <w:r>
        <w:rPr>
          <w:rFonts w:ascii="Arial" w:eastAsia="Times New Roman" w:hAnsi="Arial" w:cs="Arial"/>
          <w:color w:val="000000"/>
          <w:sz w:val="20"/>
          <w:szCs w:val="20"/>
        </w:rPr>
        <w:t>stain substantial losses that would likely have a material adverse effect on our business, financial condition, results of operations and cash flows. Additionally, our hedging activities also result in additional costs and can require cash deposits for mar</w:t>
      </w:r>
      <w:r>
        <w:rPr>
          <w:rFonts w:ascii="Arial" w:eastAsia="Times New Roman" w:hAnsi="Arial" w:cs="Arial"/>
          <w:color w:val="000000"/>
          <w:sz w:val="20"/>
          <w:szCs w:val="20"/>
        </w:rPr>
        <w:t>gin calls. If there is a sudden a significant change in fuel prices, the amount of cash necessary to cover margin calls can be material and impact our liquidity.</w:t>
      </w:r>
    </w:p>
    <w:p w:rsidR="00000000" w:rsidRDefault="002223F7">
      <w:pPr>
        <w:divId w:val="1693721654"/>
        <w:rPr>
          <w:rFonts w:eastAsia="Times New Roman"/>
        </w:rPr>
      </w:pPr>
      <w:r>
        <w:rPr>
          <w:rFonts w:ascii="Arial" w:eastAsia="Times New Roman" w:hAnsi="Arial" w:cs="Arial"/>
          <w:b/>
          <w:bCs/>
          <w:color w:val="000000"/>
          <w:sz w:val="20"/>
          <w:szCs w:val="20"/>
        </w:rPr>
        <w:t xml:space="preserve">We are exposed to various risks in connection with our use of derivatives, which could have a </w:t>
      </w:r>
      <w:r>
        <w:rPr>
          <w:rFonts w:ascii="Arial" w:eastAsia="Times New Roman" w:hAnsi="Arial" w:cs="Arial"/>
          <w:b/>
          <w:bCs/>
          <w:color w:val="000000"/>
          <w:sz w:val="20"/>
          <w:szCs w:val="20"/>
        </w:rPr>
        <w:t>material adverse effect on our results of operations.</w:t>
      </w:r>
    </w:p>
    <w:p w:rsidR="00000000" w:rsidRDefault="002223F7">
      <w:pPr>
        <w:jc w:val="both"/>
        <w:divId w:val="835346714"/>
        <w:rPr>
          <w:rFonts w:eastAsia="Times New Roman"/>
        </w:rPr>
      </w:pPr>
      <w:r>
        <w:rPr>
          <w:rFonts w:ascii="Arial" w:eastAsia="Times New Roman" w:hAnsi="Arial" w:cs="Arial"/>
          <w:color w:val="000000"/>
          <w:sz w:val="20"/>
          <w:szCs w:val="20"/>
        </w:rPr>
        <w:t>We enter into financial derivative contracts to mitigate the risk of market price fluctuations in energy products, to offer our customers energy pricing alternatives to meet their needs, to manage price</w:t>
      </w:r>
      <w:r>
        <w:rPr>
          <w:rFonts w:ascii="Arial" w:eastAsia="Times New Roman" w:hAnsi="Arial" w:cs="Arial"/>
          <w:color w:val="000000"/>
          <w:sz w:val="20"/>
          <w:szCs w:val="20"/>
        </w:rPr>
        <w:t xml:space="preserve"> exposures associated with our inventories, and to mitigate the risk of fluctuations in foreign currency exchange rates. Despite our efforts to mitigate risks associated with these transactions, we remain subject to substantial energy price and exchange ra</w:t>
      </w:r>
      <w:r>
        <w:rPr>
          <w:rFonts w:ascii="Arial" w:eastAsia="Times New Roman" w:hAnsi="Arial" w:cs="Arial"/>
          <w:color w:val="000000"/>
          <w:sz w:val="20"/>
          <w:szCs w:val="20"/>
        </w:rPr>
        <w:t>te risks.</w:t>
      </w:r>
    </w:p>
    <w:p w:rsidR="00000000" w:rsidRDefault="002223F7">
      <w:pPr>
        <w:jc w:val="both"/>
        <w:divId w:val="1020932107"/>
        <w:rPr>
          <w:rFonts w:eastAsia="Times New Roman"/>
        </w:rPr>
      </w:pPr>
      <w:r>
        <w:rPr>
          <w:rFonts w:ascii="Arial" w:eastAsia="Times New Roman" w:hAnsi="Arial" w:cs="Arial"/>
          <w:color w:val="000000"/>
          <w:sz w:val="20"/>
          <w:szCs w:val="20"/>
        </w:rPr>
        <w:t>Our efforts to hedge our exposure to fluctuations in energy prices and exchange rates may also be ineffective when the prices of historically correlated commodities diverge from their historical correlations. For example, we hedge jet fuel prices</w:t>
      </w:r>
      <w:r>
        <w:rPr>
          <w:rFonts w:ascii="Arial" w:eastAsia="Times New Roman" w:hAnsi="Arial" w:cs="Arial"/>
          <w:color w:val="000000"/>
          <w:sz w:val="20"/>
          <w:szCs w:val="20"/>
        </w:rPr>
        <w:t xml:space="preserve"> with derivatives tied to other petroleum products that have historically been correlated to aviation jet fuel (e.g., heating oil in the U.S. or gasoil in Europe or Asia). If the price of aviation jet fuel at a specific location diverges from historical co</w:t>
      </w:r>
      <w:r>
        <w:rPr>
          <w:rFonts w:ascii="Arial" w:eastAsia="Times New Roman" w:hAnsi="Arial" w:cs="Arial"/>
          <w:color w:val="000000"/>
          <w:sz w:val="20"/>
          <w:szCs w:val="20"/>
        </w:rPr>
        <w:t xml:space="preserve">rrelations, our attempts to mitigate price risk associated with our aviation business may not be effective. Moreover, there may be times where the change in the price of jet fuel at a specific location is disrupted (e.g., hurricanes) and is not correlated </w:t>
      </w:r>
      <w:r>
        <w:rPr>
          <w:rFonts w:ascii="Arial" w:eastAsia="Times New Roman" w:hAnsi="Arial" w:cs="Arial"/>
          <w:color w:val="000000"/>
          <w:sz w:val="20"/>
          <w:szCs w:val="20"/>
        </w:rPr>
        <w:t>to the underlying hedges when compared to historical prices. We may, as a component of our overall business strategy, increase or decrease from time to time our use of such derivative financial instruments in the future.</w:t>
      </w:r>
    </w:p>
    <w:p w:rsidR="00000000" w:rsidRDefault="002223F7">
      <w:pPr>
        <w:jc w:val="both"/>
        <w:divId w:val="862404868"/>
        <w:rPr>
          <w:rFonts w:eastAsia="Times New Roman"/>
        </w:rPr>
      </w:pPr>
      <w:r>
        <w:rPr>
          <w:rFonts w:ascii="Arial" w:eastAsia="Times New Roman" w:hAnsi="Arial" w:cs="Arial"/>
          <w:color w:val="000000"/>
          <w:sz w:val="20"/>
          <w:szCs w:val="20"/>
        </w:rPr>
        <w:t xml:space="preserve">We may also enter into proprietary </w:t>
      </w:r>
      <w:r>
        <w:rPr>
          <w:rFonts w:ascii="Arial" w:eastAsia="Times New Roman" w:hAnsi="Arial" w:cs="Arial"/>
          <w:color w:val="000000"/>
          <w:sz w:val="20"/>
          <w:szCs w:val="20"/>
        </w:rPr>
        <w:t>derivative transactions that are not intended to hedge our own risk but are instead intended to make a profit by capitalizing on arbitrage opportunities associated with basis, time, quality or geographic spreads related to the energy products we sell. Prop</w:t>
      </w:r>
      <w:r>
        <w:rPr>
          <w:rFonts w:ascii="Arial" w:eastAsia="Times New Roman" w:hAnsi="Arial" w:cs="Arial"/>
          <w:color w:val="000000"/>
          <w:sz w:val="20"/>
          <w:szCs w:val="20"/>
        </w:rPr>
        <w:t xml:space="preserve">rietary derivative transactions, by their nature, expose us to changes in the underlying commodity prices of the proprietary positions taken. Although we have </w:t>
      </w:r>
    </w:p>
    <w:p w:rsidR="00000000" w:rsidRDefault="002223F7">
      <w:pPr>
        <w:jc w:val="center"/>
        <w:divId w:val="1655989275"/>
        <w:rPr>
          <w:rFonts w:eastAsia="Times New Roman"/>
        </w:rPr>
      </w:pPr>
      <w:r>
        <w:rPr>
          <w:rFonts w:ascii="Arial" w:eastAsia="Times New Roman" w:hAnsi="Arial" w:cs="Arial"/>
          <w:color w:val="000000"/>
          <w:sz w:val="16"/>
          <w:szCs w:val="16"/>
        </w:rPr>
        <w:t>19</w:t>
      </w:r>
    </w:p>
    <w:p w:rsidR="00000000" w:rsidRDefault="002223F7">
      <w:pPr>
        <w:rPr>
          <w:rFonts w:eastAsia="Times New Roman"/>
        </w:rPr>
      </w:pPr>
      <w:r>
        <w:rPr>
          <w:rFonts w:eastAsia="Times New Roman"/>
        </w:rPr>
        <w:pict>
          <v:rect id="_x0000_i1049" style="width:0;height:1.5pt" o:hralign="center" o:hrstd="t" o:hr="t" fillcolor="#a0a0a0" stroked="f"/>
        </w:pict>
      </w:r>
    </w:p>
    <w:p w:rsidR="00000000" w:rsidRDefault="002223F7">
      <w:pPr>
        <w:jc w:val="both"/>
        <w:divId w:val="313221210"/>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391539509"/>
        <w:rPr>
          <w:rFonts w:eastAsia="Times New Roman"/>
        </w:rPr>
      </w:pPr>
      <w:r>
        <w:rPr>
          <w:rFonts w:ascii="Arial" w:eastAsia="Times New Roman" w:hAnsi="Arial" w:cs="Arial"/>
          <w:color w:val="000000"/>
          <w:sz w:val="20"/>
          <w:szCs w:val="20"/>
        </w:rPr>
        <w:t>established limits on such exposure, any adverse changes could result in losses which can be further exacerbated by volati</w:t>
      </w:r>
      <w:r>
        <w:rPr>
          <w:rFonts w:ascii="Arial" w:eastAsia="Times New Roman" w:hAnsi="Arial" w:cs="Arial"/>
          <w:color w:val="000000"/>
          <w:sz w:val="20"/>
          <w:szCs w:val="20"/>
        </w:rPr>
        <w:t>lity in the financial and other markets. In addition, our employees may fail to comply with our policies and procedures with respect to hedging or proprietary trading, such as engaging in unauthorized trading activity, failing to hedge a specific price ris</w:t>
      </w:r>
      <w:r>
        <w:rPr>
          <w:rFonts w:ascii="Arial" w:eastAsia="Times New Roman" w:hAnsi="Arial" w:cs="Arial"/>
          <w:color w:val="000000"/>
          <w:sz w:val="20"/>
          <w:szCs w:val="20"/>
        </w:rPr>
        <w:t>k or failing to comply with our internal limits on exposure or any applicable statutory or regulatory requirements. Furthermore, the enforceability of our derivative transactions may depend on our compliance with applicable statutory, commodity and other r</w:t>
      </w:r>
      <w:r>
        <w:rPr>
          <w:rFonts w:ascii="Arial" w:eastAsia="Times New Roman" w:hAnsi="Arial" w:cs="Arial"/>
          <w:color w:val="000000"/>
          <w:sz w:val="20"/>
          <w:szCs w:val="20"/>
        </w:rPr>
        <w:t>egulatory requirements, which if violated could lead to our derivative transaction being voided, as well as penalties and fines. The impact of any of the foregoing could have a material adverse effect on our business, financial condition, results of operat</w:t>
      </w:r>
      <w:r>
        <w:rPr>
          <w:rFonts w:ascii="Arial" w:eastAsia="Times New Roman" w:hAnsi="Arial" w:cs="Arial"/>
          <w:color w:val="000000"/>
          <w:sz w:val="20"/>
          <w:szCs w:val="20"/>
        </w:rPr>
        <w:t>ions and cash flows.</w:t>
      </w:r>
    </w:p>
    <w:p w:rsidR="00000000" w:rsidRDefault="002223F7">
      <w:pPr>
        <w:jc w:val="both"/>
        <w:divId w:val="1873379294"/>
        <w:rPr>
          <w:rFonts w:eastAsia="Times New Roman"/>
        </w:rPr>
      </w:pPr>
      <w:r>
        <w:rPr>
          <w:rFonts w:ascii="Arial" w:eastAsia="Times New Roman" w:hAnsi="Arial" w:cs="Arial"/>
          <w:color w:val="000000"/>
          <w:sz w:val="20"/>
          <w:szCs w:val="20"/>
        </w:rPr>
        <w:t>Finally, many of our derivative transactions are not designated as hedges for accounting purposes. Therefore, changes in the fair market value of these derivatives are reflected as a component of revenue or cost of revenue (based on th</w:t>
      </w:r>
      <w:r>
        <w:rPr>
          <w:rFonts w:ascii="Arial" w:eastAsia="Times New Roman" w:hAnsi="Arial" w:cs="Arial"/>
          <w:color w:val="000000"/>
          <w:sz w:val="20"/>
          <w:szCs w:val="20"/>
        </w:rPr>
        <w:t>e underlying transaction type) in our consolidated statements of income and comprehensive income. Since the fair market value of these derivatives is marked to market at the end of each quarter, changes in the value of our derivative instruments because of</w:t>
      </w:r>
      <w:r>
        <w:rPr>
          <w:rFonts w:ascii="Arial" w:eastAsia="Times New Roman" w:hAnsi="Arial" w:cs="Arial"/>
          <w:color w:val="000000"/>
          <w:sz w:val="20"/>
          <w:szCs w:val="20"/>
        </w:rPr>
        <w:t xml:space="preserve"> gains or losses may cause our earnings to fluctuate from period to period.</w:t>
      </w:r>
    </w:p>
    <w:p w:rsidR="00000000" w:rsidRDefault="002223F7">
      <w:pPr>
        <w:divId w:val="90318999"/>
        <w:rPr>
          <w:rFonts w:eastAsia="Times New Roman"/>
        </w:rPr>
      </w:pPr>
      <w:r>
        <w:rPr>
          <w:rFonts w:ascii="Arial" w:eastAsia="Times New Roman" w:hAnsi="Arial" w:cs="Arial"/>
          <w:b/>
          <w:bCs/>
          <w:color w:val="000000"/>
        </w:rPr>
        <w:t>Item 1B. Unresolved Staff Comments</w:t>
      </w:r>
    </w:p>
    <w:p w:rsidR="00000000" w:rsidRDefault="002223F7">
      <w:pPr>
        <w:jc w:val="both"/>
        <w:divId w:val="1153569912"/>
        <w:rPr>
          <w:rFonts w:eastAsia="Times New Roman"/>
        </w:rPr>
      </w:pPr>
      <w:r>
        <w:rPr>
          <w:rFonts w:ascii="Arial" w:eastAsia="Times New Roman" w:hAnsi="Arial" w:cs="Arial"/>
          <w:color w:val="000000"/>
          <w:sz w:val="20"/>
          <w:szCs w:val="20"/>
        </w:rPr>
        <w:t>None.</w:t>
      </w:r>
    </w:p>
    <w:p w:rsidR="00000000" w:rsidRDefault="002223F7">
      <w:pPr>
        <w:divId w:val="1475024117"/>
        <w:rPr>
          <w:rFonts w:eastAsia="Times New Roman"/>
        </w:rPr>
      </w:pPr>
      <w:r>
        <w:rPr>
          <w:rFonts w:ascii="Arial" w:eastAsia="Times New Roman" w:hAnsi="Arial" w:cs="Arial"/>
          <w:b/>
          <w:bCs/>
          <w:color w:val="000000"/>
        </w:rPr>
        <w:t>Item 2. Properties</w:t>
      </w:r>
    </w:p>
    <w:p w:rsidR="00000000" w:rsidRDefault="002223F7">
      <w:pPr>
        <w:jc w:val="both"/>
        <w:divId w:val="2005156350"/>
        <w:rPr>
          <w:rFonts w:eastAsia="Times New Roman"/>
        </w:rPr>
      </w:pPr>
      <w:r>
        <w:rPr>
          <w:rFonts w:ascii="Arial" w:eastAsia="Times New Roman" w:hAnsi="Arial" w:cs="Arial"/>
          <w:color w:val="000000"/>
          <w:sz w:val="20"/>
          <w:szCs w:val="20"/>
        </w:rPr>
        <w:t>Our principal properties consist primarily of administrative offices and inventory storage facilities, none of which are</w:t>
      </w:r>
      <w:r>
        <w:rPr>
          <w:rFonts w:ascii="Arial" w:eastAsia="Times New Roman" w:hAnsi="Arial" w:cs="Arial"/>
          <w:color w:val="000000"/>
          <w:sz w:val="20"/>
          <w:szCs w:val="20"/>
        </w:rPr>
        <w:t xml:space="preserve"> individually material. We lease our corporate headquarters in Miami, Florida as well as administrative office space in London, Singapore and other strategic locations throughout the world.</w:t>
      </w:r>
    </w:p>
    <w:p w:rsidR="00000000" w:rsidRDefault="002223F7">
      <w:pPr>
        <w:jc w:val="both"/>
        <w:divId w:val="1342124464"/>
        <w:rPr>
          <w:rFonts w:eastAsia="Times New Roman"/>
        </w:rPr>
      </w:pPr>
      <w:r>
        <w:rPr>
          <w:rFonts w:ascii="Arial" w:eastAsia="Times New Roman" w:hAnsi="Arial" w:cs="Arial"/>
          <w:color w:val="000000"/>
          <w:sz w:val="20"/>
          <w:szCs w:val="20"/>
        </w:rPr>
        <w:t xml:space="preserve">As of February 17, 2023, the majority of our principal properties </w:t>
      </w:r>
      <w:r>
        <w:rPr>
          <w:rFonts w:ascii="Arial" w:eastAsia="Times New Roman" w:hAnsi="Arial" w:cs="Arial"/>
          <w:color w:val="000000"/>
          <w:sz w:val="20"/>
          <w:szCs w:val="20"/>
        </w:rPr>
        <w:t>are leased on commercially reasonable terms and we do not anticipate that we will experience difficulty in renewing or replacing any leases upon expiration in any material respect. Our properties are often utilized by one or more of our business segments a</w:t>
      </w:r>
      <w:r>
        <w:rPr>
          <w:rFonts w:ascii="Arial" w:eastAsia="Times New Roman" w:hAnsi="Arial" w:cs="Arial"/>
          <w:color w:val="000000"/>
          <w:sz w:val="20"/>
          <w:szCs w:val="20"/>
        </w:rPr>
        <w:t>nd we consider all of our properties and facilities to be suitable and adequate for our current needs.</w:t>
      </w:r>
    </w:p>
    <w:p w:rsidR="00000000" w:rsidRDefault="002223F7">
      <w:pPr>
        <w:divId w:val="1036200997"/>
        <w:rPr>
          <w:rFonts w:eastAsia="Times New Roman"/>
        </w:rPr>
      </w:pPr>
      <w:r>
        <w:rPr>
          <w:rFonts w:ascii="Arial" w:eastAsia="Times New Roman" w:hAnsi="Arial" w:cs="Arial"/>
          <w:b/>
          <w:bCs/>
          <w:color w:val="000000"/>
        </w:rPr>
        <w:t>Item 3. Legal Proceedings</w:t>
      </w:r>
    </w:p>
    <w:p w:rsidR="00000000" w:rsidRDefault="002223F7">
      <w:pPr>
        <w:jc w:val="both"/>
        <w:divId w:val="509566093"/>
        <w:rPr>
          <w:rFonts w:eastAsia="Times New Roman"/>
        </w:rPr>
      </w:pPr>
      <w:r>
        <w:rPr>
          <w:rFonts w:ascii="Arial" w:eastAsia="Times New Roman" w:hAnsi="Arial" w:cs="Arial"/>
          <w:color w:val="000000"/>
          <w:sz w:val="20"/>
          <w:szCs w:val="20"/>
        </w:rPr>
        <w:t>From time to time, we are under review by the IRS and various other domestic and foreign tax authorities with regards to income</w:t>
      </w:r>
      <w:r>
        <w:rPr>
          <w:rFonts w:ascii="Arial" w:eastAsia="Times New Roman" w:hAnsi="Arial" w:cs="Arial"/>
          <w:color w:val="000000"/>
          <w:sz w:val="20"/>
          <w:szCs w:val="20"/>
        </w:rPr>
        <w:t xml:space="preserve"> tax and indirect tax matters and are involved in various inquiries, audits, challenges and litigation in a number of countries, including, in particular, Brazil, Denmark, South Korea and the U.S. where the amounts under controversy may be material. See No</w:t>
      </w:r>
      <w:r>
        <w:rPr>
          <w:rFonts w:ascii="Arial" w:eastAsia="Times New Roman" w:hAnsi="Arial" w:cs="Arial"/>
          <w:color w:val="000000"/>
          <w:sz w:val="20"/>
          <w:szCs w:val="20"/>
        </w:rPr>
        <w:t>tes 11. Commitments and Contingencies and 10. Income Taxes for additional details regarding certain tax matters.</w:t>
      </w:r>
    </w:p>
    <w:p w:rsidR="00000000" w:rsidRDefault="002223F7">
      <w:pPr>
        <w:jc w:val="both"/>
        <w:divId w:val="1089890950"/>
        <w:rPr>
          <w:rFonts w:eastAsia="Times New Roman"/>
        </w:rPr>
      </w:pPr>
      <w:r>
        <w:rPr>
          <w:rFonts w:ascii="Arial" w:eastAsia="Times New Roman" w:hAnsi="Arial" w:cs="Arial"/>
          <w:color w:val="000000"/>
          <w:sz w:val="20"/>
          <w:szCs w:val="20"/>
        </w:rPr>
        <w:t>We are also a party to various claims, complaints and proceedings arising in the ordinary course of our business including, but not limited to,</w:t>
      </w:r>
      <w:r>
        <w:rPr>
          <w:rFonts w:ascii="Arial" w:eastAsia="Times New Roman" w:hAnsi="Arial" w:cs="Arial"/>
          <w:color w:val="000000"/>
          <w:sz w:val="20"/>
          <w:szCs w:val="20"/>
        </w:rPr>
        <w:t xml:space="preserve"> environmental claims, commercial and governmental contract claims, such as property damage, demurrage, personal injury, billing and fuel quality claims, as well as bankruptcy preference claims and administrative claims. We are not currently a party to any</w:t>
      </w:r>
      <w:r>
        <w:rPr>
          <w:rFonts w:ascii="Arial" w:eastAsia="Times New Roman" w:hAnsi="Arial" w:cs="Arial"/>
          <w:color w:val="000000"/>
          <w:sz w:val="20"/>
          <w:szCs w:val="20"/>
        </w:rPr>
        <w:t xml:space="preserve"> such claim, complaint or proceeding that we expect to have a material adverse effect on our business or financial condition. However, any adverse resolution of one or more such claims, complaints or proceedings during a particular reporting period could h</w:t>
      </w:r>
      <w:r>
        <w:rPr>
          <w:rFonts w:ascii="Arial" w:eastAsia="Times New Roman" w:hAnsi="Arial" w:cs="Arial"/>
          <w:color w:val="000000"/>
          <w:sz w:val="20"/>
          <w:szCs w:val="20"/>
        </w:rPr>
        <w:t>ave a material adverse effect on our Consolidated Financial Statements or disclosures for that period. See Note 11. Commitments and Contingencies for additional information.</w:t>
      </w:r>
    </w:p>
    <w:p w:rsidR="00000000" w:rsidRDefault="002223F7">
      <w:pPr>
        <w:divId w:val="1039084486"/>
        <w:rPr>
          <w:rFonts w:eastAsia="Times New Roman"/>
        </w:rPr>
      </w:pPr>
      <w:r>
        <w:rPr>
          <w:rFonts w:ascii="Arial" w:eastAsia="Times New Roman" w:hAnsi="Arial" w:cs="Arial"/>
          <w:b/>
          <w:bCs/>
          <w:color w:val="000000"/>
        </w:rPr>
        <w:t>Item 4. Mine Safety Disclosures</w:t>
      </w:r>
    </w:p>
    <w:p w:rsidR="00000000" w:rsidRDefault="002223F7">
      <w:pPr>
        <w:jc w:val="both"/>
        <w:divId w:val="1436289629"/>
        <w:rPr>
          <w:rFonts w:eastAsia="Times New Roman"/>
        </w:rPr>
      </w:pPr>
      <w:r>
        <w:rPr>
          <w:rFonts w:ascii="Arial" w:eastAsia="Times New Roman" w:hAnsi="Arial" w:cs="Arial"/>
          <w:color w:val="000000"/>
          <w:sz w:val="20"/>
          <w:szCs w:val="20"/>
        </w:rPr>
        <w:t>Not applicable.</w:t>
      </w:r>
    </w:p>
    <w:p w:rsidR="00000000" w:rsidRDefault="002223F7">
      <w:pPr>
        <w:divId w:val="723792805"/>
        <w:rPr>
          <w:rFonts w:eastAsia="Times New Roman"/>
        </w:rPr>
      </w:pPr>
      <w:r>
        <w:rPr>
          <w:rFonts w:ascii="Arial" w:eastAsia="Times New Roman" w:hAnsi="Arial" w:cs="Arial"/>
          <w:b/>
          <w:bCs/>
          <w:color w:val="000000"/>
        </w:rPr>
        <w:t>PART II</w:t>
      </w:r>
    </w:p>
    <w:p w:rsidR="00000000" w:rsidRDefault="002223F7">
      <w:pPr>
        <w:jc w:val="center"/>
        <w:divId w:val="1718238981"/>
        <w:rPr>
          <w:rFonts w:eastAsia="Times New Roman"/>
        </w:rPr>
      </w:pPr>
      <w:r>
        <w:rPr>
          <w:rFonts w:ascii="Arial" w:eastAsia="Times New Roman" w:hAnsi="Arial" w:cs="Arial"/>
          <w:color w:val="000000"/>
          <w:sz w:val="16"/>
          <w:szCs w:val="16"/>
        </w:rPr>
        <w:t>20</w:t>
      </w:r>
    </w:p>
    <w:p w:rsidR="00000000" w:rsidRDefault="002223F7">
      <w:pPr>
        <w:rPr>
          <w:rFonts w:eastAsia="Times New Roman"/>
        </w:rPr>
      </w:pPr>
      <w:r>
        <w:rPr>
          <w:rFonts w:eastAsia="Times New Roman"/>
        </w:rPr>
        <w:pict>
          <v:rect id="_x0000_i1050" style="width:0;height:1.5pt" o:hralign="center" o:hrstd="t" o:hr="t" fillcolor="#a0a0a0" stroked="f"/>
        </w:pict>
      </w:r>
    </w:p>
    <w:p w:rsidR="00000000" w:rsidRDefault="002223F7">
      <w:pPr>
        <w:jc w:val="both"/>
        <w:divId w:val="1656300321"/>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divId w:val="1107847503"/>
        <w:rPr>
          <w:rFonts w:eastAsia="Times New Roman"/>
        </w:rPr>
      </w:pPr>
      <w:r>
        <w:rPr>
          <w:rFonts w:ascii="Arial" w:eastAsia="Times New Roman" w:hAnsi="Arial" w:cs="Arial"/>
          <w:b/>
          <w:bCs/>
          <w:color w:val="000000"/>
        </w:rPr>
        <w:t>Item 5. Market for Registrant’</w:t>
      </w:r>
      <w:r>
        <w:rPr>
          <w:rFonts w:ascii="Arial" w:eastAsia="Times New Roman" w:hAnsi="Arial" w:cs="Arial"/>
          <w:b/>
          <w:bCs/>
          <w:color w:val="000000"/>
        </w:rPr>
        <w:t>s Common Equity, Related Shareholder Matters and Issuer Purchases of Equity Securities</w:t>
      </w:r>
    </w:p>
    <w:p w:rsidR="00000000" w:rsidRDefault="002223F7">
      <w:pPr>
        <w:jc w:val="both"/>
        <w:divId w:val="307787541"/>
        <w:rPr>
          <w:rFonts w:eastAsia="Times New Roman"/>
        </w:rPr>
      </w:pPr>
      <w:r>
        <w:rPr>
          <w:rFonts w:ascii="Arial" w:eastAsia="Times New Roman" w:hAnsi="Arial" w:cs="Arial"/>
          <w:color w:val="000000"/>
          <w:sz w:val="20"/>
          <w:szCs w:val="20"/>
        </w:rPr>
        <w:t>Our common stock is traded on the New York Stock Exchange ("NYSE") under the symbol INT. As of December 30, 2022, the closing price of our stock on the NYSE was $27.33.</w:t>
      </w:r>
    </w:p>
    <w:p w:rsidR="00000000" w:rsidRDefault="002223F7">
      <w:pPr>
        <w:jc w:val="both"/>
        <w:divId w:val="412093972"/>
        <w:rPr>
          <w:rFonts w:eastAsia="Times New Roman"/>
        </w:rPr>
      </w:pPr>
      <w:r>
        <w:rPr>
          <w:rFonts w:ascii="Arial" w:eastAsia="Times New Roman" w:hAnsi="Arial" w:cs="Arial"/>
          <w:color w:val="000000"/>
          <w:sz w:val="20"/>
          <w:szCs w:val="20"/>
        </w:rPr>
        <w:t>As of February 17, 2023, there were 74 shareholders of record of our common stock.</w:t>
      </w:r>
    </w:p>
    <w:p w:rsidR="00000000" w:rsidRDefault="002223F7">
      <w:pPr>
        <w:divId w:val="400057057"/>
        <w:rPr>
          <w:rFonts w:eastAsia="Times New Roman"/>
        </w:rPr>
      </w:pPr>
      <w:r>
        <w:rPr>
          <w:rFonts w:ascii="Arial" w:eastAsia="Times New Roman" w:hAnsi="Arial" w:cs="Arial"/>
          <w:b/>
          <w:bCs/>
          <w:color w:val="000000"/>
          <w:sz w:val="20"/>
          <w:szCs w:val="20"/>
        </w:rPr>
        <w:t>Stock Performance</w:t>
      </w:r>
    </w:p>
    <w:p w:rsidR="00000000" w:rsidRDefault="002223F7">
      <w:pPr>
        <w:jc w:val="both"/>
        <w:divId w:val="1794521882"/>
        <w:rPr>
          <w:rFonts w:eastAsia="Times New Roman"/>
        </w:rPr>
      </w:pPr>
      <w:r>
        <w:rPr>
          <w:rFonts w:ascii="Arial" w:eastAsia="Times New Roman" w:hAnsi="Arial" w:cs="Arial"/>
          <w:color w:val="000000"/>
          <w:sz w:val="20"/>
          <w:szCs w:val="20"/>
        </w:rPr>
        <w:t>This graph compares the total shareholder return on our common stock with the total return on the Russell 2000 Index and the S&amp;P 500 Energy Index for the f</w:t>
      </w:r>
      <w:r>
        <w:rPr>
          <w:rFonts w:ascii="Arial" w:eastAsia="Times New Roman" w:hAnsi="Arial" w:cs="Arial"/>
          <w:color w:val="000000"/>
          <w:sz w:val="20"/>
          <w:szCs w:val="20"/>
        </w:rPr>
        <w:t>ive</w:t>
      </w:r>
      <w:r>
        <w:rPr>
          <w:rFonts w:ascii="Arial" w:eastAsia="Times New Roman" w:hAnsi="Arial" w:cs="Arial"/>
          <w:color w:val="000000"/>
          <w:sz w:val="20"/>
          <w:szCs w:val="20"/>
        </w:rPr>
        <w:noBreakHyphen/>
        <w:t>year period from December 31, 2017 through December 31, 2022. The cumulative return includes reinvestment of dividends.</w:t>
      </w:r>
    </w:p>
    <w:p w:rsidR="00000000" w:rsidRDefault="002223F7">
      <w:pPr>
        <w:spacing w:after="120"/>
        <w:jc w:val="both"/>
        <w:divId w:val="1769814494"/>
        <w:rPr>
          <w:rFonts w:eastAsia="Times New Roman"/>
        </w:rPr>
      </w:pPr>
      <w:r>
        <w:rPr>
          <w:rFonts w:eastAsia="Times New Roman"/>
          <w:noProof/>
        </w:rPr>
        <w:drawing>
          <wp:inline distT="0" distB="0" distL="0" distR="0">
            <wp:extent cx="304800" cy="3048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2223F7">
      <w:pPr>
        <w:jc w:val="both"/>
        <w:divId w:val="595601824"/>
        <w:rPr>
          <w:rFonts w:eastAsia="Times New Roman"/>
        </w:rPr>
      </w:pPr>
      <w:r>
        <w:rPr>
          <w:rFonts w:ascii="Arial" w:eastAsia="Times New Roman" w:hAnsi="Arial" w:cs="Arial"/>
          <w:b/>
          <w:bCs/>
          <w:color w:val="000000"/>
          <w:sz w:val="20"/>
          <w:szCs w:val="20"/>
        </w:rPr>
        <w:t>Issuer Purchases o</w:t>
      </w:r>
      <w:r>
        <w:rPr>
          <w:rFonts w:ascii="Arial" w:eastAsia="Times New Roman" w:hAnsi="Arial" w:cs="Arial"/>
          <w:b/>
          <w:bCs/>
          <w:color w:val="000000"/>
          <w:sz w:val="20"/>
          <w:szCs w:val="20"/>
        </w:rPr>
        <w:t>f Equity Securities</w:t>
      </w:r>
    </w:p>
    <w:p w:rsidR="00000000" w:rsidRDefault="002223F7">
      <w:pPr>
        <w:jc w:val="both"/>
        <w:divId w:val="1868641772"/>
        <w:rPr>
          <w:rFonts w:eastAsia="Times New Roman"/>
        </w:rPr>
      </w:pPr>
      <w:r>
        <w:rPr>
          <w:rFonts w:ascii="Arial" w:eastAsia="Times New Roman" w:hAnsi="Arial" w:cs="Arial"/>
          <w:color w:val="000000"/>
          <w:sz w:val="20"/>
          <w:szCs w:val="20"/>
        </w:rPr>
        <w:t>In March 2020, the Board approved a stock repurchase program authorizing $200.0 million in common stock repurchases (the "2020 Repurchase Program"). Our repurchase program does not require a minimum number of shares of common stock to b</w:t>
      </w:r>
      <w:r>
        <w:rPr>
          <w:rFonts w:ascii="Arial" w:eastAsia="Times New Roman" w:hAnsi="Arial" w:cs="Arial"/>
          <w:color w:val="000000"/>
          <w:sz w:val="20"/>
          <w:szCs w:val="20"/>
        </w:rPr>
        <w:t>e purchased, has no expiration date, and repurchases may be suspended or discontinued at any time. As of December 31, 2022, approximately $147.1 million remains available for purchase under the 2020 Repurchase Program. The timing and amount of shares of co</w:t>
      </w:r>
      <w:r>
        <w:rPr>
          <w:rFonts w:ascii="Arial" w:eastAsia="Times New Roman" w:hAnsi="Arial" w:cs="Arial"/>
          <w:color w:val="000000"/>
          <w:sz w:val="20"/>
          <w:szCs w:val="20"/>
        </w:rPr>
        <w:t>mmon stock to be repurchased under the 2020 Repurchase Program will depend on market conditions, share price, securities law and other legal requirements and factors.</w:t>
      </w:r>
    </w:p>
    <w:p w:rsidR="00000000" w:rsidRDefault="002223F7">
      <w:pPr>
        <w:jc w:val="center"/>
        <w:divId w:val="934677267"/>
        <w:rPr>
          <w:rFonts w:eastAsia="Times New Roman"/>
        </w:rPr>
      </w:pPr>
      <w:r>
        <w:rPr>
          <w:rFonts w:ascii="Arial" w:eastAsia="Times New Roman" w:hAnsi="Arial" w:cs="Arial"/>
          <w:color w:val="000000"/>
          <w:sz w:val="16"/>
          <w:szCs w:val="16"/>
        </w:rPr>
        <w:t>21</w:t>
      </w:r>
    </w:p>
    <w:p w:rsidR="00000000" w:rsidRDefault="002223F7">
      <w:pPr>
        <w:rPr>
          <w:rFonts w:eastAsia="Times New Roman"/>
        </w:rPr>
      </w:pPr>
      <w:r>
        <w:rPr>
          <w:rFonts w:eastAsia="Times New Roman"/>
        </w:rPr>
        <w:pict>
          <v:rect id="_x0000_i1052" style="width:0;height:1.5pt" o:hralign="center" o:hrstd="t" o:hr="t" fillcolor="#a0a0a0" stroked="f"/>
        </w:pict>
      </w:r>
    </w:p>
    <w:p w:rsidR="00000000" w:rsidRDefault="002223F7">
      <w:pPr>
        <w:jc w:val="both"/>
        <w:divId w:val="1730568644"/>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2053075112"/>
        <w:rPr>
          <w:rFonts w:eastAsia="Times New Roman"/>
        </w:rPr>
      </w:pPr>
      <w:r>
        <w:rPr>
          <w:rFonts w:ascii="Arial" w:eastAsia="Times New Roman" w:hAnsi="Arial" w:cs="Arial"/>
          <w:color w:val="000000"/>
          <w:sz w:val="20"/>
          <w:szCs w:val="20"/>
        </w:rPr>
        <w:t>We did not repurchase any shares during the fourth quarter of 2022. For information on repurchases of common stock for the</w:t>
      </w:r>
      <w:r>
        <w:rPr>
          <w:rFonts w:ascii="Arial" w:eastAsia="Times New Roman" w:hAnsi="Arial" w:cs="Arial"/>
          <w:color w:val="000000"/>
          <w:sz w:val="20"/>
          <w:szCs w:val="20"/>
        </w:rPr>
        <w:t xml:space="preserve"> first three quarters of 2022, see the applicable Quarterly Reports on Form 10-Q.</w:t>
      </w:r>
    </w:p>
    <w:p w:rsidR="00000000" w:rsidRDefault="002223F7">
      <w:pPr>
        <w:divId w:val="2021392609"/>
        <w:rPr>
          <w:rFonts w:eastAsia="Times New Roman"/>
        </w:rPr>
      </w:pPr>
      <w:r>
        <w:rPr>
          <w:rFonts w:ascii="Arial" w:eastAsia="Times New Roman" w:hAnsi="Arial" w:cs="Arial"/>
          <w:b/>
          <w:bCs/>
          <w:color w:val="000000"/>
        </w:rPr>
        <w:t>Item 6. Reserved</w:t>
      </w:r>
    </w:p>
    <w:p w:rsidR="00000000" w:rsidRDefault="002223F7">
      <w:pPr>
        <w:divId w:val="1248032366"/>
        <w:rPr>
          <w:rFonts w:eastAsia="Times New Roman"/>
        </w:rPr>
      </w:pPr>
      <w:r>
        <w:rPr>
          <w:rFonts w:ascii="Arial" w:eastAsia="Times New Roman" w:hAnsi="Arial" w:cs="Arial"/>
          <w:b/>
          <w:bCs/>
          <w:color w:val="000000"/>
        </w:rPr>
        <w:t>Item 7. Management’s Discussion and Analysis of Financial Condition and Results of Operations</w:t>
      </w:r>
    </w:p>
    <w:p w:rsidR="00000000" w:rsidRDefault="002223F7">
      <w:pPr>
        <w:jc w:val="both"/>
        <w:divId w:val="2050258998"/>
        <w:rPr>
          <w:rFonts w:eastAsia="Times New Roman"/>
        </w:rPr>
      </w:pPr>
      <w:r>
        <w:rPr>
          <w:rFonts w:ascii="Arial" w:eastAsia="Times New Roman" w:hAnsi="Arial" w:cs="Arial"/>
          <w:color w:val="000000"/>
          <w:sz w:val="20"/>
          <w:szCs w:val="20"/>
        </w:rPr>
        <w:t>The following discussion should be read in conjunction with the</w:t>
      </w:r>
      <w:r>
        <w:rPr>
          <w:rFonts w:ascii="Arial" w:eastAsia="Times New Roman" w:hAnsi="Arial" w:cs="Arial"/>
          <w:color w:val="000000"/>
          <w:sz w:val="20"/>
          <w:szCs w:val="20"/>
        </w:rPr>
        <w:t xml:space="preserve"> accompanying Consolidated Financial Statements and Notes thereto appearing within Part IV. Item 15. Notes to the Consolidated Financial Statements in this 2022 10</w:t>
      </w:r>
      <w:r>
        <w:rPr>
          <w:rFonts w:ascii="Arial" w:eastAsia="Times New Roman" w:hAnsi="Arial" w:cs="Arial"/>
          <w:color w:val="000000"/>
          <w:sz w:val="20"/>
          <w:szCs w:val="20"/>
        </w:rPr>
        <w:noBreakHyphen/>
        <w:t>K Report. The following discussion may contain forward-looking statements, and our actual re</w:t>
      </w:r>
      <w:r>
        <w:rPr>
          <w:rFonts w:ascii="Arial" w:eastAsia="Times New Roman" w:hAnsi="Arial" w:cs="Arial"/>
          <w:color w:val="000000"/>
          <w:sz w:val="20"/>
          <w:szCs w:val="20"/>
        </w:rPr>
        <w:t xml:space="preserve">sults may differ materially from the results suggested by these forward-looking statements. Some factors that may cause our results to differ materially from the results and events anticipated or implied by such forward-looking statements are described in </w:t>
      </w:r>
      <w:r>
        <w:rPr>
          <w:rFonts w:ascii="Arial" w:eastAsia="Times New Roman" w:hAnsi="Arial" w:cs="Arial"/>
          <w:color w:val="000000"/>
          <w:sz w:val="20"/>
          <w:szCs w:val="20"/>
        </w:rPr>
        <w:t>Item 1A – Risk Factors and under Forward-Looking Statements.</w:t>
      </w:r>
    </w:p>
    <w:p w:rsidR="00000000" w:rsidRDefault="002223F7">
      <w:pPr>
        <w:jc w:val="both"/>
        <w:divId w:val="1252156190"/>
        <w:rPr>
          <w:rFonts w:eastAsia="Times New Roman"/>
        </w:rPr>
      </w:pPr>
      <w:r>
        <w:rPr>
          <w:rFonts w:ascii="Arial" w:eastAsia="Times New Roman" w:hAnsi="Arial" w:cs="Arial"/>
          <w:color w:val="000000"/>
          <w:sz w:val="20"/>
          <w:szCs w:val="20"/>
        </w:rPr>
        <w:t>We have elected to omit discussion on the earliest of the three years covered by the Consolidated Financial Statements presented in this 2022 10</w:t>
      </w:r>
      <w:r>
        <w:rPr>
          <w:rFonts w:ascii="Arial" w:eastAsia="Times New Roman" w:hAnsi="Arial" w:cs="Arial"/>
          <w:color w:val="000000"/>
          <w:sz w:val="20"/>
          <w:szCs w:val="20"/>
        </w:rPr>
        <w:noBreakHyphen/>
        <w:t>K Report. Refer to Item 7. Management’s Discussion</w:t>
      </w:r>
      <w:r>
        <w:rPr>
          <w:rFonts w:ascii="Arial" w:eastAsia="Times New Roman" w:hAnsi="Arial" w:cs="Arial"/>
          <w:color w:val="000000"/>
          <w:sz w:val="20"/>
          <w:szCs w:val="20"/>
        </w:rPr>
        <w:t xml:space="preserve"> and Analysis of Financial Condition and Results of Operations located in our Form 10-K for the fiscal year ended December 31, 2021 (herein incorporated by reference), filed with the SEC on February 25, 2022, for management's discussion of the fiscal year </w:t>
      </w:r>
      <w:r>
        <w:rPr>
          <w:rFonts w:ascii="Arial" w:eastAsia="Times New Roman" w:hAnsi="Arial" w:cs="Arial"/>
          <w:color w:val="000000"/>
          <w:sz w:val="20"/>
          <w:szCs w:val="20"/>
        </w:rPr>
        <w:t>ended December 31, 2020.</w:t>
      </w:r>
    </w:p>
    <w:p w:rsidR="00000000" w:rsidRDefault="002223F7">
      <w:pPr>
        <w:divId w:val="440536676"/>
        <w:rPr>
          <w:rFonts w:eastAsia="Times New Roman"/>
        </w:rPr>
      </w:pPr>
      <w:r>
        <w:rPr>
          <w:rFonts w:ascii="Arial" w:eastAsia="Times New Roman" w:hAnsi="Arial" w:cs="Arial"/>
          <w:b/>
          <w:bCs/>
          <w:color w:val="000000"/>
          <w:sz w:val="20"/>
          <w:szCs w:val="20"/>
        </w:rPr>
        <w:t>Business Overview</w:t>
      </w:r>
    </w:p>
    <w:p w:rsidR="00000000" w:rsidRDefault="002223F7">
      <w:pPr>
        <w:jc w:val="both"/>
        <w:divId w:val="677587492"/>
        <w:rPr>
          <w:rFonts w:eastAsia="Times New Roman"/>
        </w:rPr>
      </w:pPr>
      <w:r>
        <w:rPr>
          <w:rFonts w:ascii="Arial" w:eastAsia="Times New Roman" w:hAnsi="Arial" w:cs="Arial"/>
          <w:color w:val="000000"/>
          <w:sz w:val="20"/>
          <w:szCs w:val="20"/>
        </w:rPr>
        <w:t>We are principally engaged in the distribution of fuel and related products and services in the aviation, land, and marine transportation industries. Our intention is to become a leading global energy management c</w:t>
      </w:r>
      <w:r>
        <w:rPr>
          <w:rFonts w:ascii="Arial" w:eastAsia="Times New Roman" w:hAnsi="Arial" w:cs="Arial"/>
          <w:color w:val="000000"/>
          <w:sz w:val="20"/>
          <w:szCs w:val="20"/>
        </w:rPr>
        <w:t>ompany offering a full suite of energy advisory, management and fulfillment services, technology solutions, payment management solutions, as well as sustainability products and services across the energy product spectrum. For additional discussion on our b</w:t>
      </w:r>
      <w:r>
        <w:rPr>
          <w:rFonts w:ascii="Arial" w:eastAsia="Times New Roman" w:hAnsi="Arial" w:cs="Arial"/>
          <w:color w:val="000000"/>
          <w:sz w:val="20"/>
          <w:szCs w:val="20"/>
        </w:rPr>
        <w:t>usinesses, climate change and the associated risks, see Part I, Item 1. – Business and Item 1A – Risk Factors within this 2022 10-K Report.</w:t>
      </w:r>
    </w:p>
    <w:p w:rsidR="00000000" w:rsidRDefault="002223F7">
      <w:pPr>
        <w:divId w:val="851839826"/>
        <w:rPr>
          <w:rFonts w:eastAsia="Times New Roman"/>
        </w:rPr>
      </w:pPr>
      <w:r>
        <w:rPr>
          <w:rFonts w:ascii="Arial" w:eastAsia="Times New Roman" w:hAnsi="Arial" w:cs="Arial"/>
          <w:b/>
          <w:bCs/>
          <w:color w:val="000000"/>
          <w:sz w:val="20"/>
          <w:szCs w:val="20"/>
        </w:rPr>
        <w:t>Reportable Segments</w:t>
      </w:r>
    </w:p>
    <w:p w:rsidR="00000000" w:rsidRDefault="002223F7">
      <w:pPr>
        <w:jc w:val="both"/>
        <w:divId w:val="1314874595"/>
        <w:rPr>
          <w:rFonts w:eastAsia="Times New Roman"/>
        </w:rPr>
      </w:pPr>
      <w:r>
        <w:rPr>
          <w:rFonts w:ascii="Arial" w:eastAsia="Times New Roman" w:hAnsi="Arial" w:cs="Arial"/>
          <w:color w:val="000000"/>
          <w:sz w:val="20"/>
          <w:szCs w:val="20"/>
        </w:rPr>
        <w:t>We operate in three reportable segments consisting of aviation, land, and marine, where we offer</w:t>
      </w:r>
      <w:r>
        <w:rPr>
          <w:rFonts w:ascii="Arial" w:eastAsia="Times New Roman" w:hAnsi="Arial" w:cs="Arial"/>
          <w:color w:val="000000"/>
          <w:sz w:val="20"/>
          <w:szCs w:val="20"/>
        </w:rPr>
        <w:t xml:space="preserve"> fuel and related products and services to customers in these transportation industries.</w:t>
      </w:r>
    </w:p>
    <w:p w:rsidR="00000000" w:rsidRDefault="002223F7">
      <w:pPr>
        <w:jc w:val="both"/>
        <w:divId w:val="1982418132"/>
        <w:rPr>
          <w:rFonts w:eastAsia="Times New Roman"/>
        </w:rPr>
      </w:pPr>
      <w:r>
        <w:rPr>
          <w:rFonts w:ascii="Arial" w:eastAsia="Times New Roman" w:hAnsi="Arial" w:cs="Arial"/>
          <w:color w:val="000000"/>
          <w:sz w:val="20"/>
          <w:szCs w:val="20"/>
        </w:rPr>
        <w:t>See Part I, Item 1. – Business and Note 14. Business Segments, Geographic Information, and Major Customers for additional information about our business segments.</w:t>
      </w:r>
    </w:p>
    <w:p w:rsidR="00000000" w:rsidRDefault="002223F7">
      <w:pPr>
        <w:divId w:val="1843161496"/>
        <w:rPr>
          <w:rFonts w:eastAsia="Times New Roman"/>
        </w:rPr>
      </w:pPr>
      <w:r>
        <w:rPr>
          <w:rFonts w:ascii="Arial" w:eastAsia="Times New Roman" w:hAnsi="Arial" w:cs="Arial"/>
          <w:color w:val="000000"/>
          <w:sz w:val="20"/>
          <w:szCs w:val="20"/>
          <w:u w:val="single"/>
        </w:rPr>
        <w:t>Avia</w:t>
      </w:r>
      <w:r>
        <w:rPr>
          <w:rFonts w:ascii="Arial" w:eastAsia="Times New Roman" w:hAnsi="Arial" w:cs="Arial"/>
          <w:color w:val="000000"/>
          <w:sz w:val="20"/>
          <w:szCs w:val="20"/>
          <w:u w:val="single"/>
        </w:rPr>
        <w:t>tion Segment</w:t>
      </w:r>
    </w:p>
    <w:p w:rsidR="00000000" w:rsidRDefault="002223F7">
      <w:pPr>
        <w:jc w:val="both"/>
        <w:divId w:val="466513607"/>
        <w:rPr>
          <w:rFonts w:eastAsia="Times New Roman"/>
        </w:rPr>
      </w:pPr>
      <w:r>
        <w:rPr>
          <w:rFonts w:ascii="Arial" w:eastAsia="Times New Roman" w:hAnsi="Arial" w:cs="Arial"/>
          <w:color w:val="000000"/>
          <w:sz w:val="20"/>
          <w:szCs w:val="20"/>
        </w:rPr>
        <w:t>Our aviation segment has benefited from growth in our fuel and related services offerings, as well as our enhanced logistics capabilities and the geographic expansion of our aviation fueling operations into additional international airport loc</w:t>
      </w:r>
      <w:r>
        <w:rPr>
          <w:rFonts w:ascii="Arial" w:eastAsia="Times New Roman" w:hAnsi="Arial" w:cs="Arial"/>
          <w:color w:val="000000"/>
          <w:sz w:val="20"/>
          <w:szCs w:val="20"/>
        </w:rPr>
        <w:t>ations. As part of our growth strategy, we have also increased the level of inventory that we hold in order to meet the needs of our customers. While we generally enter into financial derivative contracts to mitigate price risk exposure associated with our</w:t>
      </w:r>
      <w:r>
        <w:rPr>
          <w:rFonts w:ascii="Arial" w:eastAsia="Times New Roman" w:hAnsi="Arial" w:cs="Arial"/>
          <w:color w:val="000000"/>
          <w:sz w:val="20"/>
          <w:szCs w:val="20"/>
        </w:rPr>
        <w:t xml:space="preserve"> inventory, depending on market pricing dynamics, we may experience negative impacts on our results, particularly in a market pricing environment experiencing severe backwardation, such as in the first half of 2022, where oil futures forward prices traded </w:t>
      </w:r>
      <w:r>
        <w:rPr>
          <w:rFonts w:ascii="Arial" w:eastAsia="Times New Roman" w:hAnsi="Arial" w:cs="Arial"/>
          <w:color w:val="000000"/>
          <w:sz w:val="20"/>
          <w:szCs w:val="20"/>
        </w:rPr>
        <w:t>at significantly lower levels than the current market price. Our results of operations in our aviation segment have also been significantly affected in recent years by the effects of the COVID-19 pandemic, as well as the withdrawal of the troops from Afgha</w:t>
      </w:r>
      <w:r>
        <w:rPr>
          <w:rFonts w:ascii="Arial" w:eastAsia="Times New Roman" w:hAnsi="Arial" w:cs="Arial"/>
          <w:color w:val="000000"/>
          <w:sz w:val="20"/>
          <w:szCs w:val="20"/>
        </w:rPr>
        <w:t>nistan by the U.S. and NATO that concluded in the third quarter of 2021. However, the relaxation of global travel restrictions has contributed to a substantial recovery in global aviation volumes as compared to pre-pandemic levels.</w:t>
      </w:r>
    </w:p>
    <w:p w:rsidR="00000000" w:rsidRDefault="002223F7">
      <w:pPr>
        <w:divId w:val="1892380543"/>
        <w:rPr>
          <w:rFonts w:eastAsia="Times New Roman"/>
        </w:rPr>
      </w:pPr>
      <w:r>
        <w:rPr>
          <w:rFonts w:ascii="Arial" w:eastAsia="Times New Roman" w:hAnsi="Arial" w:cs="Arial"/>
          <w:color w:val="000000"/>
          <w:sz w:val="20"/>
          <w:szCs w:val="20"/>
          <w:u w:val="single"/>
        </w:rPr>
        <w:t>Land Segment</w:t>
      </w:r>
    </w:p>
    <w:p w:rsidR="00000000" w:rsidRDefault="002223F7">
      <w:pPr>
        <w:jc w:val="both"/>
        <w:divId w:val="2118138030"/>
        <w:rPr>
          <w:rFonts w:eastAsia="Times New Roman"/>
        </w:rPr>
      </w:pPr>
      <w:r>
        <w:rPr>
          <w:rFonts w:ascii="Arial" w:eastAsia="Times New Roman" w:hAnsi="Arial" w:cs="Arial"/>
          <w:color w:val="000000"/>
          <w:sz w:val="20"/>
          <w:szCs w:val="20"/>
        </w:rPr>
        <w:t xml:space="preserve">We believe </w:t>
      </w:r>
      <w:r>
        <w:rPr>
          <w:rFonts w:ascii="Arial" w:eastAsia="Times New Roman" w:hAnsi="Arial" w:cs="Arial"/>
          <w:color w:val="000000"/>
          <w:sz w:val="20"/>
          <w:szCs w:val="20"/>
        </w:rPr>
        <w:t>our land segment is well-positioned to continue growing market share, both organically and through leveraging the capabilities of our acquisitions, including Flyers which we acquired in January 2022, serving to further enhance our business to deliver value</w:t>
      </w:r>
      <w:r>
        <w:rPr>
          <w:rFonts w:ascii="Arial" w:eastAsia="Times New Roman" w:hAnsi="Arial" w:cs="Arial"/>
          <w:color w:val="000000"/>
          <w:sz w:val="20"/>
          <w:szCs w:val="20"/>
        </w:rPr>
        <w:t xml:space="preserve">-added solutions to our land fuel customers. See Note 3. Acquisitions and Divestitures for additional information. </w:t>
      </w:r>
    </w:p>
    <w:p w:rsidR="00000000" w:rsidRDefault="002223F7">
      <w:pPr>
        <w:jc w:val="both"/>
        <w:divId w:val="112988340"/>
        <w:rPr>
          <w:rFonts w:eastAsia="Times New Roman"/>
        </w:rPr>
      </w:pPr>
      <w:r>
        <w:rPr>
          <w:rFonts w:ascii="Arial" w:eastAsia="Times New Roman" w:hAnsi="Arial" w:cs="Arial"/>
          <w:color w:val="000000"/>
          <w:sz w:val="20"/>
          <w:szCs w:val="20"/>
        </w:rPr>
        <w:t>We have also expanded our product and service offerings to include energy advisory services, sustainability solutions, as well as supply ful</w:t>
      </w:r>
      <w:r>
        <w:rPr>
          <w:rFonts w:ascii="Arial" w:eastAsia="Times New Roman" w:hAnsi="Arial" w:cs="Arial"/>
          <w:color w:val="000000"/>
          <w:sz w:val="20"/>
          <w:szCs w:val="20"/>
        </w:rPr>
        <w:t>fillment for natural gas and power. We continue to focus on supporting the energy transition through various initiatives and expanding our sustainability offerings, including renewable fuel products, and carbon management and renewable energy solutions thr</w:t>
      </w:r>
      <w:r>
        <w:rPr>
          <w:rFonts w:ascii="Arial" w:eastAsia="Times New Roman" w:hAnsi="Arial" w:cs="Arial"/>
          <w:color w:val="000000"/>
          <w:sz w:val="20"/>
          <w:szCs w:val="20"/>
        </w:rPr>
        <w:t xml:space="preserve">ough World Kinect, our global energy management </w:t>
      </w:r>
    </w:p>
    <w:p w:rsidR="00000000" w:rsidRDefault="002223F7">
      <w:pPr>
        <w:jc w:val="center"/>
        <w:divId w:val="1226066049"/>
        <w:rPr>
          <w:rFonts w:eastAsia="Times New Roman"/>
        </w:rPr>
      </w:pPr>
      <w:r>
        <w:rPr>
          <w:rFonts w:ascii="Arial" w:eastAsia="Times New Roman" w:hAnsi="Arial" w:cs="Arial"/>
          <w:color w:val="000000"/>
          <w:sz w:val="16"/>
          <w:szCs w:val="16"/>
        </w:rPr>
        <w:t>22</w:t>
      </w:r>
    </w:p>
    <w:p w:rsidR="00000000" w:rsidRDefault="002223F7">
      <w:pPr>
        <w:rPr>
          <w:rFonts w:eastAsia="Times New Roman"/>
        </w:rPr>
      </w:pPr>
      <w:r>
        <w:rPr>
          <w:rFonts w:eastAsia="Times New Roman"/>
        </w:rPr>
        <w:pict>
          <v:rect id="_x0000_i1053" style="width:0;height:1.5pt" o:hralign="center" o:hrstd="t" o:hr="t" fillcolor="#a0a0a0" stroked="f"/>
        </w:pict>
      </w:r>
    </w:p>
    <w:p w:rsidR="00000000" w:rsidRDefault="002223F7">
      <w:pPr>
        <w:jc w:val="both"/>
        <w:divId w:val="1774474616"/>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547452413"/>
        <w:rPr>
          <w:rFonts w:eastAsia="Times New Roman"/>
        </w:rPr>
      </w:pPr>
      <w:r>
        <w:rPr>
          <w:rFonts w:ascii="Arial" w:eastAsia="Times New Roman" w:hAnsi="Arial" w:cs="Arial"/>
          <w:color w:val="000000"/>
          <w:sz w:val="20"/>
          <w:szCs w:val="20"/>
        </w:rPr>
        <w:t xml:space="preserve">brand. We are continuing to invest in talent in this area, which we believe will help </w:t>
      </w:r>
      <w:r>
        <w:rPr>
          <w:rFonts w:ascii="Arial" w:eastAsia="Times New Roman" w:hAnsi="Arial" w:cs="Arial"/>
          <w:color w:val="000000"/>
          <w:sz w:val="20"/>
          <w:szCs w:val="20"/>
        </w:rPr>
        <w:t xml:space="preserve">accelerate growth in these activities. </w:t>
      </w:r>
    </w:p>
    <w:p w:rsidR="00000000" w:rsidRDefault="002223F7">
      <w:pPr>
        <w:jc w:val="both"/>
        <w:divId w:val="389814802"/>
        <w:rPr>
          <w:rFonts w:eastAsia="Times New Roman"/>
        </w:rPr>
      </w:pPr>
      <w:r>
        <w:rPr>
          <w:rFonts w:ascii="Arial" w:eastAsia="Times New Roman" w:hAnsi="Arial" w:cs="Arial"/>
          <w:color w:val="000000"/>
          <w:sz w:val="20"/>
          <w:szCs w:val="20"/>
        </w:rPr>
        <w:t>Finally, our land segment has also benefited from sales to NATO in Afghanistan in recent years, however, such activity materially declined and ultimately concluded in 2021 in connection with the withdrawal of the U.S</w:t>
      </w:r>
      <w:r>
        <w:rPr>
          <w:rFonts w:ascii="Arial" w:eastAsia="Times New Roman" w:hAnsi="Arial" w:cs="Arial"/>
          <w:color w:val="000000"/>
          <w:sz w:val="20"/>
          <w:szCs w:val="20"/>
        </w:rPr>
        <w:t>. and NATO troops.</w:t>
      </w:r>
    </w:p>
    <w:p w:rsidR="00000000" w:rsidRDefault="002223F7">
      <w:pPr>
        <w:divId w:val="772212081"/>
        <w:rPr>
          <w:rFonts w:eastAsia="Times New Roman"/>
        </w:rPr>
      </w:pPr>
      <w:r>
        <w:rPr>
          <w:rFonts w:ascii="Arial" w:eastAsia="Times New Roman" w:hAnsi="Arial" w:cs="Arial"/>
          <w:color w:val="000000"/>
          <w:sz w:val="20"/>
          <w:szCs w:val="20"/>
          <w:u w:val="single"/>
        </w:rPr>
        <w:t>Marine Segment</w:t>
      </w:r>
    </w:p>
    <w:p w:rsidR="00000000" w:rsidRDefault="002223F7">
      <w:pPr>
        <w:jc w:val="both"/>
        <w:divId w:val="1541280550"/>
        <w:rPr>
          <w:rFonts w:eastAsia="Times New Roman"/>
        </w:rPr>
      </w:pPr>
      <w:r>
        <w:rPr>
          <w:rFonts w:ascii="Arial" w:eastAsia="Times New Roman" w:hAnsi="Arial" w:cs="Arial"/>
          <w:color w:val="000000"/>
          <w:sz w:val="20"/>
          <w:szCs w:val="20"/>
        </w:rPr>
        <w:t>Due to the generally spot nature of sales in our marine business, we have traditionally benefited from elevated fuel prices and volatility, supply uncertainty, and a constrained credit environment. Over the last several ye</w:t>
      </w:r>
      <w:r>
        <w:rPr>
          <w:rFonts w:ascii="Arial" w:eastAsia="Times New Roman" w:hAnsi="Arial" w:cs="Arial"/>
          <w:color w:val="000000"/>
          <w:sz w:val="20"/>
          <w:szCs w:val="20"/>
        </w:rPr>
        <w:t>ars, we have spent a considerable amount of time reorganizing our business to drive internal efficiencies so that we can generate relatively moderate levels of earnings in stable markets and yet remain poised to provide additional value in volatile and cre</w:t>
      </w:r>
      <w:r>
        <w:rPr>
          <w:rFonts w:ascii="Arial" w:eastAsia="Times New Roman" w:hAnsi="Arial" w:cs="Arial"/>
          <w:color w:val="000000"/>
          <w:sz w:val="20"/>
          <w:szCs w:val="20"/>
        </w:rPr>
        <w:t xml:space="preserve">dit constrained markets. In 2022, our marine segment delivered exceptional results due to the market conditions arising from the dramatic increase in global oil prices and higher interest rates, as well as the disruption of traditional supply patterns and </w:t>
      </w:r>
      <w:r>
        <w:rPr>
          <w:rFonts w:ascii="Arial" w:eastAsia="Times New Roman" w:hAnsi="Arial" w:cs="Arial"/>
          <w:color w:val="000000"/>
          <w:sz w:val="20"/>
          <w:szCs w:val="20"/>
        </w:rPr>
        <w:t>related price volatility. However, with lower global oil prices and reduced market volatility forecasted for 2023, we expect our marine segment's performance to be materially lower than the extraordinary results produced in 2022.</w:t>
      </w:r>
    </w:p>
    <w:p w:rsidR="00000000" w:rsidRDefault="002223F7">
      <w:pPr>
        <w:divId w:val="582228349"/>
        <w:rPr>
          <w:rFonts w:eastAsia="Times New Roman"/>
        </w:rPr>
      </w:pPr>
      <w:r>
        <w:rPr>
          <w:rFonts w:ascii="Arial" w:eastAsia="Times New Roman" w:hAnsi="Arial" w:cs="Arial"/>
          <w:b/>
          <w:bCs/>
          <w:color w:val="000000"/>
          <w:sz w:val="20"/>
          <w:szCs w:val="20"/>
        </w:rPr>
        <w:t>Macroeconomic Environment</w:t>
      </w:r>
    </w:p>
    <w:p w:rsidR="00000000" w:rsidRDefault="002223F7">
      <w:pPr>
        <w:jc w:val="both"/>
        <w:divId w:val="1897162314"/>
        <w:rPr>
          <w:rFonts w:eastAsia="Times New Roman"/>
        </w:rPr>
      </w:pPr>
      <w:r>
        <w:rPr>
          <w:rFonts w:ascii="Arial" w:eastAsia="Times New Roman" w:hAnsi="Arial" w:cs="Arial"/>
          <w:color w:val="000000"/>
          <w:sz w:val="20"/>
          <w:szCs w:val="20"/>
        </w:rPr>
        <w:t>After being relatively moderate in recent years, inflation in the United States and other jurisdictions in which we do business increased significantly in late 2021 into 2022, primarily driven by supply chain disruptions, labor shortages and increased comm</w:t>
      </w:r>
      <w:r>
        <w:rPr>
          <w:rFonts w:ascii="Arial" w:eastAsia="Times New Roman" w:hAnsi="Arial" w:cs="Arial"/>
          <w:color w:val="000000"/>
          <w:sz w:val="20"/>
          <w:szCs w:val="20"/>
        </w:rPr>
        <w:t>odity prices, which generally resulted in higher costs in 2022. However, to the extent that a rising cost environment impacts our results, there are typically offsetting benefits either inherent in certain parts of our business or that may result from proa</w:t>
      </w:r>
      <w:r>
        <w:rPr>
          <w:rFonts w:ascii="Arial" w:eastAsia="Times New Roman" w:hAnsi="Arial" w:cs="Arial"/>
          <w:color w:val="000000"/>
          <w:sz w:val="20"/>
          <w:szCs w:val="20"/>
        </w:rPr>
        <w:t>ctive measures we take to reduce the impact of inflation on our net operating results. These benefits can include higher commodity prices that typically result in a constrained credit environment, often creating favorable market conditions that increase de</w:t>
      </w:r>
      <w:r>
        <w:rPr>
          <w:rFonts w:ascii="Arial" w:eastAsia="Times New Roman" w:hAnsi="Arial" w:cs="Arial"/>
          <w:color w:val="000000"/>
          <w:sz w:val="20"/>
          <w:szCs w:val="20"/>
        </w:rPr>
        <w:t>mand for our services, as well as our ability to renegotiate prices due to many of our sales contracts being 12 months or less in duration. Additionally, we take measures to mitigate the impact of increases in fuel prices through comprehensive hedging prog</w:t>
      </w:r>
      <w:r>
        <w:rPr>
          <w:rFonts w:ascii="Arial" w:eastAsia="Times New Roman" w:hAnsi="Arial" w:cs="Arial"/>
          <w:color w:val="000000"/>
          <w:sz w:val="20"/>
          <w:szCs w:val="20"/>
        </w:rPr>
        <w:t>rams and the use of financial derivative contracts.</w:t>
      </w:r>
    </w:p>
    <w:p w:rsidR="00000000" w:rsidRDefault="002223F7">
      <w:pPr>
        <w:jc w:val="both"/>
        <w:divId w:val="1184171318"/>
        <w:rPr>
          <w:rFonts w:eastAsia="Times New Roman"/>
        </w:rPr>
      </w:pPr>
      <w:r>
        <w:rPr>
          <w:rFonts w:ascii="Arial" w:eastAsia="Times New Roman" w:hAnsi="Arial" w:cs="Arial"/>
          <w:color w:val="000000"/>
          <w:sz w:val="20"/>
          <w:szCs w:val="20"/>
        </w:rPr>
        <w:t>For these reasons, the increased cost environment, caused in part by inflation, has not had a material impact on our historical results of operations for the periods presented in this report. However, a s</w:t>
      </w:r>
      <w:r>
        <w:rPr>
          <w:rFonts w:ascii="Arial" w:eastAsia="Times New Roman" w:hAnsi="Arial" w:cs="Arial"/>
          <w:color w:val="000000"/>
          <w:sz w:val="20"/>
          <w:szCs w:val="20"/>
        </w:rPr>
        <w:t>ignificant or prolonged period of high inflation, particularly when combined with rising interest rates due to actions taken by governments to attempt to control inflation, could adversely impact our results if costs, including employee compensation driven</w:t>
      </w:r>
      <w:r>
        <w:rPr>
          <w:rFonts w:ascii="Arial" w:eastAsia="Times New Roman" w:hAnsi="Arial" w:cs="Arial"/>
          <w:color w:val="000000"/>
          <w:sz w:val="20"/>
          <w:szCs w:val="20"/>
        </w:rPr>
        <w:t xml:space="preserve"> by competitive job market conditions, were to increase at a rate greater than the increase in the revenues we generate. Higher interest rates also typically increase the interest expense associated with our credit arrangements with banks and other parties</w:t>
      </w:r>
      <w:r>
        <w:rPr>
          <w:rFonts w:ascii="Arial" w:eastAsia="Times New Roman" w:hAnsi="Arial" w:cs="Arial"/>
          <w:color w:val="000000"/>
          <w:sz w:val="20"/>
          <w:szCs w:val="20"/>
        </w:rPr>
        <w:t xml:space="preserve"> that serve as important sources of liquidity for us, which can therefore negatively impact our results of operations for a particular period.</w:t>
      </w:r>
    </w:p>
    <w:p w:rsidR="00000000" w:rsidRDefault="002223F7">
      <w:pPr>
        <w:jc w:val="both"/>
        <w:divId w:val="1673415499"/>
        <w:rPr>
          <w:rFonts w:eastAsia="Times New Roman"/>
        </w:rPr>
      </w:pPr>
      <w:r>
        <w:rPr>
          <w:rFonts w:ascii="Arial" w:eastAsia="Times New Roman" w:hAnsi="Arial" w:cs="Arial"/>
          <w:color w:val="000000"/>
          <w:sz w:val="20"/>
          <w:szCs w:val="20"/>
        </w:rPr>
        <w:t>See “We extend credit to most of our customers in connection with their purchase of fuel and services from us, an</w:t>
      </w:r>
      <w:r>
        <w:rPr>
          <w:rFonts w:ascii="Arial" w:eastAsia="Times New Roman" w:hAnsi="Arial" w:cs="Arial"/>
          <w:color w:val="000000"/>
          <w:sz w:val="20"/>
          <w:szCs w:val="20"/>
        </w:rPr>
        <w:t xml:space="preserve">d our financial condition, results of operations and cash flows will be adversely affected if we are unable to collect accounts receivable,” “Changes in the market price of fuel may have a material adverse effect on our business,” “Our business depends on </w:t>
      </w:r>
      <w:r>
        <w:rPr>
          <w:rFonts w:ascii="Arial" w:eastAsia="Times New Roman" w:hAnsi="Arial" w:cs="Arial"/>
          <w:color w:val="000000"/>
          <w:sz w:val="20"/>
          <w:szCs w:val="20"/>
        </w:rPr>
        <w:t xml:space="preserve">our ability to adequately finance our capital requirements and fund our investments, which, if not available to us, would impact our ability to conduct our operations,” "Significant inflation and higher interest rates may adversely affect our business and </w:t>
      </w:r>
      <w:r>
        <w:rPr>
          <w:rFonts w:ascii="Arial" w:eastAsia="Times New Roman" w:hAnsi="Arial" w:cs="Arial"/>
          <w:color w:val="000000"/>
          <w:sz w:val="20"/>
          <w:szCs w:val="20"/>
        </w:rPr>
        <w:t>financial condition," and “Our derivative transactions with customers, suppliers, merchants and financial institutions expose us to price and credit risks, which could have a material adverse effect on our business” in Item 1A. – Risk Factors within this 2</w:t>
      </w:r>
      <w:r>
        <w:rPr>
          <w:rFonts w:ascii="Arial" w:eastAsia="Times New Roman" w:hAnsi="Arial" w:cs="Arial"/>
          <w:color w:val="000000"/>
          <w:sz w:val="20"/>
          <w:szCs w:val="20"/>
        </w:rPr>
        <w:t>022 10-K Report.</w:t>
      </w:r>
    </w:p>
    <w:p w:rsidR="00000000" w:rsidRDefault="002223F7">
      <w:pPr>
        <w:jc w:val="center"/>
        <w:divId w:val="412315703"/>
        <w:rPr>
          <w:rFonts w:eastAsia="Times New Roman"/>
        </w:rPr>
      </w:pPr>
      <w:r>
        <w:rPr>
          <w:rFonts w:ascii="Arial" w:eastAsia="Times New Roman" w:hAnsi="Arial" w:cs="Arial"/>
          <w:color w:val="000000"/>
          <w:sz w:val="16"/>
          <w:szCs w:val="16"/>
        </w:rPr>
        <w:t>23</w:t>
      </w:r>
    </w:p>
    <w:p w:rsidR="00000000" w:rsidRDefault="002223F7">
      <w:pPr>
        <w:rPr>
          <w:rFonts w:eastAsia="Times New Roman"/>
        </w:rPr>
      </w:pPr>
      <w:r>
        <w:rPr>
          <w:rFonts w:eastAsia="Times New Roman"/>
        </w:rPr>
        <w:pict>
          <v:rect id="_x0000_i1054" style="width:0;height:1.5pt" o:hralign="center" o:hrstd="t" o:hr="t" fillcolor="#a0a0a0" stroked="f"/>
        </w:pict>
      </w:r>
    </w:p>
    <w:p w:rsidR="00000000" w:rsidRDefault="002223F7">
      <w:pPr>
        <w:jc w:val="both"/>
        <w:divId w:val="1893232871"/>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divId w:val="363098739"/>
        <w:rPr>
          <w:rFonts w:eastAsia="Times New Roman"/>
        </w:rPr>
      </w:pPr>
      <w:r>
        <w:rPr>
          <w:rFonts w:ascii="Arial" w:eastAsia="Times New Roman" w:hAnsi="Arial" w:cs="Arial"/>
          <w:b/>
          <w:bCs/>
          <w:color w:val="000000"/>
          <w:sz w:val="20"/>
          <w:szCs w:val="20"/>
        </w:rPr>
        <w:t>Results of Operations</w:t>
      </w:r>
    </w:p>
    <w:p w:rsidR="00000000" w:rsidRDefault="002223F7">
      <w:pPr>
        <w:divId w:val="1464926940"/>
        <w:rPr>
          <w:rFonts w:eastAsia="Times New Roman"/>
        </w:rPr>
      </w:pPr>
      <w:r>
        <w:rPr>
          <w:rFonts w:ascii="Arial" w:eastAsia="Times New Roman" w:hAnsi="Arial" w:cs="Arial"/>
          <w:color w:val="000000"/>
          <w:sz w:val="20"/>
          <w:szCs w:val="20"/>
          <w:u w:val="single"/>
        </w:rPr>
        <w:t>Year Ended December 31, 2022 Compared to Year Ended December 31, 2021</w:t>
      </w:r>
    </w:p>
    <w:p w:rsidR="00000000" w:rsidRDefault="002223F7">
      <w:pPr>
        <w:jc w:val="both"/>
        <w:rPr>
          <w:rFonts w:eastAsia="Times New Roman"/>
        </w:rPr>
      </w:pPr>
    </w:p>
    <w:p w:rsidR="00000000" w:rsidRDefault="002223F7">
      <w:pPr>
        <w:jc w:val="both"/>
        <w:rPr>
          <w:rFonts w:eastAsia="Times New Roman"/>
        </w:rPr>
      </w:pPr>
      <w:r>
        <w:rPr>
          <w:rFonts w:ascii="Arial" w:eastAsia="Times New Roman" w:hAnsi="Arial" w:cs="Arial"/>
          <w:i/>
          <w:iCs/>
          <w:color w:val="000000"/>
          <w:sz w:val="20"/>
          <w:szCs w:val="20"/>
        </w:rPr>
        <w:t>Consolidated Results of Operations</w:t>
      </w:r>
    </w:p>
    <w:p w:rsidR="00000000" w:rsidRDefault="002223F7">
      <w:pPr>
        <w:jc w:val="both"/>
        <w:divId w:val="1176503226"/>
        <w:rPr>
          <w:rFonts w:eastAsia="Times New Roman"/>
        </w:rPr>
      </w:pPr>
      <w:r>
        <w:rPr>
          <w:rFonts w:ascii="Arial" w:eastAsia="Times New Roman" w:hAnsi="Arial" w:cs="Arial"/>
          <w:color w:val="000000"/>
          <w:sz w:val="20"/>
          <w:szCs w:val="20"/>
        </w:rPr>
        <w:t>The following provides a summary of our consolidated results of operations for the periods indicated (in millions, except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39"/>
        <w:gridCol w:w="5393"/>
        <w:gridCol w:w="38"/>
        <w:gridCol w:w="36"/>
        <w:gridCol w:w="36"/>
        <w:gridCol w:w="36"/>
        <w:gridCol w:w="132"/>
        <w:gridCol w:w="1142"/>
        <w:gridCol w:w="36"/>
        <w:gridCol w:w="36"/>
        <w:gridCol w:w="36"/>
        <w:gridCol w:w="36"/>
        <w:gridCol w:w="132"/>
        <w:gridCol w:w="1142"/>
        <w:gridCol w:w="36"/>
      </w:tblGrid>
      <w:tr w:rsidR="00000000">
        <w:trPr>
          <w:divId w:val="418214894"/>
        </w:trPr>
        <w:tc>
          <w:tcPr>
            <w:tcW w:w="50" w:type="pct"/>
            <w:vAlign w:val="center"/>
            <w:hideMark/>
          </w:tcPr>
          <w:p w:rsidR="00000000" w:rsidRDefault="002223F7">
            <w:pPr>
              <w:jc w:val="both"/>
              <w:rPr>
                <w:rFonts w:eastAsia="Times New Roman"/>
              </w:rPr>
            </w:pPr>
          </w:p>
        </w:tc>
        <w:tc>
          <w:tcPr>
            <w:tcW w:w="3278"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72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72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418214894"/>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For the Year Ended December 31,</w:t>
            </w:r>
          </w:p>
        </w:tc>
      </w:tr>
      <w:tr w:rsidR="00000000">
        <w:trPr>
          <w:divId w:val="418214894"/>
        </w:trPr>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2021</w:t>
            </w:r>
          </w:p>
        </w:tc>
      </w:tr>
      <w:tr w:rsidR="00000000">
        <w:trPr>
          <w:divId w:val="418214894"/>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59,043.1 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31,337.0 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18214894"/>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Cost of revenue</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57,954.1 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30,548.8 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18214894"/>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Gross profit</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1,089.1 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788.2 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18214894"/>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418214894"/>
        </w:trPr>
        <w:tc>
          <w:tcPr>
            <w:tcW w:w="0" w:type="auto"/>
            <w:gridSpan w:val="3"/>
            <w:shd w:val="clear" w:color="auto" w:fill="CCEEFF"/>
            <w:tcMar>
              <w:top w:w="30" w:type="dxa"/>
              <w:left w:w="155"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Compensation and employee benefits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507.4 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386.7 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18214894"/>
        </w:trPr>
        <w:tc>
          <w:tcPr>
            <w:tcW w:w="0" w:type="auto"/>
            <w:gridSpan w:val="3"/>
            <w:shd w:val="clear" w:color="auto" w:fill="FFFFFF"/>
            <w:tcMar>
              <w:top w:w="30" w:type="dxa"/>
              <w:left w:w="155"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General and administrative</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308.7 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247.6 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18214894"/>
        </w:trPr>
        <w:tc>
          <w:tcPr>
            <w:tcW w:w="0" w:type="auto"/>
            <w:gridSpan w:val="3"/>
            <w:shd w:val="clear" w:color="auto" w:fill="CCEEFF"/>
            <w:tcMar>
              <w:top w:w="30" w:type="dxa"/>
              <w:left w:w="155"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Asset impairments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18214894"/>
        </w:trPr>
        <w:tc>
          <w:tcPr>
            <w:tcW w:w="0" w:type="auto"/>
            <w:gridSpan w:val="3"/>
            <w:shd w:val="clear" w:color="auto" w:fill="FFFFFF"/>
            <w:tcMar>
              <w:top w:w="30" w:type="dxa"/>
              <w:left w:w="155"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Restructuring charges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(0.8)</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18214894"/>
        </w:trPr>
        <w:tc>
          <w:tcPr>
            <w:tcW w:w="0" w:type="auto"/>
            <w:gridSpan w:val="3"/>
            <w:shd w:val="clear" w:color="auto" w:fill="CCEEFF"/>
            <w:tcMar>
              <w:top w:w="30" w:type="dxa"/>
              <w:left w:w="26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operating expenses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815.8 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645.6 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18214894"/>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Income from operations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273.2 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18214894"/>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Non-operating income (expenses), net:</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418214894"/>
        </w:trPr>
        <w:tc>
          <w:tcPr>
            <w:tcW w:w="0" w:type="auto"/>
            <w:gridSpan w:val="3"/>
            <w:shd w:val="clear" w:color="auto" w:fill="FFFFFF"/>
            <w:tcMar>
              <w:top w:w="30" w:type="dxa"/>
              <w:left w:w="155"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Interest expense and other financing costs, net</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(110.6)</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(40.2)</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18214894"/>
        </w:trPr>
        <w:tc>
          <w:tcPr>
            <w:tcW w:w="0" w:type="auto"/>
            <w:gridSpan w:val="3"/>
            <w:shd w:val="clear" w:color="auto" w:fill="CCEEFF"/>
            <w:tcMar>
              <w:top w:w="30" w:type="dxa"/>
              <w:left w:w="155"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Other income (expense), net</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(17.5)</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18214894"/>
        </w:trPr>
        <w:tc>
          <w:tcPr>
            <w:tcW w:w="0" w:type="auto"/>
            <w:gridSpan w:val="3"/>
            <w:shd w:val="clear" w:color="auto" w:fill="FFFFFF"/>
            <w:tcMar>
              <w:top w:w="30" w:type="dxa"/>
              <w:left w:w="26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non-operating income (expense), net</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(128.1)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(42.5)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18214894"/>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Income (loss) before income taxes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18214894"/>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Provision for income taxes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29.2 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25.8 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18214894"/>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Net income (loss) including noncontrolling interest</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18214894"/>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Net income (loss) attributable to noncontrolling interest</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18214894"/>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Net income (loss) attributable to World Fuel</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18214894"/>
          <w:trHeight w:val="120"/>
        </w:trPr>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418214894"/>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Basic earnings (loss) per common share</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1.83 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18214894"/>
          <w:trHeight w:val="120"/>
        </w:trPr>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418214894"/>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Diluted earnings (loss) per common share</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1.82 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1.16 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jc w:val="both"/>
        <w:divId w:val="760951794"/>
        <w:rPr>
          <w:rFonts w:eastAsia="Times New Roman"/>
        </w:rPr>
      </w:pPr>
      <w:r>
        <w:rPr>
          <w:rFonts w:ascii="Arial" w:eastAsia="Times New Roman" w:hAnsi="Arial" w:cs="Arial"/>
          <w:i/>
          <w:iCs/>
          <w:color w:val="000000"/>
          <w:sz w:val="20"/>
          <w:szCs w:val="20"/>
        </w:rPr>
        <w:t>Revenue</w:t>
      </w:r>
      <w:r>
        <w:rPr>
          <w:rFonts w:ascii="Arial" w:eastAsia="Times New Roman" w:hAnsi="Arial" w:cs="Arial"/>
          <w:color w:val="000000"/>
          <w:sz w:val="20"/>
          <w:szCs w:val="20"/>
        </w:rPr>
        <w:t>. Our consolidated revenue for the year ended December 31, 2022 was $59.0 billion, an increase of $27.7 billion, or 88%, compared to the year ended December 31, 2021, due to higher fuel prices and increased volumes in the aviation, land, and marine segment</w:t>
      </w:r>
      <w:r>
        <w:rPr>
          <w:rFonts w:ascii="Arial" w:eastAsia="Times New Roman" w:hAnsi="Arial" w:cs="Arial"/>
          <w:color w:val="000000"/>
          <w:sz w:val="20"/>
          <w:szCs w:val="20"/>
        </w:rPr>
        <w:t>s, respectively, as discussed further below.</w:t>
      </w:r>
    </w:p>
    <w:p w:rsidR="00000000" w:rsidRDefault="002223F7">
      <w:pPr>
        <w:jc w:val="both"/>
        <w:divId w:val="1402950847"/>
        <w:rPr>
          <w:rFonts w:eastAsia="Times New Roman"/>
        </w:rPr>
      </w:pPr>
      <w:r>
        <w:rPr>
          <w:rFonts w:ascii="Arial" w:eastAsia="Times New Roman" w:hAnsi="Arial" w:cs="Arial"/>
          <w:i/>
          <w:iCs/>
          <w:color w:val="000000"/>
          <w:sz w:val="20"/>
          <w:szCs w:val="20"/>
        </w:rPr>
        <w:t>Gross profit</w:t>
      </w:r>
      <w:r>
        <w:rPr>
          <w:rFonts w:ascii="Arial" w:eastAsia="Times New Roman" w:hAnsi="Arial" w:cs="Arial"/>
          <w:color w:val="000000"/>
          <w:sz w:val="20"/>
          <w:szCs w:val="20"/>
        </w:rPr>
        <w:t>. Our consolidated gross profit for the year ended December 31, 2022 was $1.1 billion, an increase of $300.9 million, or 38%, compared to the year ended December 31, 2021, driven by increased gross profit of $174.9 million and $155.7 million in the land an</w:t>
      </w:r>
      <w:r>
        <w:rPr>
          <w:rFonts w:ascii="Arial" w:eastAsia="Times New Roman" w:hAnsi="Arial" w:cs="Arial"/>
          <w:color w:val="000000"/>
          <w:sz w:val="20"/>
          <w:szCs w:val="20"/>
        </w:rPr>
        <w:t>d marine segments, respectively, partially offset by a decrease of $29.7 million in the aviation segment, as discussed further below.</w:t>
      </w:r>
    </w:p>
    <w:p w:rsidR="00000000" w:rsidRDefault="002223F7">
      <w:pPr>
        <w:jc w:val="both"/>
        <w:divId w:val="1163622155"/>
        <w:rPr>
          <w:rFonts w:eastAsia="Times New Roman"/>
        </w:rPr>
      </w:pPr>
      <w:r>
        <w:rPr>
          <w:rFonts w:ascii="Arial" w:eastAsia="Times New Roman" w:hAnsi="Arial" w:cs="Arial"/>
          <w:i/>
          <w:iCs/>
          <w:color w:val="000000"/>
          <w:sz w:val="20"/>
          <w:szCs w:val="20"/>
        </w:rPr>
        <w:t>Operating Expenses</w:t>
      </w:r>
      <w:r>
        <w:rPr>
          <w:rFonts w:ascii="Arial" w:eastAsia="Times New Roman" w:hAnsi="Arial" w:cs="Arial"/>
          <w:color w:val="000000"/>
          <w:sz w:val="20"/>
          <w:szCs w:val="20"/>
        </w:rPr>
        <w:t>. Consolidated total operating expenses for the year ended December 31, 2022 were $815.8 million, an inc</w:t>
      </w:r>
      <w:r>
        <w:rPr>
          <w:rFonts w:ascii="Arial" w:eastAsia="Times New Roman" w:hAnsi="Arial" w:cs="Arial"/>
          <w:color w:val="000000"/>
          <w:sz w:val="20"/>
          <w:szCs w:val="20"/>
        </w:rPr>
        <w:t xml:space="preserve">rease of $170.2 million, or 26%, compared to the year ended December 31, 2021. The increase in operating expenses was partially attributable to increased compensation and employee benefit costs, the addition of Flyers' operating expenses of $66.3 million, </w:t>
      </w:r>
      <w:r>
        <w:rPr>
          <w:rFonts w:ascii="Arial" w:eastAsia="Times New Roman" w:hAnsi="Arial" w:cs="Arial"/>
          <w:color w:val="000000"/>
          <w:sz w:val="20"/>
          <w:szCs w:val="20"/>
        </w:rPr>
        <w:t>as well as higher general and administrative costs as business activity continued to normalize. These increases were partially offset by a decrease in asset impairment and restructuring charges compared to the year ended December 31, 2021, principally in o</w:t>
      </w:r>
      <w:r>
        <w:rPr>
          <w:rFonts w:ascii="Arial" w:eastAsia="Times New Roman" w:hAnsi="Arial" w:cs="Arial"/>
          <w:color w:val="000000"/>
          <w:sz w:val="20"/>
          <w:szCs w:val="20"/>
        </w:rPr>
        <w:t>ur land segment.</w:t>
      </w:r>
    </w:p>
    <w:p w:rsidR="00000000" w:rsidRDefault="002223F7">
      <w:pPr>
        <w:jc w:val="both"/>
        <w:divId w:val="2051151803"/>
        <w:rPr>
          <w:rFonts w:eastAsia="Times New Roman"/>
        </w:rPr>
      </w:pPr>
      <w:r>
        <w:rPr>
          <w:rFonts w:ascii="Arial" w:eastAsia="Times New Roman" w:hAnsi="Arial" w:cs="Arial"/>
          <w:i/>
          <w:iCs/>
          <w:color w:val="000000"/>
          <w:sz w:val="20"/>
          <w:szCs w:val="20"/>
        </w:rPr>
        <w:t>Non-Operating Income (Expenses), net</w:t>
      </w:r>
      <w:r>
        <w:rPr>
          <w:rFonts w:ascii="Arial" w:eastAsia="Times New Roman" w:hAnsi="Arial" w:cs="Arial"/>
          <w:color w:val="000000"/>
          <w:sz w:val="20"/>
          <w:szCs w:val="20"/>
        </w:rPr>
        <w:t>. For the year ended December 31, 2022, we had net non-operating expense of $128.1 million, compared to net non-operating expense of $42.5 million for the year ended December 31, 2021. The increase of $8</w:t>
      </w:r>
      <w:r>
        <w:rPr>
          <w:rFonts w:ascii="Arial" w:eastAsia="Times New Roman" w:hAnsi="Arial" w:cs="Arial"/>
          <w:color w:val="000000"/>
          <w:sz w:val="20"/>
          <w:szCs w:val="20"/>
        </w:rPr>
        <w:t>5.6 million was primarily attributable to an increase in interest expense, driven by incremental borrowings related to the Flyers acquisition, higher interest rates, and an increase in fees associated with sales of accounts receivable under our Receivables</w:t>
      </w:r>
      <w:r>
        <w:rPr>
          <w:rFonts w:ascii="Arial" w:eastAsia="Times New Roman" w:hAnsi="Arial" w:cs="Arial"/>
          <w:color w:val="000000"/>
          <w:sz w:val="20"/>
          <w:szCs w:val="20"/>
        </w:rPr>
        <w:t xml:space="preserve"> Purchase Agreements ("RPAs"). In addition, during the year ended December 31, 2022 we recognized a loss related to the contingent consideration associated with the </w:t>
      </w:r>
    </w:p>
    <w:p w:rsidR="00000000" w:rsidRDefault="002223F7">
      <w:pPr>
        <w:jc w:val="center"/>
        <w:divId w:val="1799030102"/>
        <w:rPr>
          <w:rFonts w:eastAsia="Times New Roman"/>
        </w:rPr>
      </w:pPr>
      <w:r>
        <w:rPr>
          <w:rFonts w:ascii="Arial" w:eastAsia="Times New Roman" w:hAnsi="Arial" w:cs="Arial"/>
          <w:color w:val="000000"/>
          <w:sz w:val="16"/>
          <w:szCs w:val="16"/>
        </w:rPr>
        <w:t>24</w:t>
      </w:r>
    </w:p>
    <w:p w:rsidR="00000000" w:rsidRDefault="002223F7">
      <w:pPr>
        <w:rPr>
          <w:rFonts w:eastAsia="Times New Roman"/>
        </w:rPr>
      </w:pPr>
      <w:r>
        <w:rPr>
          <w:rFonts w:eastAsia="Times New Roman"/>
        </w:rPr>
        <w:pict>
          <v:rect id="_x0000_i1055" style="width:0;height:1.5pt" o:hralign="center" o:hrstd="t" o:hr="t" fillcolor="#a0a0a0" stroked="f"/>
        </w:pict>
      </w:r>
    </w:p>
    <w:p w:rsidR="00000000" w:rsidRDefault="002223F7">
      <w:pPr>
        <w:jc w:val="both"/>
        <w:divId w:val="609238157"/>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389694031"/>
        <w:rPr>
          <w:rFonts w:eastAsia="Times New Roman"/>
        </w:rPr>
      </w:pPr>
      <w:r>
        <w:rPr>
          <w:rFonts w:ascii="Arial" w:eastAsia="Times New Roman" w:hAnsi="Arial" w:cs="Arial"/>
          <w:color w:val="000000"/>
          <w:sz w:val="20"/>
          <w:szCs w:val="20"/>
        </w:rPr>
        <w:t>sale of our Multi Service payment solutions business ("MSTS"), as discussed in Note 3. Acquisitions and Divestitures, and a non-operating legal settlement as described in N</w:t>
      </w:r>
      <w:r>
        <w:rPr>
          <w:rFonts w:ascii="Arial" w:eastAsia="Times New Roman" w:hAnsi="Arial" w:cs="Arial"/>
          <w:color w:val="000000"/>
          <w:sz w:val="20"/>
          <w:szCs w:val="20"/>
        </w:rPr>
        <w:t>ote 11. Commitments and Contingencies.</w:t>
      </w:r>
    </w:p>
    <w:p w:rsidR="00000000" w:rsidRDefault="002223F7">
      <w:pPr>
        <w:jc w:val="both"/>
        <w:divId w:val="1498577083"/>
        <w:rPr>
          <w:rFonts w:eastAsia="Times New Roman"/>
        </w:rPr>
      </w:pPr>
      <w:r>
        <w:rPr>
          <w:rFonts w:ascii="Arial" w:eastAsia="Times New Roman" w:hAnsi="Arial" w:cs="Arial"/>
          <w:i/>
          <w:iCs/>
          <w:color w:val="000000"/>
          <w:sz w:val="20"/>
          <w:szCs w:val="20"/>
        </w:rPr>
        <w:t>Income Taxes</w:t>
      </w:r>
      <w:r>
        <w:rPr>
          <w:rFonts w:ascii="Arial" w:eastAsia="Times New Roman" w:hAnsi="Arial" w:cs="Arial"/>
          <w:color w:val="000000"/>
          <w:sz w:val="20"/>
          <w:szCs w:val="20"/>
        </w:rPr>
        <w:t>. For the year ended December 31, 2022, our income tax provision was $29.2 million and our effective income tax rate was 20%, as compared to an income tax provision of $25.8 million and an effective income</w:t>
      </w:r>
      <w:r>
        <w:rPr>
          <w:rFonts w:ascii="Arial" w:eastAsia="Times New Roman" w:hAnsi="Arial" w:cs="Arial"/>
          <w:color w:val="000000"/>
          <w:sz w:val="20"/>
          <w:szCs w:val="20"/>
        </w:rPr>
        <w:t xml:space="preserve"> tax rate of 26% for the year ended December 31, 2021. The increase of $3.4 million was primarily attributable to an increase in income before taxes, partially offset by additional discrete tax benefits as compared to the year ended December 31, 2021. See </w:t>
      </w:r>
      <w:r>
        <w:rPr>
          <w:rFonts w:ascii="Arial" w:eastAsia="Times New Roman" w:hAnsi="Arial" w:cs="Arial"/>
          <w:color w:val="000000"/>
          <w:sz w:val="20"/>
          <w:szCs w:val="20"/>
        </w:rPr>
        <w:t>Note 10. Income Taxes for additional information.</w:t>
      </w:r>
    </w:p>
    <w:p w:rsidR="00000000" w:rsidRDefault="002223F7">
      <w:pPr>
        <w:divId w:val="1135685934"/>
        <w:rPr>
          <w:rFonts w:eastAsia="Times New Roman"/>
        </w:rPr>
      </w:pPr>
      <w:r>
        <w:rPr>
          <w:rFonts w:ascii="Arial" w:eastAsia="Times New Roman" w:hAnsi="Arial" w:cs="Arial"/>
          <w:b/>
          <w:bCs/>
          <w:i/>
          <w:iCs/>
          <w:color w:val="000000"/>
          <w:sz w:val="20"/>
          <w:szCs w:val="20"/>
        </w:rPr>
        <w:t>Aviation Segment Results of Operations</w:t>
      </w:r>
    </w:p>
    <w:p w:rsidR="00000000" w:rsidRDefault="002223F7">
      <w:pPr>
        <w:jc w:val="both"/>
        <w:divId w:val="1354263090"/>
        <w:rPr>
          <w:rFonts w:eastAsia="Times New Roman"/>
        </w:rPr>
      </w:pPr>
      <w:r>
        <w:rPr>
          <w:rFonts w:ascii="Arial" w:eastAsia="Times New Roman" w:hAnsi="Arial" w:cs="Arial"/>
          <w:color w:val="000000"/>
          <w:sz w:val="20"/>
          <w:szCs w:val="20"/>
        </w:rPr>
        <w:t>The following provides a summary of the aviation segment results of operations for the periods indicated (in millions, except price per gallon):</w:t>
      </w:r>
    </w:p>
    <w:tbl>
      <w:tblPr>
        <w:tblW w:w="5000" w:type="pct"/>
        <w:tblCellMar>
          <w:top w:w="15" w:type="dxa"/>
          <w:left w:w="15" w:type="dxa"/>
          <w:bottom w:w="15" w:type="dxa"/>
          <w:right w:w="15" w:type="dxa"/>
        </w:tblCellMar>
        <w:tblLook w:val="04A0" w:firstRow="1" w:lastRow="0" w:firstColumn="1" w:lastColumn="0" w:noHBand="0" w:noVBand="1"/>
      </w:tblPr>
      <w:tblGrid>
        <w:gridCol w:w="40"/>
        <w:gridCol w:w="3523"/>
        <w:gridCol w:w="39"/>
        <w:gridCol w:w="36"/>
        <w:gridCol w:w="36"/>
        <w:gridCol w:w="36"/>
        <w:gridCol w:w="132"/>
        <w:gridCol w:w="1292"/>
        <w:gridCol w:w="36"/>
        <w:gridCol w:w="36"/>
        <w:gridCol w:w="36"/>
        <w:gridCol w:w="36"/>
        <w:gridCol w:w="132"/>
        <w:gridCol w:w="1292"/>
        <w:gridCol w:w="36"/>
        <w:gridCol w:w="36"/>
        <w:gridCol w:w="36"/>
        <w:gridCol w:w="36"/>
        <w:gridCol w:w="132"/>
        <w:gridCol w:w="1292"/>
        <w:gridCol w:w="36"/>
      </w:tblGrid>
      <w:tr w:rsidR="00000000">
        <w:trPr>
          <w:divId w:val="1937594711"/>
        </w:trPr>
        <w:tc>
          <w:tcPr>
            <w:tcW w:w="50" w:type="pct"/>
            <w:vAlign w:val="center"/>
            <w:hideMark/>
          </w:tcPr>
          <w:p w:rsidR="00000000" w:rsidRDefault="002223F7">
            <w:pPr>
              <w:jc w:val="both"/>
              <w:rPr>
                <w:rFonts w:eastAsia="Times New Roman"/>
              </w:rPr>
            </w:pPr>
          </w:p>
        </w:tc>
        <w:tc>
          <w:tcPr>
            <w:tcW w:w="215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822"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822"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822"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1937594711"/>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For the Year Ended December 31,</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937594711"/>
        </w:trPr>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Change</w:t>
            </w:r>
          </w:p>
        </w:tc>
      </w:tr>
      <w:tr w:rsidR="00000000">
        <w:trPr>
          <w:divId w:val="1937594711"/>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26,799.9 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12,824.3 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13,975.5 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937594711"/>
          <w:trHeight w:val="100"/>
        </w:trPr>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937594711"/>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Gross profit</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357.2 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386.9 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(29.7)</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937594711"/>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divId w:val="657000989"/>
              <w:rPr>
                <w:rFonts w:eastAsia="Times New Roman"/>
              </w:rPr>
            </w:pPr>
            <w:r>
              <w:rPr>
                <w:rFonts w:ascii="Arial" w:eastAsia="Times New Roman" w:hAnsi="Arial" w:cs="Arial"/>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257.7 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223.5 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34.2 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937594711"/>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divId w:val="356932710"/>
              <w:rPr>
                <w:rFonts w:eastAsia="Times New Roman"/>
              </w:rPr>
            </w:pPr>
            <w:r>
              <w:rPr>
                <w:rFonts w:ascii="Arial" w:eastAsia="Times New Roman" w:hAnsi="Arial" w:cs="Arial"/>
                <w:color w:val="000000"/>
                <w:sz w:val="20"/>
                <w:szCs w:val="20"/>
              </w:rPr>
              <w:t>Income (loss) from operations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99.5 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163.4 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(63.9)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937594711"/>
          <w:trHeight w:val="100"/>
        </w:trPr>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937594711"/>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i/>
                <w:iCs/>
                <w:color w:val="000000"/>
                <w:sz w:val="20"/>
                <w:szCs w:val="20"/>
              </w:rPr>
              <w:t>Operational metrics: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937594711"/>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Aviation segment volumes (gallons)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7,127.6 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5,857.5 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1,270.2 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937594711"/>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Aviation segment average price per gallon</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3.61 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2.08 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1.53 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jc w:val="both"/>
        <w:divId w:val="1857304681"/>
        <w:rPr>
          <w:rFonts w:eastAsia="Times New Roman"/>
        </w:rPr>
      </w:pPr>
      <w:r>
        <w:rPr>
          <w:rFonts w:ascii="Arial" w:eastAsia="Times New Roman" w:hAnsi="Arial" w:cs="Arial"/>
          <w:color w:val="000000"/>
          <w:sz w:val="20"/>
          <w:szCs w:val="20"/>
        </w:rPr>
        <w:t>Revenues in our aviation segment were $26.8 billion for the year ended December 31, 2022, an increase of $14.0 billion, or 109%, compared to the year ended December 31, 2021. The increase in revenue was</w:t>
      </w:r>
      <w:r>
        <w:rPr>
          <w:rFonts w:ascii="Arial" w:eastAsia="Times New Roman" w:hAnsi="Arial" w:cs="Arial"/>
          <w:color w:val="000000"/>
          <w:sz w:val="20"/>
          <w:szCs w:val="20"/>
        </w:rPr>
        <w:t xml:space="preserve"> driven by higher average prices and increased volumes. Average jet fuel price per gallon sold increased by $1.53, or 73%, in the year ended December 31, 2022 compared to the year ended December 31, 2021 as a result of the rise in global oil prices. Total </w:t>
      </w:r>
      <w:r>
        <w:rPr>
          <w:rFonts w:ascii="Arial" w:eastAsia="Times New Roman" w:hAnsi="Arial" w:cs="Arial"/>
          <w:color w:val="000000"/>
          <w:sz w:val="20"/>
          <w:szCs w:val="20"/>
        </w:rPr>
        <w:t>aviation volumes increased by 1.3 billion, or 22%, to 7.1 billion gallons in the year ended December 31, 2022 compared to the year ended December 31, 2021 as demand for air travel continued to recover from the impact of the pandemic, particularly among int</w:t>
      </w:r>
      <w:r>
        <w:rPr>
          <w:rFonts w:ascii="Arial" w:eastAsia="Times New Roman" w:hAnsi="Arial" w:cs="Arial"/>
          <w:color w:val="000000"/>
          <w:sz w:val="20"/>
          <w:szCs w:val="20"/>
        </w:rPr>
        <w:t>ernational passenger airlines.</w:t>
      </w:r>
    </w:p>
    <w:p w:rsidR="00000000" w:rsidRDefault="002223F7">
      <w:pPr>
        <w:jc w:val="both"/>
        <w:divId w:val="943347385"/>
        <w:rPr>
          <w:rFonts w:eastAsia="Times New Roman"/>
        </w:rPr>
      </w:pPr>
      <w:r>
        <w:rPr>
          <w:rFonts w:ascii="Arial" w:eastAsia="Times New Roman" w:hAnsi="Arial" w:cs="Arial"/>
          <w:color w:val="000000"/>
          <w:sz w:val="20"/>
          <w:szCs w:val="20"/>
        </w:rPr>
        <w:t>Our aviation segment gross profit for the year ended December 31, 2022 was $357.2 million, a decrease of $29.7 million, or 8%, compared to the year ended December 31, 2021. The decrease in gross profit was primarily due to in</w:t>
      </w:r>
      <w:r>
        <w:rPr>
          <w:rFonts w:ascii="Arial" w:eastAsia="Times New Roman" w:hAnsi="Arial" w:cs="Arial"/>
          <w:color w:val="000000"/>
          <w:sz w:val="20"/>
          <w:szCs w:val="20"/>
        </w:rPr>
        <w:t>ventory losses driven by extreme backwardation experienced principally during the second quarter of 2022, together with the reduction in our government-related activity in Afghanistan, which concluded with the military withdrawal during the third quarter o</w:t>
      </w:r>
      <w:r>
        <w:rPr>
          <w:rFonts w:ascii="Arial" w:eastAsia="Times New Roman" w:hAnsi="Arial" w:cs="Arial"/>
          <w:color w:val="000000"/>
          <w:sz w:val="20"/>
          <w:szCs w:val="20"/>
        </w:rPr>
        <w:t>f 2021, partially offset by increased fuel volume</w:t>
      </w:r>
      <w:r>
        <w:rPr>
          <w:rFonts w:ascii="Arial" w:eastAsia="Times New Roman" w:hAnsi="Arial" w:cs="Arial"/>
          <w:strike/>
          <w:color w:val="000000"/>
          <w:sz w:val="20"/>
          <w:szCs w:val="20"/>
        </w:rPr>
        <w:t>s</w:t>
      </w:r>
      <w:r>
        <w:rPr>
          <w:rFonts w:ascii="Arial" w:eastAsia="Times New Roman" w:hAnsi="Arial" w:cs="Arial"/>
          <w:color w:val="000000"/>
          <w:sz w:val="20"/>
          <w:szCs w:val="20"/>
        </w:rPr>
        <w:t xml:space="preserve"> and higher profit contribution from service offerings as a result of the continued recovery in demand for air travel.</w:t>
      </w:r>
    </w:p>
    <w:p w:rsidR="00000000" w:rsidRDefault="002223F7">
      <w:pPr>
        <w:jc w:val="both"/>
        <w:divId w:val="521938909"/>
        <w:rPr>
          <w:rFonts w:eastAsia="Times New Roman"/>
        </w:rPr>
      </w:pPr>
      <w:r>
        <w:rPr>
          <w:rFonts w:ascii="Arial" w:eastAsia="Times New Roman" w:hAnsi="Arial" w:cs="Arial"/>
          <w:color w:val="000000"/>
          <w:sz w:val="20"/>
          <w:szCs w:val="20"/>
        </w:rPr>
        <w:t>Our aviation segment income from operations for the year ended December 31, 2022 was $9</w:t>
      </w:r>
      <w:r>
        <w:rPr>
          <w:rFonts w:ascii="Arial" w:eastAsia="Times New Roman" w:hAnsi="Arial" w:cs="Arial"/>
          <w:color w:val="000000"/>
          <w:sz w:val="20"/>
          <w:szCs w:val="20"/>
        </w:rPr>
        <w:t>9.5 million, a decrease of $63.9 million, or 39%, compared to the year ended December 31, 2021. In addition to the decrease in gross profit discussed above, income from operations was also impacted by a $34.2 million increase in operating expenses. The inc</w:t>
      </w:r>
      <w:r>
        <w:rPr>
          <w:rFonts w:ascii="Arial" w:eastAsia="Times New Roman" w:hAnsi="Arial" w:cs="Arial"/>
          <w:color w:val="000000"/>
          <w:sz w:val="20"/>
          <w:szCs w:val="20"/>
        </w:rPr>
        <w:t>rease in operating expenses was driven principally by higher compensation and employee benefit costs as well as higher general and administrative costs, primarily travel and marketing expenses, as business activity continued to normalize.</w:t>
      </w:r>
    </w:p>
    <w:p w:rsidR="00000000" w:rsidRDefault="002223F7">
      <w:pPr>
        <w:jc w:val="center"/>
        <w:divId w:val="1860044595"/>
        <w:rPr>
          <w:rFonts w:eastAsia="Times New Roman"/>
        </w:rPr>
      </w:pPr>
      <w:r>
        <w:rPr>
          <w:rFonts w:ascii="Arial" w:eastAsia="Times New Roman" w:hAnsi="Arial" w:cs="Arial"/>
          <w:color w:val="000000"/>
          <w:sz w:val="16"/>
          <w:szCs w:val="16"/>
        </w:rPr>
        <w:t>25</w:t>
      </w:r>
    </w:p>
    <w:p w:rsidR="00000000" w:rsidRDefault="002223F7">
      <w:pPr>
        <w:rPr>
          <w:rFonts w:eastAsia="Times New Roman"/>
        </w:rPr>
      </w:pPr>
      <w:r>
        <w:rPr>
          <w:rFonts w:eastAsia="Times New Roman"/>
        </w:rPr>
        <w:pict>
          <v:rect id="_x0000_i1056" style="width:0;height:1.5pt" o:hralign="center" o:hrstd="t" o:hr="t" fillcolor="#a0a0a0" stroked="f"/>
        </w:pict>
      </w:r>
    </w:p>
    <w:p w:rsidR="00000000" w:rsidRDefault="002223F7">
      <w:pPr>
        <w:jc w:val="both"/>
        <w:divId w:val="1924753026"/>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divId w:val="1425489840"/>
        <w:rPr>
          <w:rFonts w:eastAsia="Times New Roman"/>
        </w:rPr>
      </w:pPr>
      <w:r>
        <w:rPr>
          <w:rFonts w:ascii="Arial" w:eastAsia="Times New Roman" w:hAnsi="Arial" w:cs="Arial"/>
          <w:b/>
          <w:bCs/>
          <w:i/>
          <w:iCs/>
          <w:color w:val="000000"/>
          <w:sz w:val="20"/>
          <w:szCs w:val="20"/>
        </w:rPr>
        <w:t>Land Segment Results of Operations</w:t>
      </w:r>
    </w:p>
    <w:p w:rsidR="00000000" w:rsidRDefault="002223F7">
      <w:pPr>
        <w:jc w:val="both"/>
        <w:divId w:val="1558131258"/>
        <w:rPr>
          <w:rFonts w:eastAsia="Times New Roman"/>
        </w:rPr>
      </w:pPr>
      <w:r>
        <w:rPr>
          <w:rFonts w:ascii="Arial" w:eastAsia="Times New Roman" w:hAnsi="Arial" w:cs="Arial"/>
          <w:color w:val="000000"/>
          <w:sz w:val="20"/>
          <w:szCs w:val="20"/>
        </w:rPr>
        <w:t>The following provides a summary of the land segment results of operations for the periods indicated (in millions, except price per gallon):</w:t>
      </w:r>
    </w:p>
    <w:tbl>
      <w:tblPr>
        <w:tblW w:w="5000" w:type="pct"/>
        <w:tblCellMar>
          <w:top w:w="15" w:type="dxa"/>
          <w:left w:w="15" w:type="dxa"/>
          <w:bottom w:w="15" w:type="dxa"/>
          <w:right w:w="15" w:type="dxa"/>
        </w:tblCellMar>
        <w:tblLook w:val="04A0" w:firstRow="1" w:lastRow="0" w:firstColumn="1" w:lastColumn="0" w:noHBand="0" w:noVBand="1"/>
      </w:tblPr>
      <w:tblGrid>
        <w:gridCol w:w="40"/>
        <w:gridCol w:w="3523"/>
        <w:gridCol w:w="39"/>
        <w:gridCol w:w="36"/>
        <w:gridCol w:w="36"/>
        <w:gridCol w:w="36"/>
        <w:gridCol w:w="132"/>
        <w:gridCol w:w="1292"/>
        <w:gridCol w:w="36"/>
        <w:gridCol w:w="36"/>
        <w:gridCol w:w="36"/>
        <w:gridCol w:w="36"/>
        <w:gridCol w:w="132"/>
        <w:gridCol w:w="1292"/>
        <w:gridCol w:w="36"/>
        <w:gridCol w:w="36"/>
        <w:gridCol w:w="36"/>
        <w:gridCol w:w="36"/>
        <w:gridCol w:w="132"/>
        <w:gridCol w:w="1292"/>
        <w:gridCol w:w="36"/>
      </w:tblGrid>
      <w:tr w:rsidR="00000000">
        <w:trPr>
          <w:divId w:val="1227109021"/>
        </w:trPr>
        <w:tc>
          <w:tcPr>
            <w:tcW w:w="50" w:type="pct"/>
            <w:vAlign w:val="center"/>
            <w:hideMark/>
          </w:tcPr>
          <w:p w:rsidR="00000000" w:rsidRDefault="002223F7">
            <w:pPr>
              <w:jc w:val="both"/>
              <w:rPr>
                <w:rFonts w:eastAsia="Times New Roman"/>
              </w:rPr>
            </w:pPr>
          </w:p>
        </w:tc>
        <w:tc>
          <w:tcPr>
            <w:tcW w:w="215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822"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822"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822"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1227109021"/>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For the Year Ended December 31,</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227109021"/>
        </w:trPr>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Change</w:t>
            </w:r>
          </w:p>
        </w:tc>
      </w:tr>
      <w:tr w:rsidR="00000000">
        <w:trPr>
          <w:divId w:val="1227109021"/>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19,283.7 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10,426.8 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8,856.9 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227109021"/>
          <w:trHeight w:val="100"/>
        </w:trPr>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227109021"/>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Gross profit</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475.9 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301.1 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174.9 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227109021"/>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divId w:val="1892039484"/>
              <w:rPr>
                <w:rFonts w:eastAsia="Times New Roman"/>
              </w:rPr>
            </w:pPr>
            <w:r>
              <w:rPr>
                <w:rFonts w:ascii="Arial" w:eastAsia="Times New Roman" w:hAnsi="Arial" w:cs="Arial"/>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350.3 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256.4 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93.9 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227109021"/>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Income from operations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227109021"/>
          <w:trHeight w:val="100"/>
        </w:trPr>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227109021"/>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i/>
                <w:iCs/>
                <w:color w:val="000000"/>
                <w:sz w:val="20"/>
                <w:szCs w:val="20"/>
              </w:rPr>
              <w:t>Operational metrics: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227109021"/>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divId w:val="2072925131"/>
              <w:rPr>
                <w:rFonts w:eastAsia="Times New Roman"/>
              </w:rPr>
            </w:pPr>
            <w:r>
              <w:rPr>
                <w:rFonts w:ascii="Arial" w:eastAsia="Times New Roman" w:hAnsi="Arial" w:cs="Arial"/>
                <w:color w:val="000000"/>
                <w:sz w:val="20"/>
                <w:szCs w:val="20"/>
              </w:rPr>
              <w:t>Land segment volumes (gallons</w:t>
            </w:r>
            <w:r>
              <w:rPr>
                <w:rFonts w:ascii="Arial" w:eastAsia="Times New Roman" w:hAnsi="Arial" w:cs="Arial"/>
                <w:color w:val="000000"/>
                <w:sz w:val="20"/>
                <w:szCs w:val="20"/>
              </w:rPr>
              <w:t>)</w:t>
            </w:r>
            <w:r>
              <w:rPr>
                <w:rFonts w:ascii="Arial" w:eastAsia="Times New Roman" w:hAnsi="Arial" w:cs="Arial"/>
                <w:color w:val="000000"/>
                <w:sz w:val="13"/>
                <w:szCs w:val="13"/>
              </w:rPr>
              <w:t xml:space="preserve"> (1</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6,166.2 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5,254.1 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912.1 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227109021"/>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divId w:val="989483384"/>
              <w:rPr>
                <w:rFonts w:eastAsia="Times New Roman"/>
              </w:rPr>
            </w:pPr>
            <w:r>
              <w:rPr>
                <w:rFonts w:ascii="Arial" w:eastAsia="Times New Roman" w:hAnsi="Arial" w:cs="Arial"/>
                <w:color w:val="000000"/>
                <w:sz w:val="20"/>
                <w:szCs w:val="20"/>
              </w:rPr>
              <w:t>Land segment average price per gallon</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3.13 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1.98 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ind w:hanging="360"/>
        <w:jc w:val="both"/>
        <w:divId w:val="1115826774"/>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Includes gallons and gallon equivalents of British Thermal Units (BTU) for our natural gas sales and Kilowatt Hours (kWh) for our World Kinect power business.</w:t>
      </w:r>
    </w:p>
    <w:p w:rsidR="00000000" w:rsidRDefault="002223F7">
      <w:pPr>
        <w:jc w:val="both"/>
        <w:divId w:val="969895616"/>
        <w:rPr>
          <w:rFonts w:eastAsia="Times New Roman"/>
        </w:rPr>
      </w:pPr>
      <w:r>
        <w:rPr>
          <w:rFonts w:ascii="Arial" w:eastAsia="Times New Roman" w:hAnsi="Arial" w:cs="Arial"/>
          <w:color w:val="000000"/>
          <w:sz w:val="20"/>
          <w:szCs w:val="20"/>
        </w:rPr>
        <w:t>Revenues in our land segment were $19.3 </w:t>
      </w:r>
      <w:r>
        <w:rPr>
          <w:rFonts w:ascii="Arial" w:eastAsia="Times New Roman" w:hAnsi="Arial" w:cs="Arial"/>
          <w:color w:val="000000"/>
          <w:sz w:val="20"/>
          <w:szCs w:val="20"/>
        </w:rPr>
        <w:t>billion for the year ended December 31, 2022, an increase of $8.9 billion, or 85%, compared to the year ended December 31, 2021. The increase in revenue was principally driven by higher average prices and the acquisition of Flyers. The average price per ga</w:t>
      </w:r>
      <w:r>
        <w:rPr>
          <w:rFonts w:ascii="Arial" w:eastAsia="Times New Roman" w:hAnsi="Arial" w:cs="Arial"/>
          <w:color w:val="000000"/>
          <w:sz w:val="20"/>
          <w:szCs w:val="20"/>
        </w:rPr>
        <w:t>llon or gallon equivalent sold increased by 58% in the year ended December 31, 2022 compared to the year ended December 31, 2021. In addition, total volumes increased by 0.9 billion, or 17%, to 6.2 billion gallon or gallon equivalents in the year ended Dec</w:t>
      </w:r>
      <w:r>
        <w:rPr>
          <w:rFonts w:ascii="Arial" w:eastAsia="Times New Roman" w:hAnsi="Arial" w:cs="Arial"/>
          <w:color w:val="000000"/>
          <w:sz w:val="20"/>
          <w:szCs w:val="20"/>
        </w:rPr>
        <w:t>ember 31, 2022 compared to the year ended December 31, 2021, primarily due to the acquisition of Flyers and the increased activity in our natural gas and power businesses.</w:t>
      </w:r>
    </w:p>
    <w:p w:rsidR="00000000" w:rsidRDefault="002223F7">
      <w:pPr>
        <w:jc w:val="both"/>
        <w:divId w:val="1853831866"/>
        <w:rPr>
          <w:rFonts w:eastAsia="Times New Roman"/>
        </w:rPr>
      </w:pPr>
      <w:r>
        <w:rPr>
          <w:rFonts w:ascii="Arial" w:eastAsia="Times New Roman" w:hAnsi="Arial" w:cs="Arial"/>
          <w:color w:val="000000"/>
          <w:sz w:val="20"/>
          <w:szCs w:val="20"/>
        </w:rPr>
        <w:t>Our land segment gross profit for the year ended December 31, 2022 was $475.9 million, an increase of $174.9 million, or 58%, compared to the year ended December 31, 2021. The increase in gross profit was primarily attributable to Flyers gross profit of $1</w:t>
      </w:r>
      <w:r>
        <w:rPr>
          <w:rFonts w:ascii="Arial" w:eastAsia="Times New Roman" w:hAnsi="Arial" w:cs="Arial"/>
          <w:color w:val="000000"/>
          <w:sz w:val="20"/>
          <w:szCs w:val="20"/>
        </w:rPr>
        <w:t xml:space="preserve">37.8 million in the year ended December 31, 2022 as well as stronger performance across our businesses, principally in North America and our European power business. These increases were partially offset by the reduction in our government-related activity </w:t>
      </w:r>
      <w:r>
        <w:rPr>
          <w:rFonts w:ascii="Arial" w:eastAsia="Times New Roman" w:hAnsi="Arial" w:cs="Arial"/>
          <w:color w:val="000000"/>
          <w:sz w:val="20"/>
          <w:szCs w:val="20"/>
        </w:rPr>
        <w:t>in Afghanistan.</w:t>
      </w:r>
    </w:p>
    <w:p w:rsidR="00000000" w:rsidRDefault="002223F7">
      <w:pPr>
        <w:jc w:val="both"/>
        <w:divId w:val="190265292"/>
        <w:rPr>
          <w:rFonts w:eastAsia="Times New Roman"/>
        </w:rPr>
      </w:pPr>
      <w:r>
        <w:rPr>
          <w:rFonts w:ascii="Arial" w:eastAsia="Times New Roman" w:hAnsi="Arial" w:cs="Arial"/>
          <w:color w:val="000000"/>
          <w:sz w:val="20"/>
          <w:szCs w:val="20"/>
        </w:rPr>
        <w:t>Our land segment income from operations for the year ended December 31, 2022 was $125.6 million, an increase of $81.0 million, or 182%, compared to the year ended December 31, 2021. The increase in gross profit discussed above was partially</w:t>
      </w:r>
      <w:r>
        <w:rPr>
          <w:rFonts w:ascii="Arial" w:eastAsia="Times New Roman" w:hAnsi="Arial" w:cs="Arial"/>
          <w:color w:val="000000"/>
          <w:sz w:val="20"/>
          <w:szCs w:val="20"/>
        </w:rPr>
        <w:t xml:space="preserve"> offset by an increase in operating expenses, driven by the acquisition of Flyers, as well as higher compensation and employee benefit costs and general and administrative costs as described under Consolidated Results of Operations above.</w:t>
      </w:r>
    </w:p>
    <w:p w:rsidR="00000000" w:rsidRDefault="002223F7">
      <w:pPr>
        <w:divId w:val="405568836"/>
        <w:rPr>
          <w:rFonts w:eastAsia="Times New Roman"/>
        </w:rPr>
      </w:pPr>
      <w:r>
        <w:rPr>
          <w:rFonts w:ascii="Arial" w:eastAsia="Times New Roman" w:hAnsi="Arial" w:cs="Arial"/>
          <w:b/>
          <w:bCs/>
          <w:i/>
          <w:iCs/>
          <w:color w:val="000000"/>
          <w:sz w:val="20"/>
          <w:szCs w:val="20"/>
        </w:rPr>
        <w:t>Marine Segment Re</w:t>
      </w:r>
      <w:r>
        <w:rPr>
          <w:rFonts w:ascii="Arial" w:eastAsia="Times New Roman" w:hAnsi="Arial" w:cs="Arial"/>
          <w:b/>
          <w:bCs/>
          <w:i/>
          <w:iCs/>
          <w:color w:val="000000"/>
          <w:sz w:val="20"/>
          <w:szCs w:val="20"/>
        </w:rPr>
        <w:t>sults of Operations</w:t>
      </w:r>
    </w:p>
    <w:p w:rsidR="00000000" w:rsidRDefault="002223F7">
      <w:pPr>
        <w:jc w:val="both"/>
        <w:divId w:val="1394352233"/>
        <w:rPr>
          <w:rFonts w:eastAsia="Times New Roman"/>
        </w:rPr>
      </w:pPr>
      <w:r>
        <w:rPr>
          <w:rFonts w:ascii="Arial" w:eastAsia="Times New Roman" w:hAnsi="Arial" w:cs="Arial"/>
          <w:color w:val="000000"/>
          <w:sz w:val="20"/>
          <w:szCs w:val="20"/>
        </w:rPr>
        <w:t>The following provides a summary of the marine segment results of operations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3523"/>
        <w:gridCol w:w="39"/>
        <w:gridCol w:w="36"/>
        <w:gridCol w:w="36"/>
        <w:gridCol w:w="36"/>
        <w:gridCol w:w="132"/>
        <w:gridCol w:w="1292"/>
        <w:gridCol w:w="36"/>
        <w:gridCol w:w="36"/>
        <w:gridCol w:w="36"/>
        <w:gridCol w:w="36"/>
        <w:gridCol w:w="132"/>
        <w:gridCol w:w="1292"/>
        <w:gridCol w:w="36"/>
        <w:gridCol w:w="36"/>
        <w:gridCol w:w="36"/>
        <w:gridCol w:w="36"/>
        <w:gridCol w:w="132"/>
        <w:gridCol w:w="1292"/>
        <w:gridCol w:w="36"/>
      </w:tblGrid>
      <w:tr w:rsidR="00000000">
        <w:trPr>
          <w:divId w:val="148451553"/>
        </w:trPr>
        <w:tc>
          <w:tcPr>
            <w:tcW w:w="50" w:type="pct"/>
            <w:vAlign w:val="center"/>
            <w:hideMark/>
          </w:tcPr>
          <w:p w:rsidR="00000000" w:rsidRDefault="002223F7">
            <w:pPr>
              <w:jc w:val="both"/>
              <w:rPr>
                <w:rFonts w:eastAsia="Times New Roman"/>
              </w:rPr>
            </w:pPr>
          </w:p>
        </w:tc>
        <w:tc>
          <w:tcPr>
            <w:tcW w:w="215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822"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822"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822"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148451553"/>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Year Ended December 31,</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48451553"/>
        </w:trPr>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Change</w:t>
            </w:r>
          </w:p>
        </w:tc>
      </w:tr>
      <w:tr w:rsidR="00000000">
        <w:trPr>
          <w:divId w:val="148451553"/>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12,959.6 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8,085.8 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4,873.8 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48451553"/>
          <w:trHeight w:val="100"/>
        </w:trPr>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48451553"/>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Gross profit</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256.0 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100.3 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155.7 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48451553"/>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divId w:val="2106224707"/>
              <w:rPr>
                <w:rFonts w:eastAsia="Times New Roman"/>
              </w:rPr>
            </w:pPr>
            <w:r>
              <w:rPr>
                <w:rFonts w:ascii="Arial" w:eastAsia="Times New Roman" w:hAnsi="Arial" w:cs="Arial"/>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100.5 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79.6 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20.9 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48451553"/>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Income from operations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155.5 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134.8 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48451553"/>
          <w:trHeight w:val="100"/>
        </w:trPr>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48451553"/>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i/>
                <w:iCs/>
                <w:color w:val="000000"/>
                <w:sz w:val="20"/>
                <w:szCs w:val="20"/>
              </w:rPr>
              <w:t>Operational metrics: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48451553"/>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divId w:val="1547449918"/>
              <w:rPr>
                <w:rFonts w:eastAsia="Times New Roman"/>
              </w:rPr>
            </w:pPr>
            <w:r>
              <w:rPr>
                <w:rFonts w:ascii="Arial" w:eastAsia="Times New Roman" w:hAnsi="Arial" w:cs="Arial"/>
                <w:color w:val="000000"/>
                <w:sz w:val="20"/>
                <w:szCs w:val="20"/>
              </w:rPr>
              <w:t>Marine segment volumes (metric tons)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19.1 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18.4 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48451553"/>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divId w:val="1851531696"/>
              <w:rPr>
                <w:rFonts w:eastAsia="Times New Roman"/>
              </w:rPr>
            </w:pPr>
            <w:r>
              <w:rPr>
                <w:rFonts w:ascii="Arial" w:eastAsia="Times New Roman" w:hAnsi="Arial" w:cs="Arial"/>
                <w:color w:val="000000"/>
                <w:sz w:val="20"/>
                <w:szCs w:val="20"/>
              </w:rPr>
              <w:t>Marine segment average price per metric ton</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679.17 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438.31 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240.85 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jc w:val="both"/>
        <w:divId w:val="853346822"/>
        <w:rPr>
          <w:rFonts w:eastAsia="Times New Roman"/>
        </w:rPr>
      </w:pPr>
      <w:r>
        <w:rPr>
          <w:rFonts w:ascii="Arial" w:eastAsia="Times New Roman" w:hAnsi="Arial" w:cs="Arial"/>
          <w:color w:val="000000"/>
          <w:sz w:val="20"/>
          <w:szCs w:val="20"/>
        </w:rPr>
        <w:t>Revenues in our marine segment were $13.0 billion for the year ended December 31, 2022, an increase of $4.9 billion, or 60%, compared to the year ended December 31, 2021. The increase in revenue was pri</w:t>
      </w:r>
      <w:r>
        <w:rPr>
          <w:rFonts w:ascii="Arial" w:eastAsia="Times New Roman" w:hAnsi="Arial" w:cs="Arial"/>
          <w:color w:val="000000"/>
          <w:sz w:val="20"/>
          <w:szCs w:val="20"/>
        </w:rPr>
        <w:t xml:space="preserve">ncipally driven by a 55% increase in the average price per metric ton of bunker fuel sold in the year ended December 31, 2022 compared to the year ended December 31, 2021. In addition, total volumes increased by 0.6 million metric </w:t>
      </w:r>
    </w:p>
    <w:p w:rsidR="00000000" w:rsidRDefault="002223F7">
      <w:pPr>
        <w:jc w:val="center"/>
        <w:divId w:val="192227651"/>
        <w:rPr>
          <w:rFonts w:eastAsia="Times New Roman"/>
        </w:rPr>
      </w:pPr>
      <w:r>
        <w:rPr>
          <w:rFonts w:ascii="Arial" w:eastAsia="Times New Roman" w:hAnsi="Arial" w:cs="Arial"/>
          <w:color w:val="000000"/>
          <w:sz w:val="16"/>
          <w:szCs w:val="16"/>
        </w:rPr>
        <w:t>26</w:t>
      </w:r>
    </w:p>
    <w:p w:rsidR="00000000" w:rsidRDefault="002223F7">
      <w:pPr>
        <w:rPr>
          <w:rFonts w:eastAsia="Times New Roman"/>
        </w:rPr>
      </w:pPr>
      <w:r>
        <w:rPr>
          <w:rFonts w:eastAsia="Times New Roman"/>
        </w:rPr>
        <w:pict>
          <v:rect id="_x0000_i1057" style="width:0;height:1.5pt" o:hralign="center" o:hrstd="t" o:hr="t" fillcolor="#a0a0a0" stroked="f"/>
        </w:pict>
      </w:r>
    </w:p>
    <w:p w:rsidR="00000000" w:rsidRDefault="002223F7">
      <w:pPr>
        <w:jc w:val="both"/>
        <w:divId w:val="151263096"/>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1584484865"/>
        <w:rPr>
          <w:rFonts w:eastAsia="Times New Roman"/>
        </w:rPr>
      </w:pPr>
      <w:r>
        <w:rPr>
          <w:rFonts w:ascii="Arial" w:eastAsia="Times New Roman" w:hAnsi="Arial" w:cs="Arial"/>
          <w:color w:val="000000"/>
          <w:sz w:val="20"/>
          <w:szCs w:val="20"/>
        </w:rPr>
        <w:t>tons, or 3%, to 19.1 million metric tons in the year ended December 31, 2022 compared to the year ended December 31, 2021.</w:t>
      </w:r>
    </w:p>
    <w:p w:rsidR="00000000" w:rsidRDefault="002223F7">
      <w:pPr>
        <w:jc w:val="both"/>
        <w:divId w:val="460535851"/>
        <w:rPr>
          <w:rFonts w:eastAsia="Times New Roman"/>
        </w:rPr>
      </w:pPr>
      <w:r>
        <w:rPr>
          <w:rFonts w:ascii="Arial" w:eastAsia="Times New Roman" w:hAnsi="Arial" w:cs="Arial"/>
          <w:color w:val="000000"/>
          <w:sz w:val="20"/>
          <w:szCs w:val="20"/>
        </w:rPr>
        <w:t>Our marine segment gross profit for the year ended December 31, 2022 was $256.0 million, an increase of $155.7 million, or 155%, comp</w:t>
      </w:r>
      <w:r>
        <w:rPr>
          <w:rFonts w:ascii="Arial" w:eastAsia="Times New Roman" w:hAnsi="Arial" w:cs="Arial"/>
          <w:color w:val="000000"/>
          <w:sz w:val="20"/>
          <w:szCs w:val="20"/>
        </w:rPr>
        <w:t>ared to the year ended December 31, 2021. The increase in gross profit was primarily attributable to the impact of higher bunker fuel prices and rising interest rates, leading to an increasingly constrained credit environment, as well as higher market vola</w:t>
      </w:r>
      <w:r>
        <w:rPr>
          <w:rFonts w:ascii="Arial" w:eastAsia="Times New Roman" w:hAnsi="Arial" w:cs="Arial"/>
          <w:color w:val="000000"/>
          <w:sz w:val="20"/>
          <w:szCs w:val="20"/>
        </w:rPr>
        <w:t>tility.</w:t>
      </w:r>
    </w:p>
    <w:p w:rsidR="00000000" w:rsidRDefault="002223F7">
      <w:pPr>
        <w:jc w:val="both"/>
        <w:divId w:val="1497183237"/>
        <w:rPr>
          <w:rFonts w:eastAsia="Times New Roman"/>
        </w:rPr>
      </w:pPr>
      <w:r>
        <w:rPr>
          <w:rFonts w:ascii="Arial" w:eastAsia="Times New Roman" w:hAnsi="Arial" w:cs="Arial"/>
          <w:color w:val="000000"/>
          <w:sz w:val="20"/>
          <w:szCs w:val="20"/>
        </w:rPr>
        <w:t>Our marine segment income from operations for the year ended December 31, 2022 was $155.5 million, an increase of $134.8 million, or 652%, compared to the year ended December 31, 2021, principally due to the increase in gross profit, partially offs</w:t>
      </w:r>
      <w:r>
        <w:rPr>
          <w:rFonts w:ascii="Arial" w:eastAsia="Times New Roman" w:hAnsi="Arial" w:cs="Arial"/>
          <w:color w:val="000000"/>
          <w:sz w:val="20"/>
          <w:szCs w:val="20"/>
        </w:rPr>
        <w:t>et by a $20.9 million increase in operating expenses driven largely by higher incentive compensation as well as higher general and administrative costs.</w:t>
      </w:r>
    </w:p>
    <w:p w:rsidR="00000000" w:rsidRDefault="002223F7">
      <w:pPr>
        <w:divId w:val="1083719486"/>
        <w:rPr>
          <w:rFonts w:eastAsia="Times New Roman"/>
        </w:rPr>
      </w:pPr>
      <w:r>
        <w:rPr>
          <w:rFonts w:ascii="Arial" w:eastAsia="Times New Roman" w:hAnsi="Arial" w:cs="Arial"/>
          <w:b/>
          <w:bCs/>
          <w:color w:val="000000"/>
          <w:sz w:val="20"/>
          <w:szCs w:val="20"/>
        </w:rPr>
        <w:t>Liquidity and Capital Resources</w:t>
      </w:r>
    </w:p>
    <w:p w:rsidR="00000000" w:rsidRDefault="002223F7">
      <w:pPr>
        <w:jc w:val="both"/>
        <w:divId w:val="1246115598"/>
        <w:rPr>
          <w:rFonts w:eastAsia="Times New Roman"/>
        </w:rPr>
      </w:pPr>
      <w:r>
        <w:rPr>
          <w:rFonts w:ascii="Arial" w:eastAsia="Times New Roman" w:hAnsi="Arial" w:cs="Arial"/>
          <w:color w:val="000000"/>
          <w:sz w:val="20"/>
          <w:szCs w:val="20"/>
        </w:rPr>
        <w:t>Liquidity to fund working capital, as well as make strategic investment</w:t>
      </w:r>
      <w:r>
        <w:rPr>
          <w:rFonts w:ascii="Arial" w:eastAsia="Times New Roman" w:hAnsi="Arial" w:cs="Arial"/>
          <w:color w:val="000000"/>
          <w:sz w:val="20"/>
          <w:szCs w:val="20"/>
        </w:rPr>
        <w:t>s to further our growth strategy, is a significant priority for us. Our views concerning liquidity are based on currently available information and if circumstances change significantly, the future availability of trade credit or other sources of financing</w:t>
      </w:r>
      <w:r>
        <w:rPr>
          <w:rFonts w:ascii="Arial" w:eastAsia="Times New Roman" w:hAnsi="Arial" w:cs="Arial"/>
          <w:color w:val="000000"/>
          <w:sz w:val="20"/>
          <w:szCs w:val="20"/>
        </w:rPr>
        <w:t xml:space="preserve"> may be reduced, and our liquidity would be adversely affected accordingly.</w:t>
      </w:r>
    </w:p>
    <w:p w:rsidR="00000000" w:rsidRDefault="002223F7">
      <w:pPr>
        <w:divId w:val="439841563"/>
        <w:rPr>
          <w:rFonts w:eastAsia="Times New Roman"/>
        </w:rPr>
      </w:pPr>
      <w:r>
        <w:rPr>
          <w:rFonts w:ascii="Arial" w:eastAsia="Times New Roman" w:hAnsi="Arial" w:cs="Arial"/>
          <w:color w:val="000000"/>
          <w:sz w:val="20"/>
          <w:szCs w:val="20"/>
          <w:u w:val="single"/>
        </w:rPr>
        <w:t>Sources of Liquidity and Factors Impacting Our Liquidity</w:t>
      </w:r>
    </w:p>
    <w:p w:rsidR="00000000" w:rsidRDefault="002223F7">
      <w:pPr>
        <w:jc w:val="both"/>
        <w:divId w:val="2078506573"/>
        <w:rPr>
          <w:rFonts w:eastAsia="Times New Roman"/>
        </w:rPr>
      </w:pPr>
      <w:r>
        <w:rPr>
          <w:rFonts w:ascii="Arial" w:eastAsia="Times New Roman" w:hAnsi="Arial" w:cs="Arial"/>
          <w:color w:val="000000"/>
          <w:sz w:val="20"/>
          <w:szCs w:val="20"/>
        </w:rPr>
        <w:t>Our liquidity, consisting principally of cash and availability under our Credit Facility, fluctuates based on a number of f</w:t>
      </w:r>
      <w:r>
        <w:rPr>
          <w:rFonts w:ascii="Arial" w:eastAsia="Times New Roman" w:hAnsi="Arial" w:cs="Arial"/>
          <w:color w:val="000000"/>
          <w:sz w:val="20"/>
          <w:szCs w:val="20"/>
        </w:rPr>
        <w:t xml:space="preserve">actors, including the timing of receipts from our customers and payments to our suppliers, changes in fuel prices, as well as our financial performance. </w:t>
      </w:r>
    </w:p>
    <w:p w:rsidR="00000000" w:rsidRDefault="002223F7">
      <w:pPr>
        <w:jc w:val="both"/>
        <w:divId w:val="1981374217"/>
        <w:rPr>
          <w:rFonts w:eastAsia="Times New Roman"/>
        </w:rPr>
      </w:pPr>
      <w:r>
        <w:rPr>
          <w:rFonts w:ascii="Arial" w:eastAsia="Times New Roman" w:hAnsi="Arial" w:cs="Arial"/>
          <w:color w:val="000000"/>
          <w:sz w:val="20"/>
          <w:szCs w:val="20"/>
        </w:rPr>
        <w:t xml:space="preserve">We rely on credit arrangements with banks, suppliers and other parties as an important source of liquidity for capital requirements not satisfied by our operating cash flow. Future market volatility, generally, and any persistent weakness in global energy </w:t>
      </w:r>
      <w:r>
        <w:rPr>
          <w:rFonts w:ascii="Arial" w:eastAsia="Times New Roman" w:hAnsi="Arial" w:cs="Arial"/>
          <w:color w:val="000000"/>
          <w:sz w:val="20"/>
          <w:szCs w:val="20"/>
        </w:rPr>
        <w:t>markets may adversely affect our ability to access capital and credit markets or to obtain funds at reasonable interest rates or on other advantageous terms. In addition, since our business is impacted by the availability of trade credit to fund fuel purch</w:t>
      </w:r>
      <w:r>
        <w:rPr>
          <w:rFonts w:ascii="Arial" w:eastAsia="Times New Roman" w:hAnsi="Arial" w:cs="Arial"/>
          <w:color w:val="000000"/>
          <w:sz w:val="20"/>
          <w:szCs w:val="20"/>
        </w:rPr>
        <w:t>ases, an actual or perceived decline in our liquidity or business generally could cause our suppliers to reduce our credit lines, seek credit support in the form of additional collateral or otherwise materially modify our payment terms.</w:t>
      </w:r>
    </w:p>
    <w:p w:rsidR="00000000" w:rsidRDefault="002223F7">
      <w:pPr>
        <w:jc w:val="both"/>
        <w:divId w:val="2108765708"/>
        <w:rPr>
          <w:rFonts w:eastAsia="Times New Roman"/>
        </w:rPr>
      </w:pPr>
      <w:r>
        <w:rPr>
          <w:rFonts w:ascii="Arial" w:eastAsia="Times New Roman" w:hAnsi="Arial" w:cs="Arial"/>
          <w:color w:val="000000"/>
          <w:sz w:val="20"/>
          <w:szCs w:val="20"/>
        </w:rPr>
        <w:t>During times of hig</w:t>
      </w:r>
      <w:r>
        <w:rPr>
          <w:rFonts w:ascii="Arial" w:eastAsia="Times New Roman" w:hAnsi="Arial" w:cs="Arial"/>
          <w:color w:val="000000"/>
          <w:sz w:val="20"/>
          <w:szCs w:val="20"/>
        </w:rPr>
        <w:t xml:space="preserve">h fuel prices, our customers may not be able to purchase as much fuel from us because of their credit limits with us and the resulting adverse impact on their business could cause them to be unable to make payments owed to us for fuel purchased on credit. </w:t>
      </w:r>
      <w:r>
        <w:rPr>
          <w:rFonts w:ascii="Arial" w:eastAsia="Times New Roman" w:hAnsi="Arial" w:cs="Arial"/>
          <w:color w:val="000000"/>
          <w:sz w:val="20"/>
          <w:szCs w:val="20"/>
        </w:rPr>
        <w:t>Furthermore, when fuel prices increase our working capital requirements increase and our own credit limits could prevent us from purchasing enough fuel from our suppliers to meet our customers’ demands, or we could be required to prepay for fuel purchases,</w:t>
      </w:r>
      <w:r>
        <w:rPr>
          <w:rFonts w:ascii="Arial" w:eastAsia="Times New Roman" w:hAnsi="Arial" w:cs="Arial"/>
          <w:color w:val="000000"/>
          <w:sz w:val="20"/>
          <w:szCs w:val="20"/>
        </w:rPr>
        <w:t xml:space="preserve"> any of which would adversely impact our liquidity.</w:t>
      </w:r>
    </w:p>
    <w:p w:rsidR="00000000" w:rsidRDefault="002223F7">
      <w:pPr>
        <w:jc w:val="both"/>
        <w:divId w:val="122043704"/>
        <w:rPr>
          <w:rFonts w:eastAsia="Times New Roman"/>
        </w:rPr>
      </w:pPr>
      <w:r>
        <w:rPr>
          <w:rFonts w:ascii="Arial" w:eastAsia="Times New Roman" w:hAnsi="Arial" w:cs="Arial"/>
          <w:color w:val="000000"/>
          <w:sz w:val="20"/>
          <w:szCs w:val="20"/>
        </w:rPr>
        <w:t>Conversely, extended periods of low fuel prices, particularly when coupled with low price volatility, can also have an adverse effect on our results of operations and overall profitability. This can occur</w:t>
      </w:r>
      <w:r>
        <w:rPr>
          <w:rFonts w:ascii="Arial" w:eastAsia="Times New Roman" w:hAnsi="Arial" w:cs="Arial"/>
          <w:color w:val="000000"/>
          <w:sz w:val="20"/>
          <w:szCs w:val="20"/>
        </w:rPr>
        <w:t xml:space="preserve"> due to many factors, such as reduced demand for our price risk management products and decreased sales to our customers involved in the oil exploration sector. Low fuel prices also facilitate increased competition by reducing financial barriers to entry a</w:t>
      </w:r>
      <w:r>
        <w:rPr>
          <w:rFonts w:ascii="Arial" w:eastAsia="Times New Roman" w:hAnsi="Arial" w:cs="Arial"/>
          <w:color w:val="000000"/>
          <w:sz w:val="20"/>
          <w:szCs w:val="20"/>
        </w:rPr>
        <w:t>nd enabling existing, lower-capitalized competitors to conduct more business as a result of lower working capital requirements.</w:t>
      </w:r>
    </w:p>
    <w:p w:rsidR="00000000" w:rsidRDefault="002223F7">
      <w:pPr>
        <w:jc w:val="both"/>
        <w:divId w:val="777523166"/>
        <w:rPr>
          <w:rFonts w:eastAsia="Times New Roman"/>
        </w:rPr>
      </w:pPr>
      <w:r>
        <w:rPr>
          <w:rFonts w:ascii="Arial" w:eastAsia="Times New Roman" w:hAnsi="Arial" w:cs="Arial"/>
          <w:color w:val="000000"/>
          <w:sz w:val="20"/>
          <w:szCs w:val="20"/>
        </w:rPr>
        <w:t>Based on the information currently available, we believe that our cash and cash equivalents as of December 31, 2022 and availabl</w:t>
      </w:r>
      <w:r>
        <w:rPr>
          <w:rFonts w:ascii="Arial" w:eastAsia="Times New Roman" w:hAnsi="Arial" w:cs="Arial"/>
          <w:color w:val="000000"/>
          <w:sz w:val="20"/>
          <w:szCs w:val="20"/>
        </w:rPr>
        <w:t>e funds from our Credit Facility, as described below, together with cash flows generated by operations, are sufficient to fund our working capital and capital expenditure requirements for at least the next twelve months.</w:t>
      </w:r>
    </w:p>
    <w:p w:rsidR="00000000" w:rsidRDefault="002223F7">
      <w:pPr>
        <w:jc w:val="both"/>
        <w:divId w:val="1389961826"/>
        <w:rPr>
          <w:rFonts w:eastAsia="Times New Roman"/>
        </w:rPr>
      </w:pPr>
      <w:r>
        <w:rPr>
          <w:rFonts w:ascii="Arial" w:eastAsia="Times New Roman" w:hAnsi="Arial" w:cs="Arial"/>
          <w:i/>
          <w:iCs/>
          <w:color w:val="000000"/>
          <w:sz w:val="20"/>
          <w:szCs w:val="20"/>
        </w:rPr>
        <w:t>Credit Facility and Term Loan.</w:t>
      </w:r>
      <w:r>
        <w:rPr>
          <w:rFonts w:ascii="Arial" w:eastAsia="Times New Roman" w:hAnsi="Arial" w:cs="Arial"/>
          <w:color w:val="000000"/>
          <w:sz w:val="20"/>
          <w:szCs w:val="20"/>
        </w:rPr>
        <w:t xml:space="preserve"> On A</w:t>
      </w:r>
      <w:r>
        <w:rPr>
          <w:rFonts w:ascii="Arial" w:eastAsia="Times New Roman" w:hAnsi="Arial" w:cs="Arial"/>
          <w:color w:val="000000"/>
          <w:sz w:val="20"/>
          <w:szCs w:val="20"/>
        </w:rPr>
        <w:t>pril 1, 2022, we entered into Amendment No. 8 to the Fourth Amended and Restated Credit Agreement, as further amended by Amendment No. 9 dated July 12, 2022 (as amended, the "Credit Agreement"), to: (i) increase the revolving credit facility provided under</w:t>
      </w:r>
      <w:r>
        <w:rPr>
          <w:rFonts w:ascii="Arial" w:eastAsia="Times New Roman" w:hAnsi="Arial" w:cs="Arial"/>
          <w:color w:val="000000"/>
          <w:sz w:val="20"/>
          <w:szCs w:val="20"/>
        </w:rPr>
        <w:t xml:space="preserve"> the Credit Agreement ("Credit Facility") to $1.5 billion and provide a term loan of $500.0 million ("Term Loan"), thereby replacing the then-existing term loan and increasing the total facility to $2.0 billion; (ii) modify the pricing of the loans, includ</w:t>
      </w:r>
      <w:r>
        <w:rPr>
          <w:rFonts w:ascii="Arial" w:eastAsia="Times New Roman" w:hAnsi="Arial" w:cs="Arial"/>
          <w:color w:val="000000"/>
          <w:sz w:val="20"/>
          <w:szCs w:val="20"/>
        </w:rPr>
        <w:t>ing the reference rates for various currencies to reflect the discontinuation of LIBOR; (iii) extend the maturity to April 1, 2027; and (iv) modify certain financial and other covenants to provide greater operating flexibility. Our availability under our C</w:t>
      </w:r>
      <w:r>
        <w:rPr>
          <w:rFonts w:ascii="Arial" w:eastAsia="Times New Roman" w:hAnsi="Arial" w:cs="Arial"/>
          <w:color w:val="000000"/>
          <w:sz w:val="20"/>
          <w:szCs w:val="20"/>
        </w:rPr>
        <w:t>redit Facility is limited by, among other things, our consolidated total leverage ratio, which is defined in the Credit Agreement and is based, in part, on our consolidated earnings before interest, taxes, depreciation and amortization, and share-based com</w:t>
      </w:r>
      <w:r>
        <w:rPr>
          <w:rFonts w:ascii="Arial" w:eastAsia="Times New Roman" w:hAnsi="Arial" w:cs="Arial"/>
          <w:color w:val="000000"/>
          <w:sz w:val="20"/>
          <w:szCs w:val="20"/>
        </w:rPr>
        <w:t xml:space="preserve">pensation, with such adjustments as specified therein, for the four immediately preceding fiscal quarters. </w:t>
      </w:r>
    </w:p>
    <w:p w:rsidR="00000000" w:rsidRDefault="002223F7">
      <w:pPr>
        <w:jc w:val="center"/>
        <w:divId w:val="604001355"/>
        <w:rPr>
          <w:rFonts w:eastAsia="Times New Roman"/>
        </w:rPr>
      </w:pPr>
      <w:r>
        <w:rPr>
          <w:rFonts w:ascii="Arial" w:eastAsia="Times New Roman" w:hAnsi="Arial" w:cs="Arial"/>
          <w:color w:val="000000"/>
          <w:sz w:val="16"/>
          <w:szCs w:val="16"/>
        </w:rPr>
        <w:t>27</w:t>
      </w:r>
    </w:p>
    <w:p w:rsidR="00000000" w:rsidRDefault="002223F7">
      <w:pPr>
        <w:rPr>
          <w:rFonts w:eastAsia="Times New Roman"/>
        </w:rPr>
      </w:pPr>
      <w:r>
        <w:rPr>
          <w:rFonts w:eastAsia="Times New Roman"/>
        </w:rPr>
        <w:pict>
          <v:rect id="_x0000_i1058" style="width:0;height:1.5pt" o:hralign="center" o:hrstd="t" o:hr="t" fillcolor="#a0a0a0" stroked="f"/>
        </w:pict>
      </w:r>
    </w:p>
    <w:p w:rsidR="00000000" w:rsidRDefault="002223F7">
      <w:pPr>
        <w:jc w:val="both"/>
        <w:divId w:val="2107264200"/>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1817452872"/>
        <w:rPr>
          <w:rFonts w:eastAsia="Times New Roman"/>
        </w:rPr>
      </w:pPr>
      <w:r>
        <w:rPr>
          <w:rFonts w:ascii="Arial" w:eastAsia="Times New Roman" w:hAnsi="Arial" w:cs="Arial"/>
          <w:color w:val="000000"/>
          <w:sz w:val="20"/>
          <w:szCs w:val="20"/>
        </w:rPr>
        <w:t>The Credit Agreement generally limits the total amount of indebtedness we may incur to a consolidated total leverage ratio of not more than 4.75 to 1.</w:t>
      </w:r>
    </w:p>
    <w:p w:rsidR="00000000" w:rsidRDefault="002223F7">
      <w:pPr>
        <w:jc w:val="both"/>
        <w:divId w:val="1305427412"/>
        <w:rPr>
          <w:rFonts w:eastAsia="Times New Roman"/>
        </w:rPr>
      </w:pPr>
      <w:r>
        <w:rPr>
          <w:rFonts w:ascii="Arial" w:eastAsia="Times New Roman" w:hAnsi="Arial" w:cs="Arial"/>
          <w:color w:val="000000"/>
          <w:sz w:val="20"/>
          <w:szCs w:val="20"/>
        </w:rPr>
        <w:t xml:space="preserve">As a result of the foregoing, as well </w:t>
      </w:r>
      <w:r>
        <w:rPr>
          <w:rFonts w:ascii="Arial" w:eastAsia="Times New Roman" w:hAnsi="Arial" w:cs="Arial"/>
          <w:color w:val="000000"/>
          <w:sz w:val="20"/>
          <w:szCs w:val="20"/>
        </w:rPr>
        <w:t>as other covenants and restrictions contained in our Credit Agreement, our availability under the Credit Facility may fluctuate from period to period. In addition, our failure to comply with the covenants contained in our Credit Agreement could result in a</w:t>
      </w:r>
      <w:r>
        <w:rPr>
          <w:rFonts w:ascii="Arial" w:eastAsia="Times New Roman" w:hAnsi="Arial" w:cs="Arial"/>
          <w:color w:val="000000"/>
          <w:sz w:val="20"/>
          <w:szCs w:val="20"/>
        </w:rPr>
        <w:t>n event of default. An event of default, if not cured or waived, would permit acceleration of any outstanding indebtedness under the Credit Facility and our Term Loan, trigger cross-defaults under certain other agreements to which we are a party, and impai</w:t>
      </w:r>
      <w:r>
        <w:rPr>
          <w:rFonts w:ascii="Arial" w:eastAsia="Times New Roman" w:hAnsi="Arial" w:cs="Arial"/>
          <w:color w:val="000000"/>
          <w:sz w:val="20"/>
          <w:szCs w:val="20"/>
        </w:rPr>
        <w:t>r our ability to obtain working capital advances and issue letters of credit, which would have a material adverse effect on our business, financial condition, results of operations and cash flows. See Note 7. Debt, Interest Income, Expense, and Other Finan</w:t>
      </w:r>
      <w:r>
        <w:rPr>
          <w:rFonts w:ascii="Arial" w:eastAsia="Times New Roman" w:hAnsi="Arial" w:cs="Arial"/>
          <w:color w:val="000000"/>
          <w:sz w:val="20"/>
          <w:szCs w:val="20"/>
        </w:rPr>
        <w:t>ce Costs for additional information.</w:t>
      </w:r>
    </w:p>
    <w:p w:rsidR="00000000" w:rsidRDefault="002223F7">
      <w:pPr>
        <w:jc w:val="both"/>
        <w:divId w:val="225921210"/>
        <w:rPr>
          <w:rFonts w:eastAsia="Times New Roman"/>
        </w:rPr>
      </w:pPr>
      <w:r>
        <w:rPr>
          <w:rFonts w:ascii="Arial" w:eastAsia="Times New Roman" w:hAnsi="Arial" w:cs="Arial"/>
          <w:i/>
          <w:iCs/>
          <w:color w:val="000000"/>
          <w:sz w:val="20"/>
          <w:szCs w:val="20"/>
        </w:rPr>
        <w:t>Other Credit Lines.</w:t>
      </w:r>
      <w:r>
        <w:rPr>
          <w:rFonts w:ascii="Arial" w:eastAsia="Times New Roman" w:hAnsi="Arial" w:cs="Arial"/>
          <w:color w:val="000000"/>
          <w:sz w:val="20"/>
          <w:szCs w:val="20"/>
        </w:rPr>
        <w:t xml:space="preserve"> Additionally, we have other uncommitted credit lines primarily for the issuance of letters of credit, bank guarantees and bankers’ acceptances. These credit lines are renewable on an annual basis and</w:t>
      </w:r>
      <w:r>
        <w:rPr>
          <w:rFonts w:ascii="Arial" w:eastAsia="Times New Roman" w:hAnsi="Arial" w:cs="Arial"/>
          <w:color w:val="000000"/>
          <w:sz w:val="20"/>
          <w:szCs w:val="20"/>
        </w:rPr>
        <w:t xml:space="preserve"> are subject to fees at market rates. As of December 31, 2022 and 2021, our outstanding letters of credit and bank guarantees under these credit lines totaled $523.1 million and $404.0 million, respectively.</w:t>
      </w:r>
    </w:p>
    <w:p w:rsidR="00000000" w:rsidRDefault="002223F7">
      <w:pPr>
        <w:jc w:val="both"/>
        <w:divId w:val="888032283"/>
        <w:rPr>
          <w:rFonts w:eastAsia="Times New Roman"/>
        </w:rPr>
      </w:pPr>
      <w:r>
        <w:rPr>
          <w:rFonts w:ascii="Arial" w:eastAsia="Times New Roman" w:hAnsi="Arial" w:cs="Arial"/>
          <w:i/>
          <w:iCs/>
          <w:color w:val="000000"/>
          <w:sz w:val="20"/>
          <w:szCs w:val="20"/>
        </w:rPr>
        <w:t>Receivables Purchase Agreements.</w:t>
      </w:r>
      <w:r>
        <w:rPr>
          <w:rFonts w:ascii="Arial" w:eastAsia="Times New Roman" w:hAnsi="Arial" w:cs="Arial"/>
          <w:color w:val="000000"/>
          <w:sz w:val="20"/>
          <w:szCs w:val="20"/>
        </w:rPr>
        <w:t xml:space="preserve"> We also have ac</w:t>
      </w:r>
      <w:r>
        <w:rPr>
          <w:rFonts w:ascii="Arial" w:eastAsia="Times New Roman" w:hAnsi="Arial" w:cs="Arial"/>
          <w:color w:val="000000"/>
          <w:sz w:val="20"/>
          <w:szCs w:val="20"/>
        </w:rPr>
        <w:t>counts receivable programs under RPAs that allow us to sell a specified amount of qualifying accounts receivable and receive cash consideration equal to the total balance, less an associated fee, which varies based on the outstanding accounts receivable at</w:t>
      </w:r>
      <w:r>
        <w:rPr>
          <w:rFonts w:ascii="Arial" w:eastAsia="Times New Roman" w:hAnsi="Arial" w:cs="Arial"/>
          <w:color w:val="000000"/>
          <w:sz w:val="20"/>
          <w:szCs w:val="20"/>
        </w:rPr>
        <w:t xml:space="preserve"> any given time. The RPAs provide the constituent banks with the ability to add or remove customers from these programs in their discretion based on, among other things, the level of risk exposure the bank is willing to accept with respect to any particula</w:t>
      </w:r>
      <w:r>
        <w:rPr>
          <w:rFonts w:ascii="Arial" w:eastAsia="Times New Roman" w:hAnsi="Arial" w:cs="Arial"/>
          <w:color w:val="000000"/>
          <w:sz w:val="20"/>
          <w:szCs w:val="20"/>
        </w:rPr>
        <w:t>r customer. The fees the banks charge us to purchase the receivables from these customers can also be impacted for these reasons. See Note 2. Accounts Receivable for additional information.</w:t>
      </w:r>
    </w:p>
    <w:p w:rsidR="00000000" w:rsidRDefault="002223F7">
      <w:pPr>
        <w:jc w:val="both"/>
        <w:divId w:val="1003582600"/>
        <w:rPr>
          <w:rFonts w:eastAsia="Times New Roman"/>
        </w:rPr>
      </w:pPr>
      <w:r>
        <w:rPr>
          <w:rFonts w:ascii="Arial" w:eastAsia="Times New Roman" w:hAnsi="Arial" w:cs="Arial"/>
          <w:color w:val="000000"/>
          <w:sz w:val="20"/>
          <w:szCs w:val="20"/>
        </w:rPr>
        <w:t>See Item 1A. – Risk Factors in Part 1 within this 2022 10-K Report</w:t>
      </w:r>
      <w:r>
        <w:rPr>
          <w:rFonts w:ascii="Arial" w:eastAsia="Times New Roman" w:hAnsi="Arial" w:cs="Arial"/>
          <w:color w:val="000000"/>
          <w:sz w:val="20"/>
          <w:szCs w:val="20"/>
        </w:rPr>
        <w:t xml:space="preserve"> for additional information.</w:t>
      </w:r>
    </w:p>
    <w:p w:rsidR="00000000" w:rsidRDefault="002223F7">
      <w:pPr>
        <w:divId w:val="1012798771"/>
        <w:rPr>
          <w:rFonts w:eastAsia="Times New Roman"/>
        </w:rPr>
      </w:pPr>
      <w:r>
        <w:rPr>
          <w:rFonts w:ascii="Arial" w:eastAsia="Times New Roman" w:hAnsi="Arial" w:cs="Arial"/>
          <w:color w:val="000000"/>
          <w:sz w:val="20"/>
          <w:szCs w:val="20"/>
          <w:u w:val="single"/>
        </w:rPr>
        <w:t>Future Uses of Liquidity</w:t>
      </w:r>
    </w:p>
    <w:p w:rsidR="00000000" w:rsidRDefault="002223F7">
      <w:pPr>
        <w:jc w:val="both"/>
        <w:divId w:val="1167787386"/>
        <w:rPr>
          <w:rFonts w:eastAsia="Times New Roman"/>
        </w:rPr>
      </w:pPr>
      <w:r>
        <w:rPr>
          <w:rFonts w:ascii="Arial" w:eastAsia="Times New Roman" w:hAnsi="Arial" w:cs="Arial"/>
          <w:color w:val="000000"/>
          <w:sz w:val="20"/>
          <w:szCs w:val="20"/>
        </w:rPr>
        <w:t>Cash is primarily used to fund working capital to support our operations as well as for strategic acquisitions and investments, such as the acquisition of Flyers discussed below.</w:t>
      </w:r>
    </w:p>
    <w:p w:rsidR="00000000" w:rsidRDefault="002223F7">
      <w:pPr>
        <w:jc w:val="both"/>
        <w:divId w:val="451020593"/>
        <w:rPr>
          <w:rFonts w:eastAsia="Times New Roman"/>
        </w:rPr>
      </w:pPr>
      <w:r>
        <w:rPr>
          <w:rFonts w:ascii="Arial" w:eastAsia="Times New Roman" w:hAnsi="Arial" w:cs="Arial"/>
          <w:color w:val="000000"/>
          <w:sz w:val="20"/>
          <w:szCs w:val="20"/>
        </w:rPr>
        <w:t>As of December 31, 2022</w:t>
      </w:r>
      <w:r>
        <w:rPr>
          <w:rFonts w:ascii="Arial" w:eastAsia="Times New Roman" w:hAnsi="Arial" w:cs="Arial"/>
          <w:color w:val="000000"/>
          <w:sz w:val="20"/>
          <w:szCs w:val="20"/>
        </w:rPr>
        <w:t>, our contractual obligations were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343"/>
        <w:gridCol w:w="37"/>
        <w:gridCol w:w="133"/>
        <w:gridCol w:w="1068"/>
        <w:gridCol w:w="36"/>
        <w:gridCol w:w="36"/>
        <w:gridCol w:w="36"/>
        <w:gridCol w:w="36"/>
        <w:gridCol w:w="132"/>
        <w:gridCol w:w="1048"/>
        <w:gridCol w:w="36"/>
        <w:gridCol w:w="36"/>
        <w:gridCol w:w="36"/>
        <w:gridCol w:w="36"/>
        <w:gridCol w:w="132"/>
        <w:gridCol w:w="1051"/>
        <w:gridCol w:w="36"/>
      </w:tblGrid>
      <w:tr w:rsidR="00000000">
        <w:trPr>
          <w:divId w:val="1068458230"/>
        </w:trPr>
        <w:tc>
          <w:tcPr>
            <w:tcW w:w="50" w:type="pct"/>
            <w:vAlign w:val="center"/>
            <w:hideMark/>
          </w:tcPr>
          <w:p w:rsidR="00000000" w:rsidRDefault="002223F7">
            <w:pPr>
              <w:jc w:val="both"/>
              <w:rPr>
                <w:rFonts w:eastAsia="Times New Roman"/>
              </w:rPr>
            </w:pPr>
          </w:p>
        </w:tc>
        <w:tc>
          <w:tcPr>
            <w:tcW w:w="264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6"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1068458230"/>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Current</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Long-Term</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Total</w:t>
            </w:r>
          </w:p>
        </w:tc>
      </w:tr>
      <w:tr w:rsidR="00000000">
        <w:trPr>
          <w:divId w:val="106845823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divId w:val="1690375815"/>
              <w:rPr>
                <w:rFonts w:eastAsia="Times New Roman"/>
              </w:rPr>
            </w:pPr>
            <w:r>
              <w:rPr>
                <w:rFonts w:ascii="Arial" w:eastAsia="Times New Roman" w:hAnsi="Arial" w:cs="Arial"/>
                <w:color w:val="000000"/>
                <w:sz w:val="20"/>
                <w:szCs w:val="20"/>
              </w:rPr>
              <w:t>Debt and interest obligation</w:t>
            </w:r>
            <w:r>
              <w:rPr>
                <w:rFonts w:ascii="Arial" w:eastAsia="Times New Roman" w:hAnsi="Arial" w:cs="Arial"/>
                <w:color w:val="000000"/>
                <w:sz w:val="20"/>
                <w:szCs w:val="20"/>
              </w:rPr>
              <w:t>s</w:t>
            </w:r>
            <w:r>
              <w:rPr>
                <w:rFonts w:ascii="Arial" w:eastAsia="Times New Roman" w:hAnsi="Arial" w:cs="Arial"/>
                <w:color w:val="000000"/>
                <w:sz w:val="13"/>
                <w:szCs w:val="13"/>
              </w:rPr>
              <w:t xml:space="preserve"> (1</w:t>
            </w:r>
            <w:r>
              <w:rPr>
                <w:rFonts w:ascii="Arial" w:eastAsia="Times New Roman" w:hAnsi="Arial" w:cs="Arial"/>
                <w:color w:val="000000"/>
                <w:sz w:val="13"/>
                <w:szCs w:val="13"/>
              </w:rPr>
              <w: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888.0 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919.6 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06845823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divId w:val="1466776592"/>
              <w:rPr>
                <w:rFonts w:eastAsia="Times New Roman"/>
              </w:rPr>
            </w:pPr>
            <w:r>
              <w:rPr>
                <w:rFonts w:ascii="Arial" w:eastAsia="Times New Roman" w:hAnsi="Arial" w:cs="Arial"/>
                <w:color w:val="000000"/>
                <w:sz w:val="20"/>
                <w:szCs w:val="20"/>
              </w:rPr>
              <w:t>Operating lease obligation</w:t>
            </w:r>
            <w:r>
              <w:rPr>
                <w:rFonts w:ascii="Arial" w:eastAsia="Times New Roman" w:hAnsi="Arial" w:cs="Arial"/>
                <w:color w:val="000000"/>
                <w:sz w:val="20"/>
                <w:szCs w:val="20"/>
              </w:rPr>
              <w:t>s</w:t>
            </w:r>
            <w:r>
              <w:rPr>
                <w:rFonts w:ascii="Arial" w:eastAsia="Times New Roman" w:hAnsi="Arial" w:cs="Arial"/>
                <w:color w:val="000000"/>
                <w:sz w:val="13"/>
                <w:szCs w:val="13"/>
              </w:rPr>
              <w:t xml:space="preserve"> (2</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43.2 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204.6 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247.8 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06845823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divId w:val="990716002"/>
              <w:rPr>
                <w:rFonts w:eastAsia="Times New Roman"/>
              </w:rPr>
            </w:pPr>
            <w:r>
              <w:rPr>
                <w:rFonts w:ascii="Arial" w:eastAsia="Times New Roman" w:hAnsi="Arial" w:cs="Arial"/>
                <w:color w:val="000000"/>
                <w:sz w:val="20"/>
                <w:szCs w:val="20"/>
              </w:rPr>
              <w:t>Finance lease obligation</w:t>
            </w:r>
            <w:r>
              <w:rPr>
                <w:rFonts w:ascii="Arial" w:eastAsia="Times New Roman" w:hAnsi="Arial" w:cs="Arial"/>
                <w:color w:val="000000"/>
                <w:sz w:val="20"/>
                <w:szCs w:val="20"/>
              </w:rPr>
              <w:t>s</w:t>
            </w:r>
            <w:r>
              <w:rPr>
                <w:rFonts w:ascii="Arial" w:eastAsia="Times New Roman" w:hAnsi="Arial" w:cs="Arial"/>
                <w:color w:val="000000"/>
                <w:sz w:val="13"/>
                <w:szCs w:val="13"/>
              </w:rPr>
              <w:t xml:space="preserve"> (2</w:t>
            </w:r>
            <w:r>
              <w:rPr>
                <w:rFonts w:ascii="Arial" w:eastAsia="Times New Roman" w:hAnsi="Arial" w:cs="Arial"/>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17.0 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06845823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divId w:val="1579750900"/>
              <w:rPr>
                <w:rFonts w:eastAsia="Times New Roman"/>
              </w:rPr>
            </w:pPr>
            <w:r>
              <w:rPr>
                <w:rFonts w:ascii="Arial" w:eastAsia="Times New Roman" w:hAnsi="Arial" w:cs="Arial"/>
                <w:color w:val="000000"/>
                <w:sz w:val="20"/>
                <w:szCs w:val="20"/>
              </w:rPr>
              <w:t>Derivatives obligation</w:t>
            </w:r>
            <w:r>
              <w:rPr>
                <w:rFonts w:ascii="Arial" w:eastAsia="Times New Roman" w:hAnsi="Arial" w:cs="Arial"/>
                <w:color w:val="000000"/>
                <w:sz w:val="20"/>
                <w:szCs w:val="20"/>
              </w:rPr>
              <w:t>s</w:t>
            </w:r>
            <w:r>
              <w:rPr>
                <w:rFonts w:ascii="Arial" w:eastAsia="Times New Roman" w:hAnsi="Arial" w:cs="Arial"/>
                <w:color w:val="000000"/>
                <w:sz w:val="13"/>
                <w:szCs w:val="13"/>
              </w:rPr>
              <w:t xml:space="preserve"> (3</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325.2 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165.0 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490.2 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06845823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divId w:val="1325859309"/>
              <w:rPr>
                <w:rFonts w:eastAsia="Times New Roman"/>
              </w:rPr>
            </w:pPr>
            <w:r>
              <w:rPr>
                <w:rFonts w:ascii="Arial" w:eastAsia="Times New Roman" w:hAnsi="Arial" w:cs="Arial"/>
                <w:color w:val="000000"/>
                <w:sz w:val="20"/>
                <w:szCs w:val="20"/>
              </w:rPr>
              <w:t>Purchase commitment obligation</w:t>
            </w:r>
            <w:r>
              <w:rPr>
                <w:rFonts w:ascii="Arial" w:eastAsia="Times New Roman" w:hAnsi="Arial" w:cs="Arial"/>
                <w:color w:val="000000"/>
                <w:sz w:val="20"/>
                <w:szCs w:val="20"/>
              </w:rPr>
              <w:t>s</w:t>
            </w:r>
            <w:r>
              <w:rPr>
                <w:rFonts w:ascii="Arial" w:eastAsia="Times New Roman" w:hAnsi="Arial" w:cs="Arial"/>
                <w:color w:val="000000"/>
                <w:sz w:val="13"/>
                <w:szCs w:val="13"/>
              </w:rPr>
              <w:t xml:space="preserve"> (4</w:t>
            </w:r>
            <w:r>
              <w:rPr>
                <w:rFonts w:ascii="Arial" w:eastAsia="Times New Roman" w:hAnsi="Arial" w:cs="Arial"/>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64.5 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59.3 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123.8 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06845823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Other obligations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6.4 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06845823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470.1 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1,334.6 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1,804.7 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ind w:hanging="360"/>
        <w:jc w:val="both"/>
        <w:divId w:val="1598244849"/>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Debt and interest obligations include principal and interest payments on fixed-rate and variable-rate, fixed-term debt based on their maturity dates. See Note 7. Debt, Interest Income, Expense, and Other Finance Costs for additional information.</w:t>
      </w:r>
    </w:p>
    <w:p w:rsidR="00000000" w:rsidRDefault="002223F7">
      <w:pPr>
        <w:ind w:hanging="360"/>
        <w:jc w:val="both"/>
        <w:divId w:val="2127118814"/>
        <w:rPr>
          <w:rFonts w:eastAsia="Times New Roman"/>
        </w:rPr>
      </w:pPr>
      <w:r>
        <w:rPr>
          <w:rFonts w:ascii="Arial" w:eastAsia="Times New Roman" w:hAnsi="Arial" w:cs="Arial"/>
          <w:color w:val="000000"/>
          <w:sz w:val="13"/>
          <w:szCs w:val="13"/>
        </w:rPr>
        <w:t>(2</w:t>
      </w:r>
      <w:r>
        <w:rPr>
          <w:rFonts w:ascii="Arial" w:eastAsia="Times New Roman" w:hAnsi="Arial" w:cs="Arial"/>
          <w:color w:val="000000"/>
          <w:sz w:val="13"/>
          <w:szCs w:val="13"/>
        </w:rPr>
        <w:t>)</w:t>
      </w:r>
      <w:r>
        <w:rPr>
          <w:rFonts w:ascii="Arial" w:eastAsia="Times New Roman" w:hAnsi="Arial" w:cs="Arial"/>
          <w:color w:val="000000"/>
          <w:sz w:val="20"/>
          <w:szCs w:val="20"/>
        </w:rPr>
        <w:t>We ente</w:t>
      </w:r>
      <w:r>
        <w:rPr>
          <w:rFonts w:ascii="Arial" w:eastAsia="Times New Roman" w:hAnsi="Arial" w:cs="Arial"/>
          <w:color w:val="000000"/>
          <w:sz w:val="20"/>
          <w:szCs w:val="20"/>
        </w:rPr>
        <w:t>r into lease arrangements for the use of offices, operational facilities, vehicles, vessels, storage tanks and other assets for our operations around the world. See Note 13. Leases for additional information.</w:t>
      </w:r>
    </w:p>
    <w:p w:rsidR="00000000" w:rsidRDefault="002223F7">
      <w:pPr>
        <w:ind w:hanging="360"/>
        <w:jc w:val="both"/>
        <w:divId w:val="60368106"/>
        <w:rPr>
          <w:rFonts w:eastAsia="Times New Roman"/>
        </w:rPr>
      </w:pPr>
      <w:r>
        <w:rPr>
          <w:rFonts w:ascii="Arial" w:eastAsia="Times New Roman" w:hAnsi="Arial" w:cs="Arial"/>
          <w:color w:val="000000"/>
          <w:sz w:val="13"/>
          <w:szCs w:val="13"/>
        </w:rPr>
        <w:t>(3</w:t>
      </w:r>
      <w:r>
        <w:rPr>
          <w:rFonts w:ascii="Arial" w:eastAsia="Times New Roman" w:hAnsi="Arial" w:cs="Arial"/>
          <w:color w:val="000000"/>
          <w:sz w:val="13"/>
          <w:szCs w:val="13"/>
        </w:rPr>
        <w:t>)</w:t>
      </w:r>
      <w:r>
        <w:rPr>
          <w:rFonts w:ascii="Arial" w:eastAsia="Times New Roman" w:hAnsi="Arial" w:cs="Arial"/>
          <w:color w:val="000000"/>
          <w:sz w:val="20"/>
          <w:szCs w:val="20"/>
        </w:rPr>
        <w:t>As part of our risk management program, we e</w:t>
      </w:r>
      <w:r>
        <w:rPr>
          <w:rFonts w:ascii="Arial" w:eastAsia="Times New Roman" w:hAnsi="Arial" w:cs="Arial"/>
          <w:color w:val="000000"/>
          <w:sz w:val="20"/>
          <w:szCs w:val="20"/>
        </w:rPr>
        <w:t>nter into derivative instruments intended to mitigate risks associated with changes in commodity prices, foreign currency exchange rates, and interest rates. Our obligations associated with these derivative instruments fluctuate based on changes in the fai</w:t>
      </w:r>
      <w:r>
        <w:rPr>
          <w:rFonts w:ascii="Arial" w:eastAsia="Times New Roman" w:hAnsi="Arial" w:cs="Arial"/>
          <w:color w:val="000000"/>
          <w:sz w:val="20"/>
          <w:szCs w:val="20"/>
        </w:rPr>
        <w:t xml:space="preserve">r value of the derivatives. See Note 4. Derivative Instruments and Note 5. Fair Value Measurements for additional information. </w:t>
      </w:r>
    </w:p>
    <w:p w:rsidR="00000000" w:rsidRDefault="002223F7">
      <w:pPr>
        <w:ind w:hanging="360"/>
        <w:jc w:val="both"/>
        <w:divId w:val="1246842799"/>
        <w:rPr>
          <w:rFonts w:eastAsia="Times New Roman"/>
        </w:rPr>
      </w:pPr>
      <w:r>
        <w:rPr>
          <w:rFonts w:ascii="Arial" w:eastAsia="Times New Roman" w:hAnsi="Arial" w:cs="Arial"/>
          <w:color w:val="000000"/>
          <w:sz w:val="13"/>
          <w:szCs w:val="13"/>
        </w:rPr>
        <w:t>(4</w:t>
      </w:r>
      <w:r>
        <w:rPr>
          <w:rFonts w:ascii="Arial" w:eastAsia="Times New Roman" w:hAnsi="Arial" w:cs="Arial"/>
          <w:color w:val="000000"/>
          <w:sz w:val="13"/>
          <w:szCs w:val="13"/>
        </w:rPr>
        <w:t>)</w:t>
      </w:r>
      <w:r>
        <w:rPr>
          <w:rFonts w:ascii="Arial" w:eastAsia="Times New Roman" w:hAnsi="Arial" w:cs="Arial"/>
          <w:color w:val="000000"/>
          <w:sz w:val="20"/>
          <w:szCs w:val="20"/>
        </w:rPr>
        <w:t>We have fixed purchase commitments associated with our risk management program, as well as a purchase contract, that runs thr</w:t>
      </w:r>
      <w:r>
        <w:rPr>
          <w:rFonts w:ascii="Arial" w:eastAsia="Times New Roman" w:hAnsi="Arial" w:cs="Arial"/>
          <w:color w:val="000000"/>
          <w:sz w:val="20"/>
          <w:szCs w:val="20"/>
        </w:rPr>
        <w:t>ough 2026, under which we agreed to purchase annually between 1.9 million barrels and 2.0 million barrels of aviation fuel at future market prices. See Note 11. Commitments and Contingencies for additional information.</w:t>
      </w:r>
    </w:p>
    <w:p w:rsidR="00000000" w:rsidRDefault="002223F7">
      <w:pPr>
        <w:jc w:val="center"/>
        <w:divId w:val="2130706464"/>
        <w:rPr>
          <w:rFonts w:eastAsia="Times New Roman"/>
        </w:rPr>
      </w:pPr>
      <w:r>
        <w:rPr>
          <w:rFonts w:ascii="Arial" w:eastAsia="Times New Roman" w:hAnsi="Arial" w:cs="Arial"/>
          <w:color w:val="000000"/>
          <w:sz w:val="16"/>
          <w:szCs w:val="16"/>
        </w:rPr>
        <w:t>28</w:t>
      </w:r>
    </w:p>
    <w:p w:rsidR="00000000" w:rsidRDefault="002223F7">
      <w:pPr>
        <w:rPr>
          <w:rFonts w:eastAsia="Times New Roman"/>
        </w:rPr>
      </w:pPr>
      <w:r>
        <w:rPr>
          <w:rFonts w:eastAsia="Times New Roman"/>
        </w:rPr>
        <w:pict>
          <v:rect id="_x0000_i1059" style="width:0;height:1.5pt" o:hralign="center" o:hrstd="t" o:hr="t" fillcolor="#a0a0a0" stroked="f"/>
        </w:pict>
      </w:r>
    </w:p>
    <w:p w:rsidR="00000000" w:rsidRDefault="002223F7">
      <w:pPr>
        <w:jc w:val="both"/>
        <w:divId w:val="2113279601"/>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306935680"/>
        <w:rPr>
          <w:rFonts w:eastAsia="Times New Roman"/>
        </w:rPr>
      </w:pPr>
      <w:r>
        <w:rPr>
          <w:rFonts w:ascii="Arial" w:eastAsia="Times New Roman" w:hAnsi="Arial" w:cs="Arial"/>
          <w:color w:val="000000"/>
          <w:sz w:val="20"/>
          <w:szCs w:val="20"/>
        </w:rPr>
        <w:t xml:space="preserve">Future material cash requirements and off-balance sheet arrangements, in addition to the contractual obligations in the </w:t>
      </w:r>
      <w:r>
        <w:rPr>
          <w:rFonts w:ascii="Arial" w:eastAsia="Times New Roman" w:hAnsi="Arial" w:cs="Arial"/>
          <w:color w:val="000000"/>
          <w:sz w:val="20"/>
          <w:szCs w:val="20"/>
        </w:rPr>
        <w:t>table above, include the following:</w:t>
      </w:r>
    </w:p>
    <w:p w:rsidR="00000000" w:rsidRDefault="002223F7">
      <w:pPr>
        <w:jc w:val="both"/>
        <w:divId w:val="652950726"/>
        <w:rPr>
          <w:rFonts w:eastAsia="Times New Roman"/>
        </w:rPr>
      </w:pPr>
      <w:r>
        <w:rPr>
          <w:rFonts w:ascii="Arial" w:eastAsia="Times New Roman" w:hAnsi="Arial" w:cs="Arial"/>
          <w:i/>
          <w:iCs/>
          <w:color w:val="000000"/>
          <w:sz w:val="20"/>
          <w:szCs w:val="20"/>
        </w:rPr>
        <w:t>Acquisition of Flyers.</w:t>
      </w:r>
      <w:r>
        <w:rPr>
          <w:rFonts w:ascii="Arial" w:eastAsia="Times New Roman" w:hAnsi="Arial" w:cs="Arial"/>
          <w:color w:val="000000"/>
          <w:sz w:val="20"/>
          <w:szCs w:val="20"/>
        </w:rPr>
        <w:t xml:space="preserve"> During the year ended December </w:t>
      </w:r>
      <w:r>
        <w:rPr>
          <w:rFonts w:ascii="Arial" w:eastAsia="Times New Roman" w:hAnsi="Arial" w:cs="Arial"/>
          <w:color w:val="000000"/>
          <w:sz w:val="20"/>
          <w:szCs w:val="20"/>
        </w:rPr>
        <w:t>31, 2022, we closed the acquisition of Flyers as discussed in Note 3. Acquisitions and Divestitures. As of December 31, 2022, $100.0 million of the $795.0 million total purchase consideration remains payable to the seller, with one-half to be released on e</w:t>
      </w:r>
      <w:r>
        <w:rPr>
          <w:rFonts w:ascii="Arial" w:eastAsia="Times New Roman" w:hAnsi="Arial" w:cs="Arial"/>
          <w:color w:val="000000"/>
          <w:sz w:val="20"/>
          <w:szCs w:val="20"/>
        </w:rPr>
        <w:t>ach of the first and second anniversary of the closing of the acquisition. On January 3, 2023, $50.0 million of the remaining purchase consideration was paid to the seller, with the remaining $50.0 million expected to be settled on January 3, 2024.</w:t>
      </w:r>
    </w:p>
    <w:p w:rsidR="00000000" w:rsidRDefault="002223F7">
      <w:pPr>
        <w:jc w:val="both"/>
        <w:divId w:val="16540747"/>
        <w:rPr>
          <w:rFonts w:eastAsia="Times New Roman"/>
        </w:rPr>
      </w:pPr>
      <w:r>
        <w:rPr>
          <w:rFonts w:ascii="Arial" w:eastAsia="Times New Roman" w:hAnsi="Arial" w:cs="Arial"/>
          <w:i/>
          <w:iCs/>
          <w:color w:val="000000"/>
          <w:sz w:val="20"/>
          <w:szCs w:val="20"/>
        </w:rPr>
        <w:t>Capital</w:t>
      </w:r>
      <w:r>
        <w:rPr>
          <w:rFonts w:ascii="Arial" w:eastAsia="Times New Roman" w:hAnsi="Arial" w:cs="Arial"/>
          <w:i/>
          <w:iCs/>
          <w:color w:val="000000"/>
          <w:sz w:val="20"/>
          <w:szCs w:val="20"/>
        </w:rPr>
        <w:t xml:space="preserve"> Expenditures. </w:t>
      </w:r>
      <w:r>
        <w:rPr>
          <w:rFonts w:ascii="Arial" w:eastAsia="Times New Roman" w:hAnsi="Arial" w:cs="Arial"/>
          <w:color w:val="000000"/>
          <w:sz w:val="20"/>
          <w:szCs w:val="20"/>
        </w:rPr>
        <w:t xml:space="preserve">During the year ended December 31, 2022, we incurred capital expenditures in the ordinary course of business of approximately $78.6 million. In 2023, we expect our capital expenditures to be generally consistent with the year ended December </w:t>
      </w:r>
      <w:r>
        <w:rPr>
          <w:rFonts w:ascii="Arial" w:eastAsia="Times New Roman" w:hAnsi="Arial" w:cs="Arial"/>
          <w:color w:val="000000"/>
          <w:sz w:val="20"/>
          <w:szCs w:val="20"/>
        </w:rPr>
        <w:t>31, 2022.</w:t>
      </w:r>
    </w:p>
    <w:p w:rsidR="00000000" w:rsidRDefault="002223F7">
      <w:pPr>
        <w:jc w:val="both"/>
        <w:divId w:val="1156336051"/>
        <w:rPr>
          <w:rFonts w:eastAsia="Times New Roman"/>
        </w:rPr>
      </w:pPr>
      <w:r>
        <w:rPr>
          <w:rFonts w:ascii="Arial" w:eastAsia="Times New Roman" w:hAnsi="Arial" w:cs="Arial"/>
          <w:i/>
          <w:iCs/>
          <w:color w:val="000000"/>
          <w:sz w:val="20"/>
          <w:szCs w:val="20"/>
        </w:rPr>
        <w:t xml:space="preserve">Unrecognized Income Tax Liabilities. </w:t>
      </w:r>
      <w:r>
        <w:rPr>
          <w:rFonts w:ascii="Arial" w:eastAsia="Times New Roman" w:hAnsi="Arial" w:cs="Arial"/>
          <w:color w:val="000000"/>
          <w:sz w:val="20"/>
          <w:szCs w:val="20"/>
        </w:rPr>
        <w:t>As of December 31, 2022, we have recorded gross liabilities for unrecognized income tax benefits ("Unrecognized Tax Liabilities"), including penalties and interest, of $93.5 million. The timing of any settleme</w:t>
      </w:r>
      <w:r>
        <w:rPr>
          <w:rFonts w:ascii="Arial" w:eastAsia="Times New Roman" w:hAnsi="Arial" w:cs="Arial"/>
          <w:color w:val="000000"/>
          <w:sz w:val="20"/>
          <w:szCs w:val="20"/>
        </w:rPr>
        <w:t>nt of our Unrecognized Tax Liabilities with the respective taxing authority cannot be reasonably estimated.</w:t>
      </w:r>
    </w:p>
    <w:p w:rsidR="00000000" w:rsidRDefault="002223F7">
      <w:pPr>
        <w:jc w:val="both"/>
        <w:divId w:val="1967538839"/>
        <w:rPr>
          <w:rFonts w:eastAsia="Times New Roman"/>
        </w:rPr>
      </w:pPr>
      <w:r>
        <w:rPr>
          <w:rFonts w:ascii="Arial" w:eastAsia="Times New Roman" w:hAnsi="Arial" w:cs="Arial"/>
          <w:i/>
          <w:iCs/>
          <w:color w:val="000000"/>
          <w:sz w:val="20"/>
          <w:szCs w:val="20"/>
        </w:rPr>
        <w:t>Letters of Credit and Bank Guarantees.</w:t>
      </w:r>
      <w:r>
        <w:rPr>
          <w:rFonts w:ascii="Arial" w:eastAsia="Times New Roman" w:hAnsi="Arial" w:cs="Arial"/>
          <w:color w:val="000000"/>
          <w:sz w:val="20"/>
          <w:szCs w:val="20"/>
        </w:rPr>
        <w:t xml:space="preserve"> In the normal course of business, we are required to provide letters of credit to certain suppliers. A majori</w:t>
      </w:r>
      <w:r>
        <w:rPr>
          <w:rFonts w:ascii="Arial" w:eastAsia="Times New Roman" w:hAnsi="Arial" w:cs="Arial"/>
          <w:color w:val="000000"/>
          <w:sz w:val="20"/>
          <w:szCs w:val="20"/>
        </w:rPr>
        <w:t>ty of these letters of credit expire within one year from their issuance and expired letters of credit are renewed as needed. As of December 31, 2022, we had issued letters of credit and bank guarantees totaling $561.4 million under our Credit Facility and</w:t>
      </w:r>
      <w:r>
        <w:rPr>
          <w:rFonts w:ascii="Arial" w:eastAsia="Times New Roman" w:hAnsi="Arial" w:cs="Arial"/>
          <w:color w:val="000000"/>
          <w:sz w:val="20"/>
          <w:szCs w:val="20"/>
        </w:rPr>
        <w:t xml:space="preserve"> other uncommitted credit lines.</w:t>
      </w:r>
    </w:p>
    <w:p w:rsidR="00000000" w:rsidRDefault="002223F7">
      <w:pPr>
        <w:jc w:val="both"/>
        <w:divId w:val="1067801471"/>
        <w:rPr>
          <w:rFonts w:eastAsia="Times New Roman"/>
        </w:rPr>
      </w:pPr>
      <w:r>
        <w:rPr>
          <w:rFonts w:ascii="Arial" w:eastAsia="Times New Roman" w:hAnsi="Arial" w:cs="Arial"/>
          <w:i/>
          <w:iCs/>
          <w:color w:val="000000"/>
          <w:sz w:val="20"/>
          <w:szCs w:val="20"/>
        </w:rPr>
        <w:t>Surety Bonds.</w:t>
      </w:r>
      <w:r>
        <w:rPr>
          <w:rFonts w:ascii="Arial" w:eastAsia="Times New Roman" w:hAnsi="Arial" w:cs="Arial"/>
          <w:color w:val="000000"/>
          <w:sz w:val="20"/>
          <w:szCs w:val="20"/>
        </w:rPr>
        <w:t xml:space="preserve"> In the normal course of business, we are required to post bid, performance and other surety-related bonds. The majority of the surety bonds posted relate to our aviation and land segments. We had outstanding b</w:t>
      </w:r>
      <w:r>
        <w:rPr>
          <w:rFonts w:ascii="Arial" w:eastAsia="Times New Roman" w:hAnsi="Arial" w:cs="Arial"/>
          <w:color w:val="000000"/>
          <w:sz w:val="20"/>
          <w:szCs w:val="20"/>
        </w:rPr>
        <w:t>onds that were executed in order to satisfy various security requirements of $59.7 million as of December 31, 2022.</w:t>
      </w:r>
    </w:p>
    <w:p w:rsidR="00000000" w:rsidRDefault="002223F7">
      <w:pPr>
        <w:divId w:val="912272963"/>
        <w:rPr>
          <w:rFonts w:eastAsia="Times New Roman"/>
        </w:rPr>
      </w:pPr>
      <w:r>
        <w:rPr>
          <w:rFonts w:ascii="Arial" w:eastAsia="Times New Roman" w:hAnsi="Arial" w:cs="Arial"/>
          <w:color w:val="000000"/>
          <w:sz w:val="20"/>
          <w:szCs w:val="20"/>
          <w:u w:val="single"/>
        </w:rPr>
        <w:t>Cash Flows</w:t>
      </w:r>
    </w:p>
    <w:p w:rsidR="00000000" w:rsidRDefault="002223F7">
      <w:pPr>
        <w:jc w:val="both"/>
        <w:divId w:val="1707564927"/>
        <w:rPr>
          <w:rFonts w:eastAsia="Times New Roman"/>
        </w:rPr>
      </w:pPr>
      <w:r>
        <w:rPr>
          <w:rFonts w:ascii="Arial" w:eastAsia="Times New Roman" w:hAnsi="Arial" w:cs="Arial"/>
          <w:color w:val="000000"/>
          <w:sz w:val="20"/>
          <w:szCs w:val="20"/>
        </w:rPr>
        <w:t>The following table reflects the major categories of cash flows (in millions). For additional details, please see the Consolidate</w:t>
      </w:r>
      <w:r>
        <w:rPr>
          <w:rFonts w:ascii="Arial" w:eastAsia="Times New Roman" w:hAnsi="Arial" w:cs="Arial"/>
          <w:color w:val="000000"/>
          <w:sz w:val="20"/>
          <w:szCs w:val="20"/>
        </w:rPr>
        <w:t>d Statements of Cash Flows.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4600"/>
        <w:gridCol w:w="36"/>
        <w:gridCol w:w="132"/>
        <w:gridCol w:w="984"/>
        <w:gridCol w:w="36"/>
        <w:gridCol w:w="36"/>
        <w:gridCol w:w="36"/>
        <w:gridCol w:w="36"/>
        <w:gridCol w:w="132"/>
        <w:gridCol w:w="964"/>
        <w:gridCol w:w="36"/>
        <w:gridCol w:w="36"/>
        <w:gridCol w:w="36"/>
        <w:gridCol w:w="36"/>
        <w:gridCol w:w="132"/>
        <w:gridCol w:w="965"/>
        <w:gridCol w:w="36"/>
      </w:tblGrid>
      <w:tr w:rsidR="00000000">
        <w:trPr>
          <w:divId w:val="241331063"/>
        </w:trPr>
        <w:tc>
          <w:tcPr>
            <w:tcW w:w="50" w:type="pct"/>
            <w:vAlign w:val="center"/>
            <w:hideMark/>
          </w:tcPr>
          <w:p w:rsidR="00000000" w:rsidRDefault="002223F7">
            <w:pPr>
              <w:jc w:val="both"/>
              <w:rPr>
                <w:rFonts w:eastAsia="Times New Roman"/>
              </w:rPr>
            </w:pPr>
          </w:p>
        </w:tc>
        <w:tc>
          <w:tcPr>
            <w:tcW w:w="2803"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2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2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2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241331063"/>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For the Years Ended December 31,</w:t>
            </w:r>
          </w:p>
        </w:tc>
      </w:tr>
      <w:tr w:rsidR="00000000">
        <w:trPr>
          <w:divId w:val="241331063"/>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2020</w:t>
            </w:r>
          </w:p>
        </w:tc>
      </w:tr>
      <w:tr w:rsidR="00000000">
        <w:trPr>
          <w:divId w:val="241331063"/>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Net cash provided by (used in)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138.5 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173.2 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604.1 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41331063"/>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Net cash provided by (used in) investing activities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(724.9)</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(58.3)</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72.8 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41331063"/>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Net cash provided by (used in) financing activities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237.3 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(113.6)</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(213.0)</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jc w:val="both"/>
        <w:divId w:val="1642156494"/>
        <w:rPr>
          <w:rFonts w:eastAsia="Times New Roman"/>
        </w:rPr>
      </w:pPr>
      <w:r>
        <w:rPr>
          <w:rFonts w:ascii="Arial" w:eastAsia="Times New Roman" w:hAnsi="Arial" w:cs="Arial"/>
          <w:i/>
          <w:iCs/>
          <w:color w:val="000000"/>
          <w:sz w:val="20"/>
          <w:szCs w:val="20"/>
        </w:rPr>
        <w:t>Operating Activities.</w:t>
      </w:r>
      <w:r>
        <w:rPr>
          <w:rFonts w:ascii="Arial" w:eastAsia="Times New Roman" w:hAnsi="Arial" w:cs="Arial"/>
          <w:color w:val="000000"/>
          <w:sz w:val="20"/>
          <w:szCs w:val="20"/>
        </w:rPr>
        <w:t> For the year ended December 31, 2022, net cash provided by operating activities was $138.5 </w:t>
      </w:r>
      <w:r>
        <w:rPr>
          <w:rFonts w:ascii="Arial" w:eastAsia="Times New Roman" w:hAnsi="Arial" w:cs="Arial"/>
          <w:color w:val="000000"/>
          <w:sz w:val="20"/>
          <w:szCs w:val="20"/>
        </w:rPr>
        <w:t>million compared to net cash provided of $173.2 million for the year ended December 31, 2021. The $34.7 million decrease in operating cash flows was principally due to the impact of the overall increase in volumes, higher average fuel prices as well as hig</w:t>
      </w:r>
      <w:r>
        <w:rPr>
          <w:rFonts w:ascii="Arial" w:eastAsia="Times New Roman" w:hAnsi="Arial" w:cs="Arial"/>
          <w:color w:val="000000"/>
          <w:sz w:val="20"/>
          <w:szCs w:val="20"/>
        </w:rPr>
        <w:t>her interest rates that increased our interest payments in 2022. The increased prices and volumes compared to the prior year negatively impacted our inventory costs, increased both our accounts receivable and our accounts payable, and also drove an increas</w:t>
      </w:r>
      <w:r>
        <w:rPr>
          <w:rFonts w:ascii="Arial" w:eastAsia="Times New Roman" w:hAnsi="Arial" w:cs="Arial"/>
          <w:color w:val="000000"/>
          <w:sz w:val="20"/>
          <w:szCs w:val="20"/>
        </w:rPr>
        <w:t>e in our derivative-related activity and transaction tax payments. These negative impacts on our operating cash flow were partially offset by an increase in net income (see “Results of Operations” for further details of the drivers impacting our net income</w:t>
      </w:r>
      <w:r>
        <w:rPr>
          <w:rFonts w:ascii="Arial" w:eastAsia="Times New Roman" w:hAnsi="Arial" w:cs="Arial"/>
          <w:color w:val="000000"/>
          <w:sz w:val="20"/>
          <w:szCs w:val="20"/>
        </w:rPr>
        <w:t>) adjusted for noncash items (primarily related to unrealized derivative activity and depreciation) of $252.6 million and an increase in sales of accounts receivable under our RPA programs (as discussed under “Sources of Liquidity and Factors Impacting Our</w:t>
      </w:r>
      <w:r>
        <w:rPr>
          <w:rFonts w:ascii="Arial" w:eastAsia="Times New Roman" w:hAnsi="Arial" w:cs="Arial"/>
          <w:color w:val="000000"/>
          <w:sz w:val="20"/>
          <w:szCs w:val="20"/>
        </w:rPr>
        <w:t xml:space="preserve"> Liquidity” above).</w:t>
      </w:r>
    </w:p>
    <w:p w:rsidR="00000000" w:rsidRDefault="002223F7">
      <w:pPr>
        <w:jc w:val="both"/>
        <w:divId w:val="1922106237"/>
        <w:rPr>
          <w:rFonts w:eastAsia="Times New Roman"/>
        </w:rPr>
      </w:pPr>
      <w:r>
        <w:rPr>
          <w:rFonts w:ascii="Arial" w:eastAsia="Times New Roman" w:hAnsi="Arial" w:cs="Arial"/>
          <w:i/>
          <w:iCs/>
          <w:color w:val="000000"/>
          <w:sz w:val="20"/>
          <w:szCs w:val="20"/>
        </w:rPr>
        <w:t>Investing Activities.</w:t>
      </w:r>
      <w:r>
        <w:rPr>
          <w:rFonts w:ascii="Arial" w:eastAsia="Times New Roman" w:hAnsi="Arial" w:cs="Arial"/>
          <w:color w:val="000000"/>
          <w:sz w:val="20"/>
          <w:szCs w:val="20"/>
        </w:rPr>
        <w:t> For the year ended December 31, 2022, net cash used in investing activities was $724.9 </w:t>
      </w:r>
      <w:r>
        <w:rPr>
          <w:rFonts w:ascii="Arial" w:eastAsia="Times New Roman" w:hAnsi="Arial" w:cs="Arial"/>
          <w:color w:val="000000"/>
          <w:sz w:val="20"/>
          <w:szCs w:val="20"/>
        </w:rPr>
        <w:t>million, compared to net cash used of $58.3 million for the year ended December 31, 2021. The net cash used in investing activities for the year ended December 31, 2022 was primarily driven by $643.9 million net cash paid for the acquisition of businesses,</w:t>
      </w:r>
      <w:r>
        <w:rPr>
          <w:rFonts w:ascii="Arial" w:eastAsia="Times New Roman" w:hAnsi="Arial" w:cs="Arial"/>
          <w:color w:val="000000"/>
          <w:sz w:val="20"/>
          <w:szCs w:val="20"/>
        </w:rPr>
        <w:t xml:space="preserve"> principally Flyers, as discussed in Note 3. Acquisitions and Divestitures, and $78.6 million for capital expenditures. Net cash used in investing activities for the year ended December 31, 2021 was primarily driven by $39.2 million for capital expenditure</w:t>
      </w:r>
      <w:r>
        <w:rPr>
          <w:rFonts w:ascii="Arial" w:eastAsia="Times New Roman" w:hAnsi="Arial" w:cs="Arial"/>
          <w:color w:val="000000"/>
          <w:sz w:val="20"/>
          <w:szCs w:val="20"/>
        </w:rPr>
        <w:t>s and $37.1 million cash paid for the acquisition of a business in the land segment in the fourth quarter of 2021, as discussed in Note 3. Acquisitions and Divestitures, partially offset by net cash proceeds of $25.0 million from the collection of a note r</w:t>
      </w:r>
      <w:r>
        <w:rPr>
          <w:rFonts w:ascii="Arial" w:eastAsia="Times New Roman" w:hAnsi="Arial" w:cs="Arial"/>
          <w:color w:val="000000"/>
          <w:sz w:val="20"/>
          <w:szCs w:val="20"/>
        </w:rPr>
        <w:t>eceivable related to the sale of MSTS.</w:t>
      </w:r>
    </w:p>
    <w:p w:rsidR="00000000" w:rsidRDefault="002223F7">
      <w:pPr>
        <w:jc w:val="both"/>
        <w:divId w:val="1490947911"/>
        <w:rPr>
          <w:rFonts w:eastAsia="Times New Roman"/>
        </w:rPr>
      </w:pPr>
      <w:r>
        <w:rPr>
          <w:rFonts w:ascii="Arial" w:eastAsia="Times New Roman" w:hAnsi="Arial" w:cs="Arial"/>
          <w:i/>
          <w:iCs/>
          <w:color w:val="000000"/>
          <w:sz w:val="20"/>
          <w:szCs w:val="20"/>
        </w:rPr>
        <w:t>Financing Activities.</w:t>
      </w:r>
      <w:r>
        <w:rPr>
          <w:rFonts w:ascii="Arial" w:eastAsia="Times New Roman" w:hAnsi="Arial" w:cs="Arial"/>
          <w:color w:val="000000"/>
          <w:sz w:val="20"/>
          <w:szCs w:val="20"/>
        </w:rPr>
        <w:t> For the year ended December 31, 2022, net cash provided by financing activities was $237.3 million, compared to net cash used of $113.6 million for the year ended December 31, 2021. Net cash prov</w:t>
      </w:r>
      <w:r>
        <w:rPr>
          <w:rFonts w:ascii="Arial" w:eastAsia="Times New Roman" w:hAnsi="Arial" w:cs="Arial"/>
          <w:color w:val="000000"/>
          <w:sz w:val="20"/>
          <w:szCs w:val="20"/>
        </w:rPr>
        <w:t xml:space="preserve">ided by financing activities for the year ended December 31, 2022 was primarily attributable to net borrowings of $333.6 million, primarily driven by incremental borrowings under our Credit Facility related to the acquisition of Flyers and </w:t>
      </w:r>
    </w:p>
    <w:p w:rsidR="00000000" w:rsidRDefault="002223F7">
      <w:pPr>
        <w:jc w:val="center"/>
        <w:divId w:val="713768746"/>
        <w:rPr>
          <w:rFonts w:eastAsia="Times New Roman"/>
        </w:rPr>
      </w:pPr>
      <w:r>
        <w:rPr>
          <w:rFonts w:ascii="Arial" w:eastAsia="Times New Roman" w:hAnsi="Arial" w:cs="Arial"/>
          <w:color w:val="000000"/>
          <w:sz w:val="16"/>
          <w:szCs w:val="16"/>
        </w:rPr>
        <w:t>29</w:t>
      </w:r>
    </w:p>
    <w:p w:rsidR="00000000" w:rsidRDefault="002223F7">
      <w:pPr>
        <w:rPr>
          <w:rFonts w:eastAsia="Times New Roman"/>
        </w:rPr>
      </w:pPr>
      <w:r>
        <w:rPr>
          <w:rFonts w:eastAsia="Times New Roman"/>
        </w:rPr>
        <w:pict>
          <v:rect id="_x0000_i1060" style="width:0;height:1.5pt" o:hralign="center" o:hrstd="t" o:hr="t" fillcolor="#a0a0a0" stroked="f"/>
        </w:pict>
      </w:r>
    </w:p>
    <w:p w:rsidR="00000000" w:rsidRDefault="002223F7">
      <w:pPr>
        <w:jc w:val="both"/>
        <w:divId w:val="926351416"/>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1400589797"/>
        <w:rPr>
          <w:rFonts w:eastAsia="Times New Roman"/>
        </w:rPr>
      </w:pPr>
      <w:r>
        <w:rPr>
          <w:rFonts w:ascii="Arial" w:eastAsia="Times New Roman" w:hAnsi="Arial" w:cs="Arial"/>
          <w:color w:val="000000"/>
          <w:sz w:val="20"/>
          <w:szCs w:val="20"/>
        </w:rPr>
        <w:t>increased working capital requirements, partially offset by $48.7 million in purchases of our comm</w:t>
      </w:r>
      <w:r>
        <w:rPr>
          <w:rFonts w:ascii="Arial" w:eastAsia="Times New Roman" w:hAnsi="Arial" w:cs="Arial"/>
          <w:color w:val="000000"/>
          <w:sz w:val="20"/>
          <w:szCs w:val="20"/>
        </w:rPr>
        <w:t xml:space="preserve">on stock and dividend payments of $31.0 million. Net cash used in financing activities of $113.6 million for the year ended December 31, 2021 was primarily driven by common stock repurchases of $50.5 million, dividend payments on our common stock of $28.7 </w:t>
      </w:r>
      <w:r>
        <w:rPr>
          <w:rFonts w:ascii="Arial" w:eastAsia="Times New Roman" w:hAnsi="Arial" w:cs="Arial"/>
          <w:color w:val="000000"/>
          <w:sz w:val="20"/>
          <w:szCs w:val="20"/>
        </w:rPr>
        <w:t>million, and net repayments of debt under our Credit Facility of $23.9 million.</w:t>
      </w:r>
    </w:p>
    <w:p w:rsidR="00000000" w:rsidRDefault="002223F7">
      <w:pPr>
        <w:divId w:val="2002125050"/>
        <w:rPr>
          <w:rFonts w:eastAsia="Times New Roman"/>
        </w:rPr>
      </w:pPr>
      <w:r>
        <w:rPr>
          <w:rFonts w:ascii="Arial" w:eastAsia="Times New Roman" w:hAnsi="Arial" w:cs="Arial"/>
          <w:b/>
          <w:bCs/>
          <w:color w:val="000000"/>
          <w:sz w:val="20"/>
          <w:szCs w:val="20"/>
        </w:rPr>
        <w:t>Critical Accounting Estimates</w:t>
      </w:r>
    </w:p>
    <w:p w:rsidR="00000000" w:rsidRDefault="002223F7">
      <w:pPr>
        <w:jc w:val="both"/>
        <w:divId w:val="2014452639"/>
        <w:rPr>
          <w:rFonts w:eastAsia="Times New Roman"/>
        </w:rPr>
      </w:pPr>
      <w:r>
        <w:rPr>
          <w:rFonts w:ascii="Arial" w:eastAsia="Times New Roman" w:hAnsi="Arial" w:cs="Arial"/>
          <w:color w:val="000000"/>
          <w:sz w:val="20"/>
          <w:szCs w:val="20"/>
        </w:rPr>
        <w:t>Management's discussion and analysis of our financial condition and results of operations are based upon our Consolidated Financial Statements inc</w:t>
      </w:r>
      <w:r>
        <w:rPr>
          <w:rFonts w:ascii="Arial" w:eastAsia="Times New Roman" w:hAnsi="Arial" w:cs="Arial"/>
          <w:color w:val="000000"/>
          <w:sz w:val="20"/>
          <w:szCs w:val="20"/>
        </w:rPr>
        <w:t>luded in this 2022 10</w:t>
      </w:r>
      <w:r>
        <w:rPr>
          <w:rFonts w:ascii="Arial" w:eastAsia="Times New Roman" w:hAnsi="Arial" w:cs="Arial"/>
          <w:color w:val="000000"/>
          <w:sz w:val="20"/>
          <w:szCs w:val="20"/>
        </w:rPr>
        <w:noBreakHyphen/>
        <w:t>K Report, which has been prepared in accordance with U.S. GAAP. The preparation of these financial statements requires management to make estimates and judgments that affect the reported amounts of assets, liabilities, revenues and ex</w:t>
      </w:r>
      <w:r>
        <w:rPr>
          <w:rFonts w:ascii="Arial" w:eastAsia="Times New Roman" w:hAnsi="Arial" w:cs="Arial"/>
          <w:color w:val="000000"/>
          <w:sz w:val="20"/>
          <w:szCs w:val="20"/>
        </w:rPr>
        <w:t>penses and related disclosure of contingent assets and liabilities. On an ongoing basis, we evaluate our estimates, including those related to unbilled revenue and associated costs of sales, allowance for credit losses, goodwill and long-lived assets, cert</w:t>
      </w:r>
      <w:r>
        <w:rPr>
          <w:rFonts w:ascii="Arial" w:eastAsia="Times New Roman" w:hAnsi="Arial" w:cs="Arial"/>
          <w:color w:val="000000"/>
          <w:sz w:val="20"/>
          <w:szCs w:val="20"/>
        </w:rPr>
        <w:t>ain accrued liabilities, and income taxes. We base our estimates on historical experience and on other assumptions that are believed to be reasonable under the circumstances, the results of which form the basis for making judgments about the carrying value</w:t>
      </w:r>
      <w:r>
        <w:rPr>
          <w:rFonts w:ascii="Arial" w:eastAsia="Times New Roman" w:hAnsi="Arial" w:cs="Arial"/>
          <w:color w:val="000000"/>
          <w:sz w:val="20"/>
          <w:szCs w:val="20"/>
        </w:rPr>
        <w:t>s of assets and liabilities that are not readily apparent from other sources. Actual results may differ from these estimates under different assumptions or conditions.</w:t>
      </w:r>
    </w:p>
    <w:p w:rsidR="00000000" w:rsidRDefault="002223F7">
      <w:pPr>
        <w:jc w:val="both"/>
        <w:divId w:val="960456731"/>
        <w:rPr>
          <w:rFonts w:eastAsia="Times New Roman"/>
        </w:rPr>
      </w:pPr>
      <w:r>
        <w:rPr>
          <w:rFonts w:ascii="Arial" w:eastAsia="Times New Roman" w:hAnsi="Arial" w:cs="Arial"/>
          <w:color w:val="000000"/>
          <w:sz w:val="20"/>
          <w:szCs w:val="20"/>
        </w:rPr>
        <w:t xml:space="preserve">We have identified the areas described below as critical to our business operations and </w:t>
      </w:r>
      <w:r>
        <w:rPr>
          <w:rFonts w:ascii="Arial" w:eastAsia="Times New Roman" w:hAnsi="Arial" w:cs="Arial"/>
          <w:color w:val="000000"/>
          <w:sz w:val="20"/>
          <w:szCs w:val="20"/>
        </w:rPr>
        <w:t>the understanding of our results of operations given the uncertainties associated with the assumptions underlying each estimate. For a detailed discussion on the application of these and other significant accounting policies, see Note 1. Basis of Presentat</w:t>
      </w:r>
      <w:r>
        <w:rPr>
          <w:rFonts w:ascii="Arial" w:eastAsia="Times New Roman" w:hAnsi="Arial" w:cs="Arial"/>
          <w:color w:val="000000"/>
          <w:sz w:val="20"/>
          <w:szCs w:val="20"/>
        </w:rPr>
        <w:t>ion, New Accounting Standards, and Significant Accounting Policies.</w:t>
      </w:r>
    </w:p>
    <w:tbl>
      <w:tblPr>
        <w:tblW w:w="5000" w:type="pct"/>
        <w:tblCellMar>
          <w:top w:w="15" w:type="dxa"/>
          <w:left w:w="15" w:type="dxa"/>
          <w:bottom w:w="15" w:type="dxa"/>
          <w:right w:w="15" w:type="dxa"/>
        </w:tblCellMar>
        <w:tblLook w:val="04A0" w:firstRow="1" w:lastRow="0" w:firstColumn="1" w:lastColumn="0" w:noHBand="0" w:noVBand="1"/>
      </w:tblPr>
      <w:tblGrid>
        <w:gridCol w:w="58"/>
        <w:gridCol w:w="2507"/>
        <w:gridCol w:w="36"/>
        <w:gridCol w:w="36"/>
        <w:gridCol w:w="43"/>
        <w:gridCol w:w="36"/>
        <w:gridCol w:w="58"/>
        <w:gridCol w:w="2642"/>
        <w:gridCol w:w="37"/>
        <w:gridCol w:w="36"/>
        <w:gridCol w:w="44"/>
        <w:gridCol w:w="36"/>
        <w:gridCol w:w="59"/>
        <w:gridCol w:w="2642"/>
        <w:gridCol w:w="36"/>
      </w:tblGrid>
      <w:tr w:rsidR="00000000">
        <w:trPr>
          <w:divId w:val="1048215270"/>
        </w:trPr>
        <w:tc>
          <w:tcPr>
            <w:tcW w:w="50" w:type="pct"/>
            <w:vAlign w:val="center"/>
            <w:hideMark/>
          </w:tcPr>
          <w:p w:rsidR="00000000" w:rsidRDefault="002223F7">
            <w:pPr>
              <w:jc w:val="both"/>
              <w:rPr>
                <w:rFonts w:eastAsia="Times New Roman"/>
              </w:rPr>
            </w:pPr>
          </w:p>
        </w:tc>
        <w:tc>
          <w:tcPr>
            <w:tcW w:w="1523"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160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160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1048215270"/>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Description</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Judgments and Uncertainties</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Effect if Actual Results Differ from Assumptions</w:t>
            </w:r>
          </w:p>
        </w:tc>
      </w:tr>
      <w:tr w:rsidR="00000000">
        <w:trPr>
          <w:divId w:val="1048215270"/>
        </w:trPr>
        <w:tc>
          <w:tcPr>
            <w:tcW w:w="0" w:type="auto"/>
            <w:gridSpan w:val="15"/>
            <w:tcBorders>
              <w:top w:val="single" w:sz="8" w:space="0" w:color="000000"/>
            </w:tcBorders>
            <w:tcMar>
              <w:top w:w="30" w:type="dxa"/>
              <w:left w:w="20" w:type="dxa"/>
              <w:bottom w:w="30" w:type="dxa"/>
              <w:right w:w="20" w:type="dxa"/>
            </w:tcMar>
            <w:vAlign w:val="bottom"/>
            <w:hideMark/>
          </w:tcPr>
          <w:p w:rsidR="00000000" w:rsidRDefault="002223F7">
            <w:pPr>
              <w:spacing w:after="100"/>
              <w:divId w:val="59407627"/>
              <w:rPr>
                <w:rFonts w:eastAsia="Times New Roman"/>
              </w:rPr>
            </w:pPr>
            <w:r>
              <w:rPr>
                <w:rFonts w:ascii="Arial" w:eastAsia="Times New Roman" w:hAnsi="Arial" w:cs="Arial"/>
                <w:b/>
                <w:bCs/>
                <w:color w:val="000000"/>
                <w:sz w:val="20"/>
                <w:szCs w:val="20"/>
              </w:rPr>
              <w:t>Impairment Assessments of Goodwill, Long-Lived Assets, and Equity Investments</w:t>
            </w:r>
          </w:p>
        </w:tc>
      </w:tr>
      <w:tr w:rsidR="00000000">
        <w:trPr>
          <w:divId w:val="1048215270"/>
        </w:trPr>
        <w:tc>
          <w:tcPr>
            <w:tcW w:w="0" w:type="auto"/>
            <w:gridSpan w:val="3"/>
            <w:tcMar>
              <w:top w:w="30" w:type="dxa"/>
              <w:left w:w="20" w:type="dxa"/>
              <w:bottom w:w="30" w:type="dxa"/>
              <w:right w:w="20" w:type="dxa"/>
            </w:tcMar>
            <w:hideMark/>
          </w:tcPr>
          <w:p w:rsidR="00000000" w:rsidRDefault="002223F7">
            <w:pPr>
              <w:spacing w:after="100"/>
              <w:divId w:val="1120612259"/>
              <w:rPr>
                <w:rFonts w:eastAsia="Times New Roman"/>
              </w:rPr>
            </w:pPr>
            <w:r>
              <w:rPr>
                <w:rFonts w:ascii="Arial" w:eastAsia="Times New Roman" w:hAnsi="Arial" w:cs="Arial"/>
                <w:i/>
                <w:iCs/>
                <w:color w:val="000000"/>
                <w:sz w:val="20"/>
                <w:szCs w:val="20"/>
              </w:rPr>
              <w:t>We evaluate goodwill for impairment at least annually, and whenever events or changes in circumstances indicate it is more likely than not that the fair value of a reporting unit is less than its carrying amount. We periodically evaluate whether the carryi</w:t>
            </w:r>
            <w:r>
              <w:rPr>
                <w:rFonts w:ascii="Arial" w:eastAsia="Times New Roman" w:hAnsi="Arial" w:cs="Arial"/>
                <w:i/>
                <w:iCs/>
                <w:color w:val="000000"/>
                <w:sz w:val="20"/>
                <w:szCs w:val="20"/>
              </w:rPr>
              <w:t>ng value of long-lived assets (property and equipment, identifiable intangible assets, and leases) and equity investments have been impaired when circumstances indicate the carrying value of those assets may not be recoverable.</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hideMark/>
          </w:tcPr>
          <w:p w:rsidR="00000000" w:rsidRDefault="002223F7">
            <w:pPr>
              <w:spacing w:after="100"/>
              <w:divId w:val="345133935"/>
              <w:rPr>
                <w:rFonts w:eastAsia="Times New Roman"/>
              </w:rPr>
            </w:pPr>
            <w:r>
              <w:rPr>
                <w:rFonts w:ascii="Arial" w:eastAsia="Times New Roman" w:hAnsi="Arial" w:cs="Arial"/>
                <w:color w:val="000000"/>
                <w:sz w:val="20"/>
                <w:szCs w:val="20"/>
              </w:rPr>
              <w:t>These assessments requi</w:t>
            </w:r>
            <w:r>
              <w:rPr>
                <w:rFonts w:ascii="Arial" w:eastAsia="Times New Roman" w:hAnsi="Arial" w:cs="Arial"/>
                <w:color w:val="000000"/>
                <w:sz w:val="20"/>
                <w:szCs w:val="20"/>
              </w:rPr>
              <w:t>re us to make accounting estimates that require consideration of forecasted financial information. Significant judgment is involved in performing these estimates as they are developed based on forecasted assumptions. As of December 31, 2022, the assumption</w:t>
            </w:r>
            <w:r>
              <w:rPr>
                <w:rFonts w:ascii="Arial" w:eastAsia="Times New Roman" w:hAnsi="Arial" w:cs="Arial"/>
                <w:color w:val="000000"/>
                <w:sz w:val="20"/>
                <w:szCs w:val="20"/>
              </w:rPr>
              <w:t xml:space="preserve">s used, particularly the expected growth rates, the profitability embedded in the projected cash flow provided by our legacy and newly acquired businesses, the discount rate and the market-based multiples, were defined on available information considering </w:t>
            </w:r>
            <w:r>
              <w:rPr>
                <w:rFonts w:ascii="Arial" w:eastAsia="Times New Roman" w:hAnsi="Arial" w:cs="Arial"/>
                <w:color w:val="000000"/>
                <w:sz w:val="20"/>
                <w:szCs w:val="20"/>
              </w:rPr>
              <w:t>current market volatility and geopolitical risks. Management also considered the volatility in the company's market capitalization and evaluated the potential impact that this volatility may have had on the estimated fair value of our reporting units.</w:t>
            </w:r>
          </w:p>
          <w:p w:rsidR="00000000" w:rsidRDefault="002223F7">
            <w:pPr>
              <w:spacing w:after="100"/>
              <w:divId w:val="1506087142"/>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hideMark/>
          </w:tcPr>
          <w:p w:rsidR="00000000" w:rsidRDefault="002223F7">
            <w:pPr>
              <w:spacing w:after="100"/>
              <w:divId w:val="1549875263"/>
              <w:rPr>
                <w:rFonts w:eastAsia="Times New Roman"/>
              </w:rPr>
            </w:pPr>
            <w:r>
              <w:rPr>
                <w:rFonts w:ascii="Arial" w:eastAsia="Times New Roman" w:hAnsi="Arial" w:cs="Arial"/>
                <w:color w:val="000000"/>
                <w:sz w:val="20"/>
                <w:szCs w:val="20"/>
              </w:rPr>
              <w:t>Based on the assessments performed, and supported by the available information as of December </w:t>
            </w:r>
            <w:r>
              <w:rPr>
                <w:rFonts w:ascii="Arial" w:eastAsia="Times New Roman" w:hAnsi="Arial" w:cs="Arial"/>
                <w:color w:val="000000"/>
                <w:sz w:val="20"/>
                <w:szCs w:val="20"/>
              </w:rPr>
              <w:t>31, 2022, we concluded that the carrying value of our long-lived assets and equity investments were recoverable and that the fair value of our land and aviation reporting units were not less than their respective carrying values. If our results differ sign</w:t>
            </w:r>
            <w:r>
              <w:rPr>
                <w:rFonts w:ascii="Arial" w:eastAsia="Times New Roman" w:hAnsi="Arial" w:cs="Arial"/>
                <w:color w:val="000000"/>
                <w:sz w:val="20"/>
                <w:szCs w:val="20"/>
              </w:rPr>
              <w:t>ificantly from our assumptions, such impact could potentially result in impairments.</w:t>
            </w:r>
          </w:p>
        </w:tc>
      </w:tr>
      <w:tr w:rsidR="00000000">
        <w:trPr>
          <w:divId w:val="1048215270"/>
        </w:trPr>
        <w:tc>
          <w:tcPr>
            <w:tcW w:w="0" w:type="auto"/>
            <w:gridSpan w:val="15"/>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20"/>
                <w:szCs w:val="20"/>
              </w:rPr>
              <w:t>Accounts Receivable and Allowance for Credit Losses</w:t>
            </w:r>
          </w:p>
        </w:tc>
      </w:tr>
      <w:tr w:rsidR="00000000">
        <w:trPr>
          <w:divId w:val="1048215270"/>
        </w:trPr>
        <w:tc>
          <w:tcPr>
            <w:tcW w:w="0" w:type="auto"/>
            <w:gridSpan w:val="3"/>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i/>
                <w:iCs/>
                <w:color w:val="000000"/>
                <w:sz w:val="20"/>
                <w:szCs w:val="20"/>
              </w:rPr>
              <w:t>We maintain a provision for estimated credit losses based upon our historical experience with our cus</w:t>
            </w:r>
            <w:r>
              <w:rPr>
                <w:rFonts w:ascii="Arial" w:eastAsia="Times New Roman" w:hAnsi="Arial" w:cs="Arial"/>
                <w:i/>
                <w:iCs/>
                <w:color w:val="000000"/>
                <w:sz w:val="20"/>
                <w:szCs w:val="20"/>
              </w:rPr>
              <w:t>tomers, any specific customer collection issues that we have identified from current financial information and business prospects, as well as forward-looking information from market sources.</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We consider historical payment trends of our customers together with internal and external information about the economic outlook, geopolitical risks and macroeconomic events, which may not fully capture the current or future creditworthiness of our custom</w:t>
            </w:r>
            <w:r>
              <w:rPr>
                <w:rFonts w:ascii="Arial" w:eastAsia="Times New Roman" w:hAnsi="Arial" w:cs="Arial"/>
                <w:color w:val="000000"/>
                <w:sz w:val="20"/>
                <w:szCs w:val="20"/>
              </w:rPr>
              <w:t>ers, particularly in difficult economic periods.</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As a result of the challenges inherent in estimating which customers are less likely to remit amounts owed to us, our provision for estimated credit losses may not always be sufficient. Any write-off of</w:t>
            </w:r>
            <w:r>
              <w:rPr>
                <w:rFonts w:ascii="Arial" w:eastAsia="Times New Roman" w:hAnsi="Arial" w:cs="Arial"/>
                <w:color w:val="000000"/>
                <w:sz w:val="20"/>
                <w:szCs w:val="20"/>
              </w:rPr>
              <w:t xml:space="preserve"> accounts receivable in excess of our provision for credit losses could adversely affect our results of operations and cash flow.</w:t>
            </w:r>
          </w:p>
        </w:tc>
      </w:tr>
    </w:tbl>
    <w:p w:rsidR="00000000" w:rsidRDefault="002223F7">
      <w:pPr>
        <w:jc w:val="center"/>
        <w:divId w:val="1826705805"/>
        <w:rPr>
          <w:rFonts w:eastAsia="Times New Roman"/>
        </w:rPr>
      </w:pPr>
      <w:r>
        <w:rPr>
          <w:rFonts w:ascii="Arial" w:eastAsia="Times New Roman" w:hAnsi="Arial" w:cs="Arial"/>
          <w:color w:val="000000"/>
          <w:sz w:val="16"/>
          <w:szCs w:val="16"/>
        </w:rPr>
        <w:t>30</w:t>
      </w:r>
    </w:p>
    <w:p w:rsidR="00000000" w:rsidRDefault="002223F7">
      <w:pPr>
        <w:rPr>
          <w:rFonts w:eastAsia="Times New Roman"/>
        </w:rPr>
      </w:pPr>
      <w:r>
        <w:rPr>
          <w:rFonts w:eastAsia="Times New Roman"/>
        </w:rPr>
        <w:pict>
          <v:rect id="_x0000_i1061" style="width:0;height:1.5pt" o:hralign="center" o:hrstd="t" o:hr="t" fillcolor="#a0a0a0" stroked="f"/>
        </w:pict>
      </w:r>
    </w:p>
    <w:p w:rsidR="00000000" w:rsidRDefault="002223F7">
      <w:pPr>
        <w:jc w:val="both"/>
        <w:divId w:val="208802487"/>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58"/>
        <w:gridCol w:w="2507"/>
        <w:gridCol w:w="36"/>
        <w:gridCol w:w="36"/>
        <w:gridCol w:w="43"/>
        <w:gridCol w:w="36"/>
        <w:gridCol w:w="59"/>
        <w:gridCol w:w="2642"/>
        <w:gridCol w:w="36"/>
        <w:gridCol w:w="36"/>
        <w:gridCol w:w="44"/>
        <w:gridCol w:w="36"/>
        <w:gridCol w:w="59"/>
        <w:gridCol w:w="2642"/>
        <w:gridCol w:w="36"/>
      </w:tblGrid>
      <w:tr w:rsidR="00000000">
        <w:trPr>
          <w:divId w:val="1175729350"/>
        </w:trPr>
        <w:tc>
          <w:tcPr>
            <w:tcW w:w="50" w:type="pct"/>
            <w:vAlign w:val="center"/>
            <w:hideMark/>
          </w:tcPr>
          <w:p w:rsidR="00000000" w:rsidRDefault="002223F7">
            <w:pPr>
              <w:jc w:val="both"/>
              <w:rPr>
                <w:rFonts w:eastAsia="Times New Roman"/>
              </w:rPr>
            </w:pPr>
          </w:p>
        </w:tc>
        <w:tc>
          <w:tcPr>
            <w:tcW w:w="1523"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160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160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1175729350"/>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Description</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Judgments and Uncertainties</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Effect if Actual Results Differ from Assumptions</w:t>
            </w:r>
          </w:p>
        </w:tc>
      </w:tr>
      <w:tr w:rsidR="00000000">
        <w:trPr>
          <w:divId w:val="1175729350"/>
        </w:trPr>
        <w:tc>
          <w:tcPr>
            <w:tcW w:w="0" w:type="auto"/>
            <w:gridSpan w:val="15"/>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20"/>
                <w:szCs w:val="20"/>
              </w:rPr>
              <w:t>Business Combinations</w:t>
            </w:r>
          </w:p>
        </w:tc>
      </w:tr>
      <w:tr w:rsidR="00000000">
        <w:trPr>
          <w:divId w:val="1175729350"/>
        </w:trPr>
        <w:tc>
          <w:tcPr>
            <w:tcW w:w="0" w:type="auto"/>
            <w:gridSpan w:val="3"/>
            <w:tcMar>
              <w:top w:w="30" w:type="dxa"/>
              <w:left w:w="20" w:type="dxa"/>
              <w:bottom w:w="30" w:type="dxa"/>
              <w:right w:w="20" w:type="dxa"/>
            </w:tcMar>
            <w:hideMark/>
          </w:tcPr>
          <w:p w:rsidR="00000000" w:rsidRDefault="002223F7">
            <w:pPr>
              <w:spacing w:after="100"/>
              <w:divId w:val="1641426286"/>
              <w:rPr>
                <w:rFonts w:eastAsia="Times New Roman"/>
              </w:rPr>
            </w:pPr>
            <w:r>
              <w:rPr>
                <w:rFonts w:ascii="Arial" w:eastAsia="Times New Roman" w:hAnsi="Arial" w:cs="Arial"/>
                <w:i/>
                <w:iCs/>
                <w:color w:val="000000"/>
                <w:sz w:val="20"/>
                <w:szCs w:val="20"/>
              </w:rPr>
              <w:t>A business combination occurs when an entity obtains control of a "business." To conclude if the definition of a business is met, we assess whether or not substantially all of the fair value of the gross assets acquired is concentrated in a single identifi</w:t>
            </w:r>
            <w:r>
              <w:rPr>
                <w:rFonts w:ascii="Arial" w:eastAsia="Times New Roman" w:hAnsi="Arial" w:cs="Arial"/>
                <w:i/>
                <w:iCs/>
                <w:color w:val="000000"/>
                <w:sz w:val="20"/>
                <w:szCs w:val="20"/>
              </w:rPr>
              <w:t>able asset or a group of similar identifiable assets, which requires the use of significant judgment to determine the fair value. The determination of whether the acquired activities and assets constitute a business is critical because the accounting for a</w:t>
            </w:r>
            <w:r>
              <w:rPr>
                <w:rFonts w:ascii="Arial" w:eastAsia="Times New Roman" w:hAnsi="Arial" w:cs="Arial"/>
                <w:i/>
                <w:iCs/>
                <w:color w:val="000000"/>
                <w:sz w:val="20"/>
                <w:szCs w:val="20"/>
              </w:rPr>
              <w:t xml:space="preserve"> business combination differs significantly from that of an asset acquisition. Business combinations are accounted for using a fair value model. In contrast, asset acquisitions are accounted for using a cost accumulation and allocation model.</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hideMark/>
          </w:tcPr>
          <w:p w:rsidR="00000000" w:rsidRDefault="002223F7">
            <w:pPr>
              <w:spacing w:after="100"/>
              <w:divId w:val="1580361652"/>
              <w:rPr>
                <w:rFonts w:eastAsia="Times New Roman"/>
              </w:rPr>
            </w:pPr>
            <w:r>
              <w:rPr>
                <w:rFonts w:ascii="Arial" w:eastAsia="Times New Roman" w:hAnsi="Arial" w:cs="Arial"/>
                <w:color w:val="000000"/>
                <w:sz w:val="20"/>
                <w:szCs w:val="20"/>
              </w:rPr>
              <w:t>Significant judgment is involved in the determination of fair values in the context of acquisitions, such as the acquisition of Flyers during the year ended December 31, 2022, as fair values are generally developed based on forecasted assumptions. The assu</w:t>
            </w:r>
            <w:r>
              <w:rPr>
                <w:rFonts w:ascii="Arial" w:eastAsia="Times New Roman" w:hAnsi="Arial" w:cs="Arial"/>
                <w:color w:val="000000"/>
                <w:sz w:val="20"/>
                <w:szCs w:val="20"/>
              </w:rPr>
              <w:t>mptions and inputs incorporated within the fair value estimates are subject to considerable management judgement and are based on industry, market, and economic conditions prevalent at the time of the acquisition. Significant inputs incorporated in the det</w:t>
            </w:r>
            <w:r>
              <w:rPr>
                <w:rFonts w:ascii="Arial" w:eastAsia="Times New Roman" w:hAnsi="Arial" w:cs="Arial"/>
                <w:color w:val="000000"/>
                <w:sz w:val="20"/>
                <w:szCs w:val="20"/>
              </w:rPr>
              <w:t>ermination of fair values, including customer relationships valued using an income approach, include the discount rate determined using a market-based weighted average cost of capital, expected growth rates, and profitability and risks embedded in the newl</w:t>
            </w:r>
            <w:r>
              <w:rPr>
                <w:rFonts w:ascii="Arial" w:eastAsia="Times New Roman" w:hAnsi="Arial" w:cs="Arial"/>
                <w:color w:val="000000"/>
                <w:sz w:val="20"/>
                <w:szCs w:val="20"/>
              </w:rPr>
              <w:t>y acquired activities, including customer attrition rates.</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hideMark/>
          </w:tcPr>
          <w:p w:rsidR="00000000" w:rsidRDefault="002223F7">
            <w:pPr>
              <w:spacing w:after="100"/>
              <w:divId w:val="2093550276"/>
              <w:rPr>
                <w:rFonts w:eastAsia="Times New Roman"/>
              </w:rPr>
            </w:pPr>
            <w:r>
              <w:rPr>
                <w:rFonts w:ascii="Arial" w:eastAsia="Times New Roman" w:hAnsi="Arial" w:cs="Arial"/>
                <w:color w:val="000000"/>
                <w:sz w:val="20"/>
                <w:szCs w:val="20"/>
              </w:rPr>
              <w:t xml:space="preserve">If assumptions used to estimate fair values are materially different, future earnings through depreciation and amortization expense could be impacted. In addition, if forecasts supporting the </w:t>
            </w:r>
            <w:r>
              <w:rPr>
                <w:rFonts w:ascii="Arial" w:eastAsia="Times New Roman" w:hAnsi="Arial" w:cs="Arial"/>
                <w:color w:val="000000"/>
                <w:sz w:val="20"/>
                <w:szCs w:val="20"/>
              </w:rPr>
              <w:t xml:space="preserve">valuation of the long-lived assets, including intangibles, or goodwill are not achieved, impairments could arise. </w:t>
            </w:r>
          </w:p>
        </w:tc>
      </w:tr>
      <w:tr w:rsidR="00000000">
        <w:trPr>
          <w:divId w:val="1175729350"/>
        </w:trPr>
        <w:tc>
          <w:tcPr>
            <w:tcW w:w="0" w:type="auto"/>
            <w:gridSpan w:val="15"/>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20"/>
                <w:szCs w:val="20"/>
              </w:rPr>
              <w:t>Revenue Recognition</w:t>
            </w:r>
          </w:p>
        </w:tc>
      </w:tr>
      <w:tr w:rsidR="00000000">
        <w:trPr>
          <w:divId w:val="1175729350"/>
        </w:trPr>
        <w:tc>
          <w:tcPr>
            <w:tcW w:w="0" w:type="auto"/>
            <w:gridSpan w:val="3"/>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i/>
                <w:iCs/>
                <w:color w:val="000000"/>
                <w:sz w:val="20"/>
                <w:szCs w:val="20"/>
              </w:rPr>
              <w:t>The majority of our consolidated revenues are generated through the sale of fuel and fuel-related products. We generally recognize fuel sales on a gross basis as we have control of the products before they are delivered to our customers.</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In drawing th</w:t>
            </w:r>
            <w:r>
              <w:rPr>
                <w:rFonts w:ascii="Arial" w:eastAsia="Times New Roman" w:hAnsi="Arial" w:cs="Arial"/>
                <w:color w:val="000000"/>
                <w:sz w:val="20"/>
                <w:szCs w:val="20"/>
              </w:rPr>
              <w:t>is conclusion, we consider various factors, including inventory risk management, latitude in establishing the sales price, discretion in the supplier selection and that we are normally the primary obligor in our sales arrangements.</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Our determination o</w:t>
            </w:r>
            <w:r>
              <w:rPr>
                <w:rFonts w:ascii="Arial" w:eastAsia="Times New Roman" w:hAnsi="Arial" w:cs="Arial"/>
                <w:color w:val="000000"/>
                <w:sz w:val="20"/>
                <w:szCs w:val="20"/>
              </w:rPr>
              <w:t xml:space="preserve">f whether to recognize revenue on a gross or net basis can materially impact the amount of revenue we report. </w:t>
            </w:r>
          </w:p>
        </w:tc>
      </w:tr>
      <w:tr w:rsidR="00000000">
        <w:trPr>
          <w:divId w:val="1175729350"/>
        </w:trPr>
        <w:tc>
          <w:tcPr>
            <w:tcW w:w="0" w:type="auto"/>
            <w:gridSpan w:val="15"/>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20"/>
                <w:szCs w:val="20"/>
              </w:rPr>
              <w:t>Income Taxes</w:t>
            </w:r>
          </w:p>
        </w:tc>
      </w:tr>
      <w:tr w:rsidR="00000000">
        <w:trPr>
          <w:divId w:val="1175729350"/>
        </w:trPr>
        <w:tc>
          <w:tcPr>
            <w:tcW w:w="0" w:type="auto"/>
            <w:gridSpan w:val="3"/>
            <w:tcMar>
              <w:top w:w="30" w:type="dxa"/>
              <w:left w:w="20" w:type="dxa"/>
              <w:bottom w:w="30" w:type="dxa"/>
              <w:right w:w="20" w:type="dxa"/>
            </w:tcMar>
            <w:hideMark/>
          </w:tcPr>
          <w:p w:rsidR="00000000" w:rsidRDefault="002223F7">
            <w:pPr>
              <w:spacing w:after="100"/>
              <w:divId w:val="360783086"/>
              <w:rPr>
                <w:rFonts w:eastAsia="Times New Roman"/>
              </w:rPr>
            </w:pPr>
            <w:r>
              <w:rPr>
                <w:rFonts w:ascii="Arial" w:eastAsia="Times New Roman" w:hAnsi="Arial" w:cs="Arial"/>
                <w:i/>
                <w:iCs/>
                <w:color w:val="000000"/>
                <w:sz w:val="20"/>
                <w:szCs w:val="20"/>
              </w:rPr>
              <w:t xml:space="preserve">We estimate total income tax expense based on statutory tax rates and tax planning opportunities available to us in various jurisdictions in which we operate. Deferred income taxes are recognized for the future tax effects of temporary differences between </w:t>
            </w:r>
            <w:r>
              <w:rPr>
                <w:rFonts w:ascii="Arial" w:eastAsia="Times New Roman" w:hAnsi="Arial" w:cs="Arial"/>
                <w:i/>
                <w:iCs/>
                <w:color w:val="000000"/>
                <w:sz w:val="20"/>
                <w:szCs w:val="20"/>
              </w:rPr>
              <w:t>financial and income tax reporting using tax rates in effect for the years in which the differences are expected to reverse. Valuation allowances are recorded when it is likely a tax benefit will not be realized for a deferred tax asset. We record unrecogn</w:t>
            </w:r>
            <w:r>
              <w:rPr>
                <w:rFonts w:ascii="Arial" w:eastAsia="Times New Roman" w:hAnsi="Arial" w:cs="Arial"/>
                <w:i/>
                <w:iCs/>
                <w:color w:val="000000"/>
                <w:sz w:val="20"/>
                <w:szCs w:val="20"/>
              </w:rPr>
              <w:t>ized tax benefit liabilities for known or anticipated tax issues based on our analysis of whether, and the extent to which, additional taxes will be due.</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hideMark/>
          </w:tcPr>
          <w:p w:rsidR="00000000" w:rsidRDefault="002223F7">
            <w:pPr>
              <w:spacing w:after="100"/>
              <w:divId w:val="1802770821"/>
              <w:rPr>
                <w:rFonts w:eastAsia="Times New Roman"/>
              </w:rPr>
            </w:pPr>
            <w:r>
              <w:rPr>
                <w:rFonts w:ascii="Arial" w:eastAsia="Times New Roman" w:hAnsi="Arial" w:cs="Arial"/>
                <w:color w:val="000000"/>
                <w:sz w:val="20"/>
                <w:szCs w:val="20"/>
              </w:rPr>
              <w:t>Changes in tax laws and rates could affect recorded deferred tax assets and liabilities in the fu</w:t>
            </w:r>
            <w:r>
              <w:rPr>
                <w:rFonts w:ascii="Arial" w:eastAsia="Times New Roman" w:hAnsi="Arial" w:cs="Arial"/>
                <w:color w:val="000000"/>
                <w:sz w:val="20"/>
                <w:szCs w:val="20"/>
              </w:rPr>
              <w:t>ture. Changes in projected future earnings could affect the recorded valuation allowances in the future. Our calculations related to income taxes contain uncertainties due to judgment used to calculate tax liabilities in the application of complex tax regu</w:t>
            </w:r>
            <w:r>
              <w:rPr>
                <w:rFonts w:ascii="Arial" w:eastAsia="Times New Roman" w:hAnsi="Arial" w:cs="Arial"/>
                <w:color w:val="000000"/>
                <w:sz w:val="20"/>
                <w:szCs w:val="20"/>
              </w:rPr>
              <w:t>lations across the tax jurisdictions where we operate. Our analysis of unrecognized tax benefits contains uncertainties based on judgment used to apply the more likely than not recognition and measurement thresholds.</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hideMark/>
          </w:tcPr>
          <w:p w:rsidR="00000000" w:rsidRDefault="002223F7">
            <w:pPr>
              <w:spacing w:after="100"/>
              <w:divId w:val="427384512"/>
              <w:rPr>
                <w:rFonts w:eastAsia="Times New Roman"/>
              </w:rPr>
            </w:pPr>
            <w:r>
              <w:rPr>
                <w:rFonts w:ascii="Arial" w:eastAsia="Times New Roman" w:hAnsi="Arial" w:cs="Arial"/>
                <w:color w:val="000000"/>
                <w:sz w:val="20"/>
                <w:szCs w:val="20"/>
              </w:rPr>
              <w:t>Due to the complexity of some of t</w:t>
            </w:r>
            <w:r>
              <w:rPr>
                <w:rFonts w:ascii="Arial" w:eastAsia="Times New Roman" w:hAnsi="Arial" w:cs="Arial"/>
                <w:color w:val="000000"/>
                <w:sz w:val="20"/>
                <w:szCs w:val="20"/>
              </w:rPr>
              <w:t>hese uncertainties, the ultimate resolution of our tax related balances or valuation allowances may result in a payment that is materially different from the current estimate of the tax liabilities. To the extent we prevail in matters for which unrecognize</w:t>
            </w:r>
            <w:r>
              <w:rPr>
                <w:rFonts w:ascii="Arial" w:eastAsia="Times New Roman" w:hAnsi="Arial" w:cs="Arial"/>
                <w:color w:val="000000"/>
                <w:sz w:val="20"/>
                <w:szCs w:val="20"/>
              </w:rPr>
              <w:t xml:space="preserve">d tax benefit liabilities have been established, or are required to pay amounts in excess of our recorded unrecognized tax benefit liabilities, our effective tax rate in a given financial statement period could be materially affected. </w:t>
            </w:r>
          </w:p>
        </w:tc>
      </w:tr>
      <w:tr w:rsidR="00000000">
        <w:trPr>
          <w:divId w:val="1175729350"/>
        </w:trPr>
        <w:tc>
          <w:tcPr>
            <w:tcW w:w="0" w:type="auto"/>
            <w:gridSpan w:val="3"/>
            <w:vAlign w:val="center"/>
            <w:hideMark/>
          </w:tcPr>
          <w:p w:rsidR="00000000" w:rsidRDefault="002223F7">
            <w:pPr>
              <w:spacing w:after="100"/>
              <w:rPr>
                <w:rFonts w:eastAsia="Times New Roman"/>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r>
      <w:tr w:rsidR="00000000">
        <w:trPr>
          <w:divId w:val="1175729350"/>
        </w:trPr>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bl>
    <w:p w:rsidR="00000000" w:rsidRDefault="002223F7">
      <w:pPr>
        <w:jc w:val="center"/>
        <w:divId w:val="899094543"/>
        <w:rPr>
          <w:rFonts w:eastAsia="Times New Roman"/>
        </w:rPr>
      </w:pPr>
      <w:r>
        <w:rPr>
          <w:rFonts w:ascii="Arial" w:eastAsia="Times New Roman" w:hAnsi="Arial" w:cs="Arial"/>
          <w:color w:val="000000"/>
          <w:sz w:val="16"/>
          <w:szCs w:val="16"/>
        </w:rPr>
        <w:t>31</w:t>
      </w:r>
    </w:p>
    <w:p w:rsidR="00000000" w:rsidRDefault="002223F7">
      <w:pPr>
        <w:rPr>
          <w:rFonts w:eastAsia="Times New Roman"/>
        </w:rPr>
      </w:pPr>
      <w:r>
        <w:rPr>
          <w:rFonts w:eastAsia="Times New Roman"/>
        </w:rPr>
        <w:pict>
          <v:rect id="_x0000_i1062" style="width:0;height:1.5pt" o:hralign="center" o:hrstd="t" o:hr="t" fillcolor="#a0a0a0" stroked="f"/>
        </w:pict>
      </w:r>
    </w:p>
    <w:p w:rsidR="00000000" w:rsidRDefault="002223F7">
      <w:pPr>
        <w:jc w:val="both"/>
        <w:divId w:val="521211011"/>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58"/>
        <w:gridCol w:w="2507"/>
        <w:gridCol w:w="36"/>
        <w:gridCol w:w="36"/>
        <w:gridCol w:w="43"/>
        <w:gridCol w:w="36"/>
        <w:gridCol w:w="59"/>
        <w:gridCol w:w="2642"/>
        <w:gridCol w:w="36"/>
        <w:gridCol w:w="36"/>
        <w:gridCol w:w="44"/>
        <w:gridCol w:w="36"/>
        <w:gridCol w:w="59"/>
        <w:gridCol w:w="2642"/>
        <w:gridCol w:w="36"/>
      </w:tblGrid>
      <w:tr w:rsidR="00000000">
        <w:trPr>
          <w:divId w:val="1660693342"/>
        </w:trPr>
        <w:tc>
          <w:tcPr>
            <w:tcW w:w="50" w:type="pct"/>
            <w:vAlign w:val="center"/>
            <w:hideMark/>
          </w:tcPr>
          <w:p w:rsidR="00000000" w:rsidRDefault="002223F7">
            <w:pPr>
              <w:jc w:val="both"/>
              <w:rPr>
                <w:rFonts w:eastAsia="Times New Roman"/>
              </w:rPr>
            </w:pPr>
          </w:p>
        </w:tc>
        <w:tc>
          <w:tcPr>
            <w:tcW w:w="1523"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160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160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1660693342"/>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Description</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Judgments and Uncertainties</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Effect if Actual Results Differ from Assumptions</w:t>
            </w:r>
          </w:p>
        </w:tc>
      </w:tr>
      <w:tr w:rsidR="00000000">
        <w:trPr>
          <w:divId w:val="1660693342"/>
        </w:trPr>
        <w:tc>
          <w:tcPr>
            <w:tcW w:w="0" w:type="auto"/>
            <w:gridSpan w:val="15"/>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20"/>
                <w:szCs w:val="20"/>
              </w:rPr>
              <w:t>Derivatives</w:t>
            </w:r>
          </w:p>
        </w:tc>
      </w:tr>
      <w:tr w:rsidR="00000000">
        <w:trPr>
          <w:divId w:val="1660693342"/>
        </w:trPr>
        <w:tc>
          <w:tcPr>
            <w:tcW w:w="0" w:type="auto"/>
            <w:gridSpan w:val="3"/>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i/>
                <w:iCs/>
                <w:color w:val="000000"/>
                <w:sz w:val="20"/>
                <w:szCs w:val="20"/>
              </w:rPr>
              <w:t>We enter into financial derivative contracts to mitigate our risk of fuel market price fluctuations in aviation, land, and marine as well as changes in interest and foreign currency exchange rates and also to offer our customers fuel pricing alternatives t</w:t>
            </w:r>
            <w:r>
              <w:rPr>
                <w:rFonts w:ascii="Arial" w:eastAsia="Times New Roman" w:hAnsi="Arial" w:cs="Arial"/>
                <w:i/>
                <w:iCs/>
                <w:color w:val="000000"/>
                <w:sz w:val="20"/>
                <w:szCs w:val="20"/>
              </w:rPr>
              <w:t>o meet their needs. These instruments may be designated as cash flow or fair value hedges, or accounted for as non-designated derivatives. All derivative instruments are measured and recorded at fair value.</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When available, quoted market prices or pric</w:t>
            </w:r>
            <w:r>
              <w:rPr>
                <w:rFonts w:ascii="Arial" w:eastAsia="Times New Roman" w:hAnsi="Arial" w:cs="Arial"/>
                <w:color w:val="000000"/>
                <w:sz w:val="20"/>
                <w:szCs w:val="20"/>
              </w:rPr>
              <w:t>es obtained through external sources are used to determine a contract's fair value. For contracts for which quoted market prices are not available, fair value is determined based on pricing models developed primarily from historical information and the exp</w:t>
            </w:r>
            <w:r>
              <w:rPr>
                <w:rFonts w:ascii="Arial" w:eastAsia="Times New Roman" w:hAnsi="Arial" w:cs="Arial"/>
                <w:color w:val="000000"/>
                <w:sz w:val="20"/>
                <w:szCs w:val="20"/>
              </w:rPr>
              <w:t>ected relationship with quoted market prices. Measurement of the fair value of our derivatives also requires the assessment of certain risks related to non-performance, which requires a significant amount of judgment.</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While we currently believe that our derivative contracts will be effective in mitigating the associated price risks, it is possible that our derivative instruments will be ineffective at mitigating material changes in prices, which could have an adverse im</w:t>
            </w:r>
            <w:r>
              <w:rPr>
                <w:rFonts w:ascii="Arial" w:eastAsia="Times New Roman" w:hAnsi="Arial" w:cs="Arial"/>
                <w:color w:val="000000"/>
                <w:sz w:val="20"/>
                <w:szCs w:val="20"/>
              </w:rPr>
              <w:t xml:space="preserve">pact on our financial position and results of operations. If our estimates of fair value are inaccurate, we may be exposed to losses or gains that could be material. See Item 7A. – Quantitative and Qualitative Disclosures About Market Risks for additional </w:t>
            </w:r>
            <w:r>
              <w:rPr>
                <w:rFonts w:ascii="Arial" w:eastAsia="Times New Roman" w:hAnsi="Arial" w:cs="Arial"/>
                <w:color w:val="000000"/>
                <w:sz w:val="20"/>
                <w:szCs w:val="20"/>
              </w:rPr>
              <w:t>information.</w:t>
            </w:r>
          </w:p>
        </w:tc>
      </w:tr>
    </w:tbl>
    <w:p w:rsidR="00000000" w:rsidRDefault="002223F7">
      <w:pPr>
        <w:divId w:val="1321346736"/>
        <w:rPr>
          <w:rFonts w:eastAsia="Times New Roman"/>
        </w:rPr>
      </w:pPr>
      <w:r>
        <w:rPr>
          <w:rFonts w:ascii="Arial" w:eastAsia="Times New Roman" w:hAnsi="Arial" w:cs="Arial"/>
          <w:b/>
          <w:bCs/>
          <w:color w:val="000000"/>
        </w:rPr>
        <w:t>Item 7A. Quantitative and Qualitative Disclosures About Market Risk</w:t>
      </w:r>
    </w:p>
    <w:p w:rsidR="00000000" w:rsidRDefault="002223F7">
      <w:pPr>
        <w:divId w:val="933853961"/>
        <w:rPr>
          <w:rFonts w:eastAsia="Times New Roman"/>
        </w:rPr>
      </w:pPr>
      <w:r>
        <w:rPr>
          <w:rFonts w:ascii="Arial" w:eastAsia="Times New Roman" w:hAnsi="Arial" w:cs="Arial"/>
          <w:b/>
          <w:bCs/>
          <w:color w:val="000000"/>
          <w:sz w:val="20"/>
          <w:szCs w:val="20"/>
        </w:rPr>
        <w:t>Derivative and Financial Instruments Market Risk</w:t>
      </w:r>
    </w:p>
    <w:p w:rsidR="00000000" w:rsidRDefault="002223F7">
      <w:pPr>
        <w:jc w:val="both"/>
        <w:divId w:val="1050569310"/>
        <w:rPr>
          <w:rFonts w:eastAsia="Times New Roman"/>
        </w:rPr>
      </w:pPr>
      <w:r>
        <w:rPr>
          <w:rFonts w:ascii="Arial" w:eastAsia="Times New Roman" w:hAnsi="Arial" w:cs="Arial"/>
          <w:color w:val="000000"/>
          <w:sz w:val="20"/>
          <w:szCs w:val="20"/>
        </w:rPr>
        <w:t>We use commodity-based derivative contracts and financial instruments, when we deem it appropriate, to manage the risks associated with changes in the prices of fuel and fuel-related products, fluctuations in foreign currency exchange rates and interest ra</w:t>
      </w:r>
      <w:r>
        <w:rPr>
          <w:rFonts w:ascii="Arial" w:eastAsia="Times New Roman" w:hAnsi="Arial" w:cs="Arial"/>
          <w:color w:val="000000"/>
          <w:sz w:val="20"/>
          <w:szCs w:val="20"/>
        </w:rPr>
        <w:t xml:space="preserve">tes, or to capture market opportunities. We utilize hedge accounting and formally designate certain of our derivative instruments as either cash flow or fair value hedges. Derivative instruments that are not designated are considered non-designated hedges </w:t>
      </w:r>
      <w:r>
        <w:rPr>
          <w:rFonts w:ascii="Arial" w:eastAsia="Times New Roman" w:hAnsi="Arial" w:cs="Arial"/>
          <w:color w:val="000000"/>
          <w:sz w:val="20"/>
          <w:szCs w:val="20"/>
        </w:rPr>
        <w:t>and are designed to achieve an economic offset of the underlying price risk exposure. As a result, any changes in income associated with our derivatives contracts are substantially offset by corresponding changes in the value of the underlying risk being m</w:t>
      </w:r>
      <w:r>
        <w:rPr>
          <w:rFonts w:ascii="Arial" w:eastAsia="Times New Roman" w:hAnsi="Arial" w:cs="Arial"/>
          <w:color w:val="000000"/>
          <w:sz w:val="20"/>
          <w:szCs w:val="20"/>
        </w:rPr>
        <w:t>itigated. However, in markets where the derivative instruments with longer maturities are automatically replaced by equivalent positions with shorter maturities, we may experience timing differences between the realized and unrealized gain or loss of the u</w:t>
      </w:r>
      <w:r>
        <w:rPr>
          <w:rFonts w:ascii="Arial" w:eastAsia="Times New Roman" w:hAnsi="Arial" w:cs="Arial"/>
          <w:color w:val="000000"/>
          <w:sz w:val="20"/>
          <w:szCs w:val="20"/>
        </w:rPr>
        <w:t>nderlying transaction and hedged item although the underlying risk being mitigated is still offset. Financial instruments and positions affecting our financial statements are described below and are held primarily for hedging purposes.</w:t>
      </w:r>
    </w:p>
    <w:p w:rsidR="00000000" w:rsidRDefault="002223F7">
      <w:pPr>
        <w:jc w:val="both"/>
        <w:divId w:val="1005127967"/>
        <w:rPr>
          <w:rFonts w:eastAsia="Times New Roman"/>
        </w:rPr>
      </w:pPr>
      <w:r>
        <w:rPr>
          <w:rFonts w:ascii="Arial" w:eastAsia="Times New Roman" w:hAnsi="Arial" w:cs="Arial"/>
          <w:b/>
          <w:bCs/>
          <w:color w:val="000000"/>
          <w:sz w:val="20"/>
          <w:szCs w:val="20"/>
        </w:rPr>
        <w:t>Commodity Price Risk</w:t>
      </w:r>
    </w:p>
    <w:p w:rsidR="00000000" w:rsidRDefault="002223F7">
      <w:pPr>
        <w:jc w:val="both"/>
        <w:divId w:val="1817838576"/>
        <w:rPr>
          <w:rFonts w:eastAsia="Times New Roman"/>
        </w:rPr>
      </w:pPr>
      <w:r>
        <w:rPr>
          <w:rFonts w:ascii="Arial" w:eastAsia="Times New Roman" w:hAnsi="Arial" w:cs="Arial"/>
          <w:color w:val="000000"/>
          <w:sz w:val="20"/>
          <w:szCs w:val="20"/>
        </w:rPr>
        <w:t>Our commercial business segments use derivative instruments, primarily futures, forward, swap, and options contracts, in various markets to manage price risk inherent in the purchase and sale of fuel. Certain of these derivative instruments are utilized t</w:t>
      </w:r>
      <w:r>
        <w:rPr>
          <w:rFonts w:ascii="Arial" w:eastAsia="Times New Roman" w:hAnsi="Arial" w:cs="Arial"/>
          <w:color w:val="000000"/>
          <w:sz w:val="20"/>
          <w:szCs w:val="20"/>
        </w:rPr>
        <w:t>o mitigate the risk of price volatility in forecasted transactions in a cash flow hedge relationship and to mitigate the risk of changes in the price of our inventory in a fair value hedge relationship. In addition, we use derivatives as economic hedges or</w:t>
      </w:r>
      <w:r>
        <w:rPr>
          <w:rFonts w:ascii="Arial" w:eastAsia="Times New Roman" w:hAnsi="Arial" w:cs="Arial"/>
          <w:color w:val="000000"/>
          <w:sz w:val="20"/>
          <w:szCs w:val="20"/>
        </w:rPr>
        <w:t xml:space="preserve"> to optimize the value of our fuel inventory to capitalize on anticipated market opportunities.</w:t>
      </w:r>
    </w:p>
    <w:p w:rsidR="00000000" w:rsidRDefault="002223F7">
      <w:pPr>
        <w:jc w:val="center"/>
        <w:divId w:val="646665656"/>
        <w:rPr>
          <w:rFonts w:eastAsia="Times New Roman"/>
        </w:rPr>
      </w:pPr>
      <w:r>
        <w:rPr>
          <w:rFonts w:ascii="Arial" w:eastAsia="Times New Roman" w:hAnsi="Arial" w:cs="Arial"/>
          <w:color w:val="000000"/>
          <w:sz w:val="16"/>
          <w:szCs w:val="16"/>
        </w:rPr>
        <w:t>32</w:t>
      </w:r>
    </w:p>
    <w:p w:rsidR="00000000" w:rsidRDefault="002223F7">
      <w:pPr>
        <w:rPr>
          <w:rFonts w:eastAsia="Times New Roman"/>
        </w:rPr>
      </w:pPr>
      <w:r>
        <w:rPr>
          <w:rFonts w:eastAsia="Times New Roman"/>
        </w:rPr>
        <w:pict>
          <v:rect id="_x0000_i1063" style="width:0;height:1.5pt" o:hralign="center" o:hrstd="t" o:hr="t" fillcolor="#a0a0a0" stroked="f"/>
        </w:pict>
      </w:r>
    </w:p>
    <w:p w:rsidR="00000000" w:rsidRDefault="002223F7">
      <w:pPr>
        <w:jc w:val="both"/>
        <w:divId w:val="335226935"/>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1026832411"/>
        <w:rPr>
          <w:rFonts w:eastAsia="Times New Roman"/>
        </w:rPr>
      </w:pPr>
      <w:r>
        <w:rPr>
          <w:rFonts w:ascii="Arial" w:eastAsia="Times New Roman" w:hAnsi="Arial" w:cs="Arial"/>
          <w:color w:val="000000"/>
          <w:sz w:val="20"/>
          <w:szCs w:val="20"/>
        </w:rPr>
        <w:t>The notional and fair market values of our commodity-based derivative instrument positions were as follows (in millions, except weighted average contract price):</w:t>
      </w:r>
    </w:p>
    <w:tbl>
      <w:tblPr>
        <w:tblW w:w="5000" w:type="pct"/>
        <w:tblCellMar>
          <w:top w:w="15" w:type="dxa"/>
          <w:left w:w="15" w:type="dxa"/>
          <w:bottom w:w="15" w:type="dxa"/>
          <w:right w:w="15" w:type="dxa"/>
        </w:tblCellMar>
        <w:tblLook w:val="04A0" w:firstRow="1" w:lastRow="0" w:firstColumn="1" w:lastColumn="0" w:noHBand="0" w:noVBand="1"/>
      </w:tblPr>
      <w:tblGrid>
        <w:gridCol w:w="66"/>
        <w:gridCol w:w="879"/>
        <w:gridCol w:w="39"/>
        <w:gridCol w:w="36"/>
        <w:gridCol w:w="36"/>
        <w:gridCol w:w="36"/>
        <w:gridCol w:w="54"/>
        <w:gridCol w:w="959"/>
        <w:gridCol w:w="38"/>
        <w:gridCol w:w="36"/>
        <w:gridCol w:w="36"/>
        <w:gridCol w:w="36"/>
        <w:gridCol w:w="88"/>
        <w:gridCol w:w="762"/>
        <w:gridCol w:w="36"/>
        <w:gridCol w:w="36"/>
        <w:gridCol w:w="36"/>
        <w:gridCol w:w="36"/>
        <w:gridCol w:w="78"/>
        <w:gridCol w:w="595"/>
        <w:gridCol w:w="36"/>
        <w:gridCol w:w="36"/>
        <w:gridCol w:w="36"/>
        <w:gridCol w:w="36"/>
        <w:gridCol w:w="122"/>
        <w:gridCol w:w="665"/>
        <w:gridCol w:w="36"/>
        <w:gridCol w:w="36"/>
        <w:gridCol w:w="36"/>
        <w:gridCol w:w="36"/>
        <w:gridCol w:w="121"/>
        <w:gridCol w:w="571"/>
        <w:gridCol w:w="36"/>
        <w:gridCol w:w="36"/>
        <w:gridCol w:w="36"/>
        <w:gridCol w:w="36"/>
        <w:gridCol w:w="78"/>
        <w:gridCol w:w="595"/>
        <w:gridCol w:w="36"/>
        <w:gridCol w:w="36"/>
        <w:gridCol w:w="36"/>
        <w:gridCol w:w="36"/>
        <w:gridCol w:w="122"/>
        <w:gridCol w:w="665"/>
        <w:gridCol w:w="36"/>
        <w:gridCol w:w="36"/>
        <w:gridCol w:w="36"/>
        <w:gridCol w:w="36"/>
        <w:gridCol w:w="122"/>
        <w:gridCol w:w="571"/>
        <w:gridCol w:w="36"/>
      </w:tblGrid>
      <w:tr w:rsidR="00000000">
        <w:trPr>
          <w:divId w:val="1465151174"/>
        </w:trPr>
        <w:tc>
          <w:tcPr>
            <w:tcW w:w="50" w:type="pct"/>
            <w:vAlign w:val="center"/>
            <w:hideMark/>
          </w:tcPr>
          <w:p w:rsidR="00000000" w:rsidRDefault="002223F7">
            <w:pPr>
              <w:jc w:val="both"/>
              <w:rPr>
                <w:rFonts w:eastAsia="Times New Roman"/>
              </w:rPr>
            </w:pPr>
          </w:p>
        </w:tc>
        <w:tc>
          <w:tcPr>
            <w:tcW w:w="668"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1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82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1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3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1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383"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1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383"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1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383"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1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383"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1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383"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1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20"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1465151174"/>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As of December 31,</w:t>
            </w:r>
          </w:p>
        </w:tc>
      </w:tr>
      <w:tr w:rsidR="00000000">
        <w:trPr>
          <w:divId w:val="1465151174"/>
        </w:trPr>
        <w:tc>
          <w:tcPr>
            <w:tcW w:w="0" w:type="auto"/>
            <w:gridSpan w:val="15"/>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Commodity Contracts (In millions of BBL)</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2021</w:t>
            </w:r>
          </w:p>
        </w:tc>
      </w:tr>
      <w:tr w:rsidR="00000000">
        <w:trPr>
          <w:divId w:val="1465151174"/>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Hedge Strategy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Derivative Instrument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 xml:space="preserve">Settlement </w:t>
            </w:r>
            <w:r>
              <w:rPr>
                <w:rFonts w:ascii="Arial" w:eastAsia="Times New Roman" w:hAnsi="Arial" w:cs="Arial"/>
                <w:b/>
                <w:bCs/>
                <w:color w:val="000000"/>
                <w:sz w:val="16"/>
                <w:szCs w:val="16"/>
              </w:rPr>
              <w:br/>
              <w:t>Period</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 xml:space="preserve">Notional </w:t>
            </w:r>
            <w:r>
              <w:rPr>
                <w:rFonts w:ascii="Arial" w:eastAsia="Times New Roman" w:hAnsi="Arial" w:cs="Arial"/>
                <w:b/>
                <w:bCs/>
                <w:color w:val="000000"/>
                <w:sz w:val="16"/>
                <w:szCs w:val="16"/>
              </w:rPr>
              <w:br/>
              <w:t xml:space="preserve">Net </w:t>
            </w:r>
            <w:r>
              <w:rPr>
                <w:rFonts w:ascii="Arial" w:eastAsia="Times New Roman" w:hAnsi="Arial" w:cs="Arial"/>
                <w:b/>
                <w:bCs/>
                <w:color w:val="000000"/>
                <w:sz w:val="16"/>
                <w:szCs w:val="16"/>
              </w:rPr>
              <w:br/>
              <w:t>Long/</w:t>
            </w:r>
            <w:r>
              <w:rPr>
                <w:rFonts w:ascii="Arial" w:eastAsia="Times New Roman" w:hAnsi="Arial" w:cs="Arial"/>
                <w:b/>
                <w:bCs/>
                <w:color w:val="000000"/>
                <w:sz w:val="16"/>
                <w:szCs w:val="16"/>
              </w:rPr>
              <w:br/>
            </w:r>
            <w:r>
              <w:rPr>
                <w:rFonts w:ascii="Arial" w:eastAsia="Times New Roman" w:hAnsi="Arial" w:cs="Arial"/>
                <w:b/>
                <w:bCs/>
                <w:color w:val="000000"/>
                <w:sz w:val="16"/>
                <w:szCs w:val="16"/>
              </w:rPr>
              <w:t>(Short)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 xml:space="preserve">Weighted </w:t>
            </w:r>
            <w:r>
              <w:rPr>
                <w:rFonts w:ascii="Arial" w:eastAsia="Times New Roman" w:hAnsi="Arial" w:cs="Arial"/>
                <w:b/>
                <w:bCs/>
                <w:color w:val="000000"/>
                <w:sz w:val="16"/>
                <w:szCs w:val="16"/>
              </w:rPr>
              <w:br/>
              <w:t xml:space="preserve">Average </w:t>
            </w:r>
            <w:r>
              <w:rPr>
                <w:rFonts w:ascii="Arial" w:eastAsia="Times New Roman" w:hAnsi="Arial" w:cs="Arial"/>
                <w:b/>
                <w:bCs/>
                <w:color w:val="000000"/>
                <w:sz w:val="16"/>
                <w:szCs w:val="16"/>
              </w:rPr>
              <w:br/>
              <w:t xml:space="preserve">Contract </w:t>
            </w:r>
            <w:r>
              <w:rPr>
                <w:rFonts w:ascii="Arial" w:eastAsia="Times New Roman" w:hAnsi="Arial" w:cs="Arial"/>
                <w:b/>
                <w:bCs/>
                <w:color w:val="000000"/>
                <w:sz w:val="16"/>
                <w:szCs w:val="16"/>
              </w:rPr>
              <w:br/>
              <w:t>Price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 xml:space="preserve">Fair </w:t>
            </w:r>
            <w:r>
              <w:rPr>
                <w:rFonts w:ascii="Arial" w:eastAsia="Times New Roman" w:hAnsi="Arial" w:cs="Arial"/>
                <w:b/>
                <w:bCs/>
                <w:color w:val="000000"/>
                <w:sz w:val="16"/>
                <w:szCs w:val="16"/>
              </w:rPr>
              <w:br/>
              <w:t>Value</w:t>
            </w:r>
            <w:r>
              <w:rPr>
                <w:rFonts w:ascii="Arial" w:eastAsia="Times New Roman" w:hAnsi="Arial" w:cs="Arial"/>
                <w:b/>
                <w:bCs/>
                <w:color w:val="000000"/>
                <w:sz w:val="16"/>
                <w:szCs w:val="16"/>
              </w:rPr>
              <w:br/>
              <w:t>Amount</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 xml:space="preserve">Notional </w:t>
            </w:r>
            <w:r>
              <w:rPr>
                <w:rFonts w:ascii="Arial" w:eastAsia="Times New Roman" w:hAnsi="Arial" w:cs="Arial"/>
                <w:b/>
                <w:bCs/>
                <w:color w:val="000000"/>
                <w:sz w:val="16"/>
                <w:szCs w:val="16"/>
              </w:rPr>
              <w:br/>
              <w:t xml:space="preserve">Net </w:t>
            </w:r>
            <w:r>
              <w:rPr>
                <w:rFonts w:ascii="Arial" w:eastAsia="Times New Roman" w:hAnsi="Arial" w:cs="Arial"/>
                <w:b/>
                <w:bCs/>
                <w:color w:val="000000"/>
                <w:sz w:val="16"/>
                <w:szCs w:val="16"/>
              </w:rPr>
              <w:br/>
              <w:t>Long/</w:t>
            </w:r>
            <w:r>
              <w:rPr>
                <w:rFonts w:ascii="Arial" w:eastAsia="Times New Roman" w:hAnsi="Arial" w:cs="Arial"/>
                <w:b/>
                <w:bCs/>
                <w:color w:val="000000"/>
                <w:sz w:val="16"/>
                <w:szCs w:val="16"/>
              </w:rPr>
              <w:br/>
              <w:t>(Short)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 xml:space="preserve">Weighted </w:t>
            </w:r>
            <w:r>
              <w:rPr>
                <w:rFonts w:ascii="Arial" w:eastAsia="Times New Roman" w:hAnsi="Arial" w:cs="Arial"/>
                <w:b/>
                <w:bCs/>
                <w:color w:val="000000"/>
                <w:sz w:val="16"/>
                <w:szCs w:val="16"/>
              </w:rPr>
              <w:br/>
              <w:t xml:space="preserve">Average </w:t>
            </w:r>
            <w:r>
              <w:rPr>
                <w:rFonts w:ascii="Arial" w:eastAsia="Times New Roman" w:hAnsi="Arial" w:cs="Arial"/>
                <w:b/>
                <w:bCs/>
                <w:color w:val="000000"/>
                <w:sz w:val="16"/>
                <w:szCs w:val="16"/>
              </w:rPr>
              <w:br/>
              <w:t xml:space="preserve">Contract </w:t>
            </w:r>
            <w:r>
              <w:rPr>
                <w:rFonts w:ascii="Arial" w:eastAsia="Times New Roman" w:hAnsi="Arial" w:cs="Arial"/>
                <w:b/>
                <w:bCs/>
                <w:color w:val="000000"/>
                <w:sz w:val="16"/>
                <w:szCs w:val="16"/>
              </w:rPr>
              <w:br/>
              <w:t>Price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 xml:space="preserve">Fair </w:t>
            </w:r>
            <w:r>
              <w:rPr>
                <w:rFonts w:ascii="Arial" w:eastAsia="Times New Roman" w:hAnsi="Arial" w:cs="Arial"/>
                <w:b/>
                <w:bCs/>
                <w:color w:val="000000"/>
                <w:sz w:val="16"/>
                <w:szCs w:val="16"/>
              </w:rPr>
              <w:br/>
              <w:t>Value</w:t>
            </w:r>
            <w:r>
              <w:rPr>
                <w:rFonts w:ascii="Arial" w:eastAsia="Times New Roman" w:hAnsi="Arial" w:cs="Arial"/>
                <w:b/>
                <w:bCs/>
                <w:color w:val="000000"/>
                <w:sz w:val="16"/>
                <w:szCs w:val="16"/>
              </w:rPr>
              <w:br/>
              <w:t>Amount</w:t>
            </w:r>
          </w:p>
        </w:tc>
      </w:tr>
      <w:tr w:rsidR="002223F7">
        <w:trPr>
          <w:divId w:val="146515117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Designated hedge</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Commodity contracts hedging inventory</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2022</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(2.8)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92.26 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(8.2)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465151174"/>
        </w:trPr>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2023</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(0.7)</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102.63 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(3.3)</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465151174"/>
        </w:trPr>
        <w:tc>
          <w:tcPr>
            <w:tcW w:w="0" w:type="auto"/>
            <w:gridSpan w:val="3"/>
            <w:vAlign w:val="center"/>
            <w:hideMark/>
          </w:tcPr>
          <w:p w:rsidR="00000000" w:rsidRDefault="002223F7">
            <w:pPr>
              <w:spacing w:after="100"/>
              <w:jc w:val="right"/>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1465151174"/>
        </w:trPr>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1465151174"/>
        </w:trPr>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1465151174"/>
        </w:trPr>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1465151174"/>
        </w:trPr>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1465151174"/>
        </w:trPr>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(8.2)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465151174"/>
          <w:trHeight w:val="300"/>
        </w:trPr>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465151174"/>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Non-designated hedge</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2022</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4.6 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4.63 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10.1 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465151174"/>
        </w:trPr>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2023</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3.7 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30.15 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(179.2)</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0.1 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14.20 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7.8 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465151174"/>
        </w:trPr>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2024</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(0.4)</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20.95 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14.9 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0.1 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12.27 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6.5 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465151174"/>
        </w:trPr>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2025</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(0.3)</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18.46 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9.2 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12.35 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2.0 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465151174"/>
        </w:trPr>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2026</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0.1 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17.21 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1.5 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465151174"/>
        </w:trPr>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2027</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(0.6)</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10.94 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2.3 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465151174"/>
        </w:trPr>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Thereafter</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10.24 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0.4 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(0.2)</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12.50 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1.4 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465151174"/>
        </w:trPr>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(150.8)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27.8 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465151174"/>
        </w:trPr>
        <w:tc>
          <w:tcPr>
            <w:tcW w:w="0" w:type="auto"/>
            <w:gridSpan w:val="15"/>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Total commodity derivative contracts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(154.1)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8"/>
                <w:szCs w:val="18"/>
              </w:rPr>
              <w:t>19.6 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divId w:val="1211720569"/>
        <w:rPr>
          <w:rFonts w:eastAsia="Times New Roman"/>
        </w:rPr>
      </w:pPr>
      <w:r>
        <w:rPr>
          <w:rFonts w:ascii="Arial" w:eastAsia="Times New Roman" w:hAnsi="Arial" w:cs="Arial"/>
          <w:b/>
          <w:bCs/>
          <w:color w:val="000000"/>
          <w:sz w:val="20"/>
          <w:szCs w:val="20"/>
        </w:rPr>
        <w:t>Foreign Currency Exchange Risk</w:t>
      </w:r>
    </w:p>
    <w:p w:rsidR="00000000" w:rsidRDefault="002223F7">
      <w:pPr>
        <w:jc w:val="both"/>
        <w:divId w:val="774055320"/>
        <w:rPr>
          <w:rFonts w:eastAsia="Times New Roman"/>
        </w:rPr>
      </w:pPr>
      <w:r>
        <w:rPr>
          <w:rFonts w:ascii="Arial" w:eastAsia="Times New Roman" w:hAnsi="Arial" w:cs="Arial"/>
          <w:color w:val="000000"/>
          <w:sz w:val="20"/>
          <w:szCs w:val="20"/>
        </w:rPr>
        <w:t>We hedge our exposure to currency exchange rate changes, such as foreign-currency-denominated trade receivables, payables, or local currency tax payments. The fore</w:t>
      </w:r>
      <w:r>
        <w:rPr>
          <w:rFonts w:ascii="Arial" w:eastAsia="Times New Roman" w:hAnsi="Arial" w:cs="Arial"/>
          <w:color w:val="000000"/>
          <w:sz w:val="20"/>
          <w:szCs w:val="20"/>
        </w:rPr>
        <w:t>ign currency exchange rate risk results primarily from our international operations and is economically hedged using forward and swap contracts. The changes in the fair value of these foreign currency exchange derivatives are recorded in earnings. Since th</w:t>
      </w:r>
      <w:r>
        <w:rPr>
          <w:rFonts w:ascii="Arial" w:eastAsia="Times New Roman" w:hAnsi="Arial" w:cs="Arial"/>
          <w:color w:val="000000"/>
          <w:sz w:val="20"/>
          <w:szCs w:val="20"/>
        </w:rPr>
        <w:t>e gains or losses on the forward and swap contracts are substantially offset by the gains or losses from remeasuring the hedged foreign-currency-denominated exposure, we do not believe that a hypothetical 10% change in exchange rates at December 31, 2022 w</w:t>
      </w:r>
      <w:r>
        <w:rPr>
          <w:rFonts w:ascii="Arial" w:eastAsia="Times New Roman" w:hAnsi="Arial" w:cs="Arial"/>
          <w:color w:val="000000"/>
          <w:sz w:val="20"/>
          <w:szCs w:val="20"/>
        </w:rPr>
        <w:t>ould have a material impact on our income from operations.</w:t>
      </w:r>
    </w:p>
    <w:p w:rsidR="00000000" w:rsidRDefault="002223F7">
      <w:pPr>
        <w:jc w:val="center"/>
        <w:divId w:val="1349869262"/>
        <w:rPr>
          <w:rFonts w:eastAsia="Times New Roman"/>
        </w:rPr>
      </w:pPr>
      <w:r>
        <w:rPr>
          <w:rFonts w:ascii="Arial" w:eastAsia="Times New Roman" w:hAnsi="Arial" w:cs="Arial"/>
          <w:color w:val="000000"/>
          <w:sz w:val="16"/>
          <w:szCs w:val="16"/>
        </w:rPr>
        <w:t>33</w:t>
      </w:r>
    </w:p>
    <w:p w:rsidR="00000000" w:rsidRDefault="002223F7">
      <w:pPr>
        <w:rPr>
          <w:rFonts w:eastAsia="Times New Roman"/>
        </w:rPr>
      </w:pPr>
      <w:r>
        <w:rPr>
          <w:rFonts w:eastAsia="Times New Roman"/>
        </w:rPr>
        <w:pict>
          <v:rect id="_x0000_i1064" style="width:0;height:1.5pt" o:hralign="center" o:hrstd="t" o:hr="t" fillcolor="#a0a0a0" stroked="f"/>
        </w:pict>
      </w:r>
    </w:p>
    <w:p w:rsidR="00000000" w:rsidRDefault="002223F7">
      <w:pPr>
        <w:jc w:val="both"/>
        <w:divId w:val="2135557417"/>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1919633541"/>
        <w:rPr>
          <w:rFonts w:eastAsia="Times New Roman"/>
        </w:rPr>
      </w:pPr>
      <w:r>
        <w:rPr>
          <w:rFonts w:ascii="Arial" w:eastAsia="Times New Roman" w:hAnsi="Arial" w:cs="Arial"/>
          <w:color w:val="000000"/>
          <w:sz w:val="20"/>
          <w:szCs w:val="20"/>
        </w:rPr>
        <w:t>As of December 31, 2022,</w:t>
      </w:r>
      <w:r>
        <w:rPr>
          <w:rFonts w:ascii="Arial" w:eastAsia="Times New Roman" w:hAnsi="Arial" w:cs="Arial"/>
          <w:color w:val="000000"/>
          <w:sz w:val="20"/>
          <w:szCs w:val="20"/>
        </w:rPr>
        <w:t xml:space="preserve"> the foreign currency denominated notional amounts and fair value in U.S. dollars of our exposures from our foreign currency exchange derivatives, were primarily related to the following (in millions, except weighted average contract price):</w:t>
      </w:r>
    </w:p>
    <w:tbl>
      <w:tblPr>
        <w:tblW w:w="5000" w:type="pct"/>
        <w:tblCellMar>
          <w:top w:w="15" w:type="dxa"/>
          <w:left w:w="15" w:type="dxa"/>
          <w:bottom w:w="15" w:type="dxa"/>
          <w:right w:w="15" w:type="dxa"/>
        </w:tblCellMar>
        <w:tblLook w:val="04A0" w:firstRow="1" w:lastRow="0" w:firstColumn="1" w:lastColumn="0" w:noHBand="0" w:noVBand="1"/>
      </w:tblPr>
      <w:tblGrid>
        <w:gridCol w:w="55"/>
        <w:gridCol w:w="1487"/>
        <w:gridCol w:w="36"/>
        <w:gridCol w:w="36"/>
        <w:gridCol w:w="37"/>
        <w:gridCol w:w="36"/>
        <w:gridCol w:w="52"/>
        <w:gridCol w:w="1383"/>
        <w:gridCol w:w="36"/>
        <w:gridCol w:w="36"/>
        <w:gridCol w:w="37"/>
        <w:gridCol w:w="36"/>
        <w:gridCol w:w="64"/>
        <w:gridCol w:w="1480"/>
        <w:gridCol w:w="36"/>
        <w:gridCol w:w="36"/>
        <w:gridCol w:w="37"/>
        <w:gridCol w:w="36"/>
        <w:gridCol w:w="52"/>
        <w:gridCol w:w="1492"/>
        <w:gridCol w:w="36"/>
        <w:gridCol w:w="36"/>
        <w:gridCol w:w="37"/>
        <w:gridCol w:w="36"/>
        <w:gridCol w:w="133"/>
        <w:gridCol w:w="1492"/>
        <w:gridCol w:w="36"/>
      </w:tblGrid>
      <w:tr w:rsidR="00000000">
        <w:trPr>
          <w:divId w:val="945191257"/>
        </w:trPr>
        <w:tc>
          <w:tcPr>
            <w:tcW w:w="50" w:type="pct"/>
            <w:vAlign w:val="center"/>
            <w:hideMark/>
          </w:tcPr>
          <w:p w:rsidR="00000000" w:rsidRDefault="002223F7">
            <w:pPr>
              <w:jc w:val="both"/>
              <w:rPr>
                <w:rFonts w:eastAsia="Times New Roman"/>
              </w:rPr>
            </w:pPr>
          </w:p>
        </w:tc>
        <w:tc>
          <w:tcPr>
            <w:tcW w:w="91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85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91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91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91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945191257"/>
        </w:trPr>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20"/>
                <w:szCs w:val="20"/>
              </w:rPr>
              <w:t>Settlement Period</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Unit</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 xml:space="preserve">Notional </w:t>
            </w:r>
            <w:r>
              <w:rPr>
                <w:rFonts w:ascii="Arial" w:eastAsia="Times New Roman" w:hAnsi="Arial" w:cs="Arial"/>
                <w:b/>
                <w:bCs/>
                <w:color w:val="000000"/>
                <w:sz w:val="20"/>
                <w:szCs w:val="20"/>
              </w:rPr>
              <w:br/>
              <w:t>Net Long/(Short)</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Weighted Average</w:t>
            </w:r>
            <w:r>
              <w:rPr>
                <w:rFonts w:ascii="Arial" w:eastAsia="Times New Roman" w:hAnsi="Arial" w:cs="Arial"/>
                <w:b/>
                <w:bCs/>
                <w:color w:val="000000"/>
                <w:sz w:val="20"/>
                <w:szCs w:val="20"/>
              </w:rPr>
              <w:br/>
              <w:t>Contract Price</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Fair Value Amount</w:t>
            </w:r>
          </w:p>
        </w:tc>
      </w:tr>
      <w:tr w:rsidR="00000000">
        <w:trPr>
          <w:divId w:val="94519125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AUD</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0.653 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94519125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2023</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CAD</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(38.8)</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1.358 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(0.5)</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94519125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CHF</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0.975 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(0.1)</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94519125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2023</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CLP</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(1,229.2)</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963.670 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(0.1)</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94519125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COP</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(66,939.1)</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4,774.820 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0.2 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94519125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2023</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CZK</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(15.1)</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24.798 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(0.1)</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94519125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DKK</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410.3 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6.630 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94519125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2023</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EUR</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29.8 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1.033 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94519125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GBP</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(8.6)</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1.183 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94519125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2023</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HUF</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(393.4)</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418.490 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(0.4)</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945191257"/>
        </w:trPr>
        <w:tc>
          <w:tcPr>
            <w:tcW w:w="0" w:type="auto"/>
            <w:gridSpan w:val="3"/>
            <w:vAlign w:val="center"/>
            <w:hideMark/>
          </w:tcPr>
          <w:p w:rsidR="00000000" w:rsidRDefault="002223F7">
            <w:pPr>
              <w:spacing w:after="100"/>
              <w:jc w:val="right"/>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945191257"/>
        </w:trPr>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94519125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KRW</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(19,860.4)</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1,066.255 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94519125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2023</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MXN</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(1,700.0)</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19.965 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(3.7)</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94519125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NOK</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(1,808.7)</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10.110 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(9.3)</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94519125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2023</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NZD</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0.596 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(0.2)</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94519125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PHP</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115.2 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57.590 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94519125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2023</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PLN</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4.706 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(0.2)</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94519125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RON</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(24.3)</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4.871 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(0.3)</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94519125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2023</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SEK</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130.0 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10.624 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94519125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SGD</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4.9 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1.417 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945191257"/>
        </w:trPr>
        <w:tc>
          <w:tcPr>
            <w:tcW w:w="0" w:type="auto"/>
            <w:gridSpan w:val="3"/>
            <w:vAlign w:val="center"/>
            <w:hideMark/>
          </w:tcPr>
          <w:p w:rsidR="00000000" w:rsidRDefault="002223F7">
            <w:pPr>
              <w:spacing w:after="100"/>
              <w:jc w:val="right"/>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945191257"/>
        </w:trPr>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94519125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2024</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EUR</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6.0 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1.070 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0.4 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945191257"/>
        </w:trPr>
        <w:tc>
          <w:tcPr>
            <w:tcW w:w="0" w:type="auto"/>
            <w:gridSpan w:val="3"/>
            <w:vAlign w:val="center"/>
            <w:hideMark/>
          </w:tcPr>
          <w:p w:rsidR="00000000" w:rsidRDefault="002223F7">
            <w:pPr>
              <w:spacing w:after="100"/>
              <w:jc w:val="right"/>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945191257"/>
        </w:trPr>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945191257"/>
        </w:trPr>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945191257"/>
        </w:trPr>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94519125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2025</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EUR</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1.056 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945191257"/>
        </w:trPr>
        <w:tc>
          <w:tcPr>
            <w:tcW w:w="0" w:type="auto"/>
            <w:gridSpan w:val="21"/>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foreign currency exchange derivative contracts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jc w:val="both"/>
        <w:divId w:val="145360374"/>
        <w:rPr>
          <w:rFonts w:eastAsia="Times New Roman"/>
        </w:rPr>
      </w:pPr>
      <w:r>
        <w:rPr>
          <w:rFonts w:ascii="Arial" w:eastAsia="Times New Roman" w:hAnsi="Arial" w:cs="Arial"/>
          <w:color w:val="000000"/>
          <w:sz w:val="20"/>
          <w:szCs w:val="20"/>
        </w:rPr>
        <w:t>The total fair value our foreign currency exchange derivative contracts was a net liability of $14.1 million and a net asset of $0.4 million as of December 31, 2022 and 2021, respectively. The majority of foreign currency exchange derivatives are settled w</w:t>
      </w:r>
      <w:r>
        <w:rPr>
          <w:rFonts w:ascii="Arial" w:eastAsia="Times New Roman" w:hAnsi="Arial" w:cs="Arial"/>
          <w:color w:val="000000"/>
          <w:sz w:val="20"/>
          <w:szCs w:val="20"/>
        </w:rPr>
        <w:t>ithin one year. See Note 4. Derivative Instruments for additional information.</w:t>
      </w:r>
    </w:p>
    <w:p w:rsidR="00000000" w:rsidRDefault="002223F7">
      <w:pPr>
        <w:divId w:val="1065181654"/>
        <w:rPr>
          <w:rFonts w:eastAsia="Times New Roman"/>
        </w:rPr>
      </w:pPr>
      <w:r>
        <w:rPr>
          <w:rFonts w:ascii="Arial" w:eastAsia="Times New Roman" w:hAnsi="Arial" w:cs="Arial"/>
          <w:b/>
          <w:bCs/>
          <w:color w:val="000000"/>
          <w:sz w:val="20"/>
          <w:szCs w:val="20"/>
        </w:rPr>
        <w:t>Interest Rate Risk</w:t>
      </w:r>
    </w:p>
    <w:p w:rsidR="00000000" w:rsidRDefault="002223F7">
      <w:pPr>
        <w:jc w:val="both"/>
        <w:divId w:val="1711420646"/>
        <w:rPr>
          <w:rFonts w:eastAsia="Times New Roman"/>
        </w:rPr>
      </w:pPr>
      <w:r>
        <w:rPr>
          <w:rFonts w:ascii="Arial" w:eastAsia="Times New Roman" w:hAnsi="Arial" w:cs="Arial"/>
          <w:color w:val="000000"/>
          <w:sz w:val="20"/>
          <w:szCs w:val="20"/>
        </w:rPr>
        <w:t>Borrowings under our Credit Facility and Term Loan related to base rate loans or Eurodollar rate loans bear floating interest rates plus applicable margins. A</w:t>
      </w:r>
      <w:r>
        <w:rPr>
          <w:rFonts w:ascii="Arial" w:eastAsia="Times New Roman" w:hAnsi="Arial" w:cs="Arial"/>
          <w:color w:val="000000"/>
          <w:sz w:val="20"/>
          <w:szCs w:val="20"/>
        </w:rPr>
        <w:t>s of December 31, 2022, the applicable margins for base rate loans and Eurodollar rate loans were 0.75% and 1.75%, respectively. As of December 31, 2022, we had $339.0 million in outstanding borrowings under our Credit Facility and a $488.4 million Term Lo</w:t>
      </w:r>
      <w:r>
        <w:rPr>
          <w:rFonts w:ascii="Arial" w:eastAsia="Times New Roman" w:hAnsi="Arial" w:cs="Arial"/>
          <w:color w:val="000000"/>
          <w:sz w:val="20"/>
          <w:szCs w:val="20"/>
        </w:rPr>
        <w:t>an. As of December 31, 2022, the aggregate outstanding balance of our finance lease obligations was $15.4 million, which bear interest at annual rates ranging from 1.0% to 5.9%. Our remaining outstanding debt of $2.9 million, as of December 31, 2022, prima</w:t>
      </w:r>
      <w:r>
        <w:rPr>
          <w:rFonts w:ascii="Arial" w:eastAsia="Times New Roman" w:hAnsi="Arial" w:cs="Arial"/>
          <w:color w:val="000000"/>
          <w:sz w:val="20"/>
          <w:szCs w:val="20"/>
        </w:rPr>
        <w:t>rily relates to loans payable in varying amounts which bear interest at annual rates ranging from zero to 3.5%. We also have other agreements, such as our RPAs, with exposure to interest rate risk. See Note 2. Accounts Receivable and Note 7. Debt, Interest</w:t>
      </w:r>
      <w:r>
        <w:rPr>
          <w:rFonts w:ascii="Arial" w:eastAsia="Times New Roman" w:hAnsi="Arial" w:cs="Arial"/>
          <w:color w:val="000000"/>
          <w:sz w:val="20"/>
          <w:szCs w:val="20"/>
        </w:rPr>
        <w:t xml:space="preserve"> Income, Expense, and Other Finance Costs for additional information.</w:t>
      </w:r>
    </w:p>
    <w:p w:rsidR="00000000" w:rsidRDefault="002223F7">
      <w:pPr>
        <w:jc w:val="both"/>
        <w:divId w:val="1756513450"/>
        <w:rPr>
          <w:rFonts w:eastAsia="Times New Roman"/>
        </w:rPr>
      </w:pPr>
      <w:r>
        <w:rPr>
          <w:rFonts w:ascii="Arial" w:eastAsia="Times New Roman" w:hAnsi="Arial" w:cs="Arial"/>
          <w:color w:val="000000"/>
          <w:sz w:val="20"/>
          <w:szCs w:val="20"/>
        </w:rPr>
        <w:t>We entered into a $300 million, one-month Eurodollar, floating-for-fixed interest rate non-amortizing swap with a maturity date in March 2025 (the "Swap"). The Swap agreement effectively</w:t>
      </w:r>
      <w:r>
        <w:rPr>
          <w:rFonts w:ascii="Arial" w:eastAsia="Times New Roman" w:hAnsi="Arial" w:cs="Arial"/>
          <w:color w:val="000000"/>
          <w:sz w:val="20"/>
          <w:szCs w:val="20"/>
        </w:rPr>
        <w:t xml:space="preserve"> locks in the floating interest rate we will pay for a portion of our Eurodollar rate loans at 0.535%. The fair value of the interest rate swap contract was an asset of $24.7 million and an asset of $5.1 million as of December 31, 2022 and 2021, respective</w:t>
      </w:r>
      <w:r>
        <w:rPr>
          <w:rFonts w:ascii="Arial" w:eastAsia="Times New Roman" w:hAnsi="Arial" w:cs="Arial"/>
          <w:color w:val="000000"/>
          <w:sz w:val="20"/>
          <w:szCs w:val="20"/>
        </w:rPr>
        <w:t>ly.</w:t>
      </w:r>
    </w:p>
    <w:p w:rsidR="00000000" w:rsidRDefault="002223F7">
      <w:pPr>
        <w:jc w:val="center"/>
        <w:divId w:val="980186361"/>
        <w:rPr>
          <w:rFonts w:eastAsia="Times New Roman"/>
        </w:rPr>
      </w:pPr>
      <w:r>
        <w:rPr>
          <w:rFonts w:ascii="Arial" w:eastAsia="Times New Roman" w:hAnsi="Arial" w:cs="Arial"/>
          <w:color w:val="000000"/>
          <w:sz w:val="16"/>
          <w:szCs w:val="16"/>
        </w:rPr>
        <w:t>34</w:t>
      </w:r>
    </w:p>
    <w:p w:rsidR="00000000" w:rsidRDefault="002223F7">
      <w:pPr>
        <w:rPr>
          <w:rFonts w:eastAsia="Times New Roman"/>
        </w:rPr>
      </w:pPr>
      <w:r>
        <w:rPr>
          <w:rFonts w:eastAsia="Times New Roman"/>
        </w:rPr>
        <w:pict>
          <v:rect id="_x0000_i1065" style="width:0;height:1.5pt" o:hralign="center" o:hrstd="t" o:hr="t" fillcolor="#a0a0a0" stroked="f"/>
        </w:pict>
      </w:r>
    </w:p>
    <w:p w:rsidR="00000000" w:rsidRDefault="002223F7">
      <w:pPr>
        <w:jc w:val="both"/>
        <w:divId w:val="1854680403"/>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648363195"/>
        <w:rPr>
          <w:rFonts w:eastAsia="Times New Roman"/>
        </w:rPr>
      </w:pPr>
      <w:r>
        <w:rPr>
          <w:rFonts w:ascii="Arial" w:eastAsia="Times New Roman" w:hAnsi="Arial" w:cs="Arial"/>
          <w:color w:val="000000"/>
          <w:sz w:val="20"/>
          <w:szCs w:val="20"/>
        </w:rPr>
        <w:t>The following table presents the contractual weighted average interest rates and expected cash flows by maturity dates (in millions, except weighted average interest rates):</w:t>
      </w:r>
    </w:p>
    <w:tbl>
      <w:tblPr>
        <w:tblW w:w="4978" w:type="pct"/>
        <w:tblCellMar>
          <w:top w:w="15" w:type="dxa"/>
          <w:left w:w="15" w:type="dxa"/>
          <w:bottom w:w="15" w:type="dxa"/>
          <w:right w:w="15" w:type="dxa"/>
        </w:tblCellMar>
        <w:tblLook w:val="04A0" w:firstRow="1" w:lastRow="0" w:firstColumn="1" w:lastColumn="0" w:noHBand="0" w:noVBand="1"/>
      </w:tblPr>
      <w:tblGrid>
        <w:gridCol w:w="38"/>
        <w:gridCol w:w="3802"/>
        <w:gridCol w:w="37"/>
        <w:gridCol w:w="36"/>
        <w:gridCol w:w="36"/>
        <w:gridCol w:w="36"/>
        <w:gridCol w:w="132"/>
        <w:gridCol w:w="678"/>
        <w:gridCol w:w="198"/>
        <w:gridCol w:w="36"/>
        <w:gridCol w:w="36"/>
        <w:gridCol w:w="36"/>
        <w:gridCol w:w="132"/>
        <w:gridCol w:w="679"/>
        <w:gridCol w:w="198"/>
        <w:gridCol w:w="36"/>
        <w:gridCol w:w="36"/>
        <w:gridCol w:w="36"/>
        <w:gridCol w:w="133"/>
        <w:gridCol w:w="680"/>
        <w:gridCol w:w="198"/>
        <w:gridCol w:w="36"/>
        <w:gridCol w:w="36"/>
        <w:gridCol w:w="36"/>
        <w:gridCol w:w="132"/>
        <w:gridCol w:w="764"/>
        <w:gridCol w:w="36"/>
      </w:tblGrid>
      <w:tr w:rsidR="00000000">
        <w:trPr>
          <w:divId w:val="931009843"/>
        </w:trPr>
        <w:tc>
          <w:tcPr>
            <w:tcW w:w="50" w:type="pct"/>
            <w:vAlign w:val="center"/>
            <w:hideMark/>
          </w:tcPr>
          <w:p w:rsidR="00000000" w:rsidRDefault="002223F7">
            <w:pPr>
              <w:jc w:val="both"/>
              <w:rPr>
                <w:rFonts w:eastAsia="Times New Roman"/>
              </w:rPr>
            </w:pPr>
          </w:p>
        </w:tc>
        <w:tc>
          <w:tcPr>
            <w:tcW w:w="241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32"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32"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32"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1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32"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931009843"/>
        </w:trPr>
        <w:tc>
          <w:tcPr>
            <w:tcW w:w="0" w:type="auto"/>
            <w:gridSpan w:val="27"/>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Expected Maturities as of December 31, 2022</w:t>
            </w:r>
          </w:p>
        </w:tc>
      </w:tr>
      <w:tr w:rsidR="00000000">
        <w:trPr>
          <w:divId w:val="931009843"/>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20"/>
                <w:szCs w:val="20"/>
              </w:rPr>
              <w:t>Interest Rate Swap</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2024</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2025</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Fair Value</w:t>
            </w:r>
          </w:p>
        </w:tc>
      </w:tr>
      <w:tr w:rsidR="00000000">
        <w:trPr>
          <w:divId w:val="93100984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Notional Value: $300</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931009843"/>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divId w:val="2061974531"/>
              <w:rPr>
                <w:rFonts w:eastAsia="Times New Roman"/>
              </w:rPr>
            </w:pPr>
            <w:r>
              <w:rPr>
                <w:rFonts w:ascii="Arial" w:eastAsia="Times New Roman" w:hAnsi="Arial" w:cs="Arial"/>
                <w:color w:val="000000"/>
                <w:sz w:val="20"/>
                <w:szCs w:val="20"/>
              </w:rPr>
              <w:t>Variable to Fixe</w:t>
            </w:r>
            <w:r>
              <w:rPr>
                <w:rFonts w:ascii="Arial" w:eastAsia="Times New Roman" w:hAnsi="Arial" w:cs="Arial"/>
                <w:color w:val="000000"/>
                <w:sz w:val="20"/>
                <w:szCs w:val="20"/>
              </w:rPr>
              <w:t>d</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931009843"/>
        </w:trPr>
        <w:tc>
          <w:tcPr>
            <w:tcW w:w="0" w:type="auto"/>
            <w:gridSpan w:val="3"/>
            <w:shd w:val="clear" w:color="auto" w:fill="CCEEFF"/>
            <w:tcMar>
              <w:top w:w="30" w:type="dxa"/>
              <w:left w:w="26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Average pay rate</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0.535 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0.535 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0.535 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931009843"/>
        </w:trPr>
        <w:tc>
          <w:tcPr>
            <w:tcW w:w="0" w:type="auto"/>
            <w:gridSpan w:val="3"/>
            <w:shd w:val="clear" w:color="auto" w:fill="FFFFFF"/>
            <w:tcMar>
              <w:top w:w="30" w:type="dxa"/>
              <w:left w:w="26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Average receive rate</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4.00 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bl>
    <w:p w:rsidR="00000000" w:rsidRDefault="002223F7">
      <w:pPr>
        <w:ind w:hanging="360"/>
        <w:jc w:val="both"/>
        <w:divId w:val="1358392168"/>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Represents discounted net cash flow receipts or (payments).</w:t>
      </w:r>
    </w:p>
    <w:p w:rsidR="00000000" w:rsidRDefault="002223F7">
      <w:pPr>
        <w:jc w:val="both"/>
        <w:divId w:val="306516337"/>
        <w:rPr>
          <w:rFonts w:eastAsia="Times New Roman"/>
        </w:rPr>
      </w:pPr>
      <w:r>
        <w:rPr>
          <w:rFonts w:ascii="Arial" w:eastAsia="Times New Roman" w:hAnsi="Arial" w:cs="Arial"/>
          <w:color w:val="000000"/>
          <w:sz w:val="20"/>
          <w:szCs w:val="20"/>
        </w:rPr>
        <w:t>A fluctuation of 100 bps in the interest rate would result in a $12.5 million change in interest expense with respect to these agreements during the next twelve</w:t>
      </w:r>
      <w:r>
        <w:rPr>
          <w:rFonts w:ascii="Arial" w:eastAsia="Times New Roman" w:hAnsi="Arial" w:cs="Arial"/>
          <w:color w:val="000000"/>
          <w:sz w:val="20"/>
          <w:szCs w:val="20"/>
        </w:rPr>
        <w:t xml:space="preserve"> months.</w:t>
      </w:r>
    </w:p>
    <w:p w:rsidR="00000000" w:rsidRDefault="002223F7">
      <w:pPr>
        <w:divId w:val="768697731"/>
        <w:rPr>
          <w:rFonts w:eastAsia="Times New Roman"/>
        </w:rPr>
      </w:pPr>
      <w:r>
        <w:rPr>
          <w:rFonts w:ascii="Arial" w:eastAsia="Times New Roman" w:hAnsi="Arial" w:cs="Arial"/>
          <w:b/>
          <w:bCs/>
          <w:color w:val="000000"/>
        </w:rPr>
        <w:t>Item 8. Financial Statements and Supplementary Data</w:t>
      </w:r>
    </w:p>
    <w:p w:rsidR="00000000" w:rsidRDefault="002223F7">
      <w:pPr>
        <w:jc w:val="both"/>
        <w:divId w:val="20132001"/>
        <w:rPr>
          <w:rFonts w:eastAsia="Times New Roman"/>
        </w:rPr>
      </w:pPr>
      <w:r>
        <w:rPr>
          <w:rFonts w:ascii="Arial" w:eastAsia="Times New Roman" w:hAnsi="Arial" w:cs="Arial"/>
          <w:color w:val="000000"/>
          <w:sz w:val="20"/>
          <w:szCs w:val="20"/>
        </w:rPr>
        <w:t>The financial statements, together with the report thereon of PricewaterhouseCoopers LLP dated February 24, 2023, are set forth in Item 15 of this 2022 10</w:t>
      </w:r>
      <w:r>
        <w:rPr>
          <w:rFonts w:ascii="Arial" w:eastAsia="Times New Roman" w:hAnsi="Arial" w:cs="Arial"/>
          <w:color w:val="000000"/>
          <w:sz w:val="20"/>
          <w:szCs w:val="20"/>
        </w:rPr>
        <w:noBreakHyphen/>
        <w:t>K Report.</w:t>
      </w:r>
    </w:p>
    <w:p w:rsidR="00000000" w:rsidRDefault="002223F7">
      <w:pPr>
        <w:divId w:val="747995030"/>
        <w:rPr>
          <w:rFonts w:eastAsia="Times New Roman"/>
        </w:rPr>
      </w:pPr>
      <w:r>
        <w:rPr>
          <w:rFonts w:ascii="Arial" w:eastAsia="Times New Roman" w:hAnsi="Arial" w:cs="Arial"/>
          <w:b/>
          <w:bCs/>
          <w:color w:val="000000"/>
        </w:rPr>
        <w:t>Item 9. Changes in and Disagre</w:t>
      </w:r>
      <w:r>
        <w:rPr>
          <w:rFonts w:ascii="Arial" w:eastAsia="Times New Roman" w:hAnsi="Arial" w:cs="Arial"/>
          <w:b/>
          <w:bCs/>
          <w:color w:val="000000"/>
        </w:rPr>
        <w:t>ements with Accountants on Accounting and Financial Disclosure</w:t>
      </w:r>
    </w:p>
    <w:p w:rsidR="00000000" w:rsidRDefault="002223F7">
      <w:pPr>
        <w:jc w:val="both"/>
        <w:divId w:val="964039532"/>
        <w:rPr>
          <w:rFonts w:eastAsia="Times New Roman"/>
        </w:rPr>
      </w:pPr>
      <w:r>
        <w:rPr>
          <w:rFonts w:ascii="Arial" w:eastAsia="Times New Roman" w:hAnsi="Arial" w:cs="Arial"/>
          <w:color w:val="000000"/>
          <w:sz w:val="20"/>
          <w:szCs w:val="20"/>
        </w:rPr>
        <w:t>None.</w:t>
      </w:r>
    </w:p>
    <w:p w:rsidR="00000000" w:rsidRDefault="002223F7">
      <w:pPr>
        <w:divId w:val="839124980"/>
        <w:rPr>
          <w:rFonts w:eastAsia="Times New Roman"/>
        </w:rPr>
      </w:pPr>
      <w:r>
        <w:rPr>
          <w:rFonts w:ascii="Arial" w:eastAsia="Times New Roman" w:hAnsi="Arial" w:cs="Arial"/>
          <w:b/>
          <w:bCs/>
          <w:color w:val="000000"/>
        </w:rPr>
        <w:t>Item 9A. Controls and Procedures</w:t>
      </w:r>
    </w:p>
    <w:p w:rsidR="00000000" w:rsidRDefault="002223F7">
      <w:pPr>
        <w:divId w:val="828643026"/>
        <w:rPr>
          <w:rFonts w:eastAsia="Times New Roman"/>
        </w:rPr>
      </w:pPr>
      <w:r>
        <w:rPr>
          <w:rFonts w:ascii="Arial" w:eastAsia="Times New Roman" w:hAnsi="Arial" w:cs="Arial"/>
          <w:b/>
          <w:bCs/>
          <w:color w:val="000000"/>
          <w:sz w:val="20"/>
          <w:szCs w:val="20"/>
        </w:rPr>
        <w:t>Management’s Evaluation of Disclosure Controls and Procedures</w:t>
      </w:r>
    </w:p>
    <w:p w:rsidR="00000000" w:rsidRDefault="002223F7">
      <w:pPr>
        <w:jc w:val="both"/>
        <w:divId w:val="383675037"/>
        <w:rPr>
          <w:rFonts w:eastAsia="Times New Roman"/>
        </w:rPr>
      </w:pPr>
      <w:r>
        <w:rPr>
          <w:rFonts w:ascii="Arial" w:eastAsia="Times New Roman" w:hAnsi="Arial" w:cs="Arial"/>
          <w:color w:val="000000"/>
          <w:sz w:val="20"/>
          <w:szCs w:val="20"/>
        </w:rPr>
        <w:t xml:space="preserve">We maintain disclosure controls and procedures that are designed to ensure that information </w:t>
      </w:r>
      <w:r>
        <w:rPr>
          <w:rFonts w:ascii="Arial" w:eastAsia="Times New Roman" w:hAnsi="Arial" w:cs="Arial"/>
          <w:color w:val="000000"/>
          <w:sz w:val="20"/>
          <w:szCs w:val="20"/>
        </w:rPr>
        <w:t xml:space="preserve">required to be disclosed in the reports that we file or submit under the Exchange Act is recorded, processed, summarized and reported within the time periods specified in the SEC’s rules and forms, and that such information is accumulated and communicated </w:t>
      </w:r>
      <w:r>
        <w:rPr>
          <w:rFonts w:ascii="Arial" w:eastAsia="Times New Roman" w:hAnsi="Arial" w:cs="Arial"/>
          <w:color w:val="000000"/>
          <w:sz w:val="20"/>
          <w:szCs w:val="20"/>
        </w:rPr>
        <w:t>to our management, including our Chief Executive Officer ("CEO") and our Chief Financial Officer ("CFO"), as appropriate, to allow timely decisions regarding required financial disclosure.</w:t>
      </w:r>
    </w:p>
    <w:p w:rsidR="00000000" w:rsidRDefault="002223F7">
      <w:pPr>
        <w:jc w:val="both"/>
        <w:divId w:val="684865656"/>
        <w:rPr>
          <w:rFonts w:eastAsia="Times New Roman"/>
        </w:rPr>
      </w:pPr>
      <w:r>
        <w:rPr>
          <w:rFonts w:ascii="Arial" w:eastAsia="Times New Roman" w:hAnsi="Arial" w:cs="Arial"/>
          <w:color w:val="000000"/>
          <w:sz w:val="20"/>
          <w:szCs w:val="20"/>
        </w:rPr>
        <w:t>As of the end of the period covered by this 10-K Report, we evaluat</w:t>
      </w:r>
      <w:r>
        <w:rPr>
          <w:rFonts w:ascii="Arial" w:eastAsia="Times New Roman" w:hAnsi="Arial" w:cs="Arial"/>
          <w:color w:val="000000"/>
          <w:sz w:val="20"/>
          <w:szCs w:val="20"/>
        </w:rPr>
        <w:t xml:space="preserve">ed, under the supervision and with the participation of our CEO and CFO, the effectiveness of the design and operation of our disclosure controls and procedures pursuant to Exchange Act Rule 13a-15(e). Based upon this evaluation, the CEO and CFO concluded </w:t>
      </w:r>
      <w:r>
        <w:rPr>
          <w:rFonts w:ascii="Arial" w:eastAsia="Times New Roman" w:hAnsi="Arial" w:cs="Arial"/>
          <w:color w:val="000000"/>
          <w:sz w:val="20"/>
          <w:szCs w:val="20"/>
        </w:rPr>
        <w:t>that our disclosure controls and procedures were effective at a reasonable assurance level as of December 31, 2022.</w:t>
      </w:r>
    </w:p>
    <w:p w:rsidR="00000000" w:rsidRDefault="002223F7">
      <w:pPr>
        <w:divId w:val="1548026437"/>
        <w:rPr>
          <w:rFonts w:eastAsia="Times New Roman"/>
        </w:rPr>
      </w:pPr>
      <w:r>
        <w:rPr>
          <w:rFonts w:ascii="Arial" w:eastAsia="Times New Roman" w:hAnsi="Arial" w:cs="Arial"/>
          <w:b/>
          <w:bCs/>
          <w:color w:val="000000"/>
          <w:sz w:val="20"/>
          <w:szCs w:val="20"/>
        </w:rPr>
        <w:t>Management’s Report on Internal Control over Financial Reporting</w:t>
      </w:r>
    </w:p>
    <w:p w:rsidR="00000000" w:rsidRDefault="002223F7">
      <w:pPr>
        <w:jc w:val="both"/>
        <w:divId w:val="703673739"/>
        <w:rPr>
          <w:rFonts w:eastAsia="Times New Roman"/>
        </w:rPr>
      </w:pPr>
      <w:r>
        <w:rPr>
          <w:rFonts w:ascii="Arial" w:eastAsia="Times New Roman" w:hAnsi="Arial" w:cs="Arial"/>
          <w:color w:val="000000"/>
          <w:sz w:val="20"/>
          <w:szCs w:val="20"/>
        </w:rPr>
        <w:t>Our management is responsible for establishing and maintaining adequate internal control over financial reporting, as such term is defined in Exchange Act Rule 13a</w:t>
      </w:r>
      <w:r>
        <w:rPr>
          <w:rFonts w:ascii="Arial" w:eastAsia="Times New Roman" w:hAnsi="Arial" w:cs="Arial"/>
          <w:color w:val="000000"/>
          <w:sz w:val="20"/>
          <w:szCs w:val="20"/>
        </w:rPr>
        <w:noBreakHyphen/>
        <w:t>15(f). Our internal control over financial reporting is a process designed to provide reason</w:t>
      </w:r>
      <w:r>
        <w:rPr>
          <w:rFonts w:ascii="Arial" w:eastAsia="Times New Roman" w:hAnsi="Arial" w:cs="Arial"/>
          <w:color w:val="000000"/>
          <w:sz w:val="20"/>
          <w:szCs w:val="20"/>
        </w:rPr>
        <w:t>able assurance regarding the reliability of financial reporting and the preparation of financial statements for external purposes in accordance with accounting principles generally accepted in the United States of America. Our internal control over financi</w:t>
      </w:r>
      <w:r>
        <w:rPr>
          <w:rFonts w:ascii="Arial" w:eastAsia="Times New Roman" w:hAnsi="Arial" w:cs="Arial"/>
          <w:color w:val="000000"/>
          <w:sz w:val="20"/>
          <w:szCs w:val="20"/>
        </w:rPr>
        <w:t>al reporting includes those policies and procedures that (i) pertain to the maintenance of records that, in reasonable detail, accurately and fairly reflect the transactions and dispositions of our assets; (ii) provide reasonable assurance that transaction</w:t>
      </w:r>
      <w:r>
        <w:rPr>
          <w:rFonts w:ascii="Arial" w:eastAsia="Times New Roman" w:hAnsi="Arial" w:cs="Arial"/>
          <w:color w:val="000000"/>
          <w:sz w:val="20"/>
          <w:szCs w:val="20"/>
        </w:rPr>
        <w:t xml:space="preserve">s are recorded as necessary to permit preparation of financial statements in accordance with accounting principles generally accepted in the United States of America, and that receipts and expenditures are being made only in accordance with authorizations </w:t>
      </w:r>
      <w:r>
        <w:rPr>
          <w:rFonts w:ascii="Arial" w:eastAsia="Times New Roman" w:hAnsi="Arial" w:cs="Arial"/>
          <w:color w:val="000000"/>
          <w:sz w:val="20"/>
          <w:szCs w:val="20"/>
        </w:rPr>
        <w:t>of management and our directors; and (iii) provide reasonable assurance regarding prevention or timely detection of the unauthorized acquisition, use or disposition of assets that could have a material effect on the financial statements.</w:t>
      </w:r>
    </w:p>
    <w:p w:rsidR="00000000" w:rsidRDefault="002223F7">
      <w:pPr>
        <w:jc w:val="both"/>
        <w:divId w:val="518544680"/>
        <w:rPr>
          <w:rFonts w:eastAsia="Times New Roman"/>
        </w:rPr>
      </w:pPr>
      <w:r>
        <w:rPr>
          <w:rFonts w:ascii="Arial" w:eastAsia="Times New Roman" w:hAnsi="Arial" w:cs="Arial"/>
          <w:color w:val="000000"/>
          <w:sz w:val="20"/>
          <w:szCs w:val="20"/>
        </w:rPr>
        <w:t>Because of its inh</w:t>
      </w:r>
      <w:r>
        <w:rPr>
          <w:rFonts w:ascii="Arial" w:eastAsia="Times New Roman" w:hAnsi="Arial" w:cs="Arial"/>
          <w:color w:val="000000"/>
          <w:sz w:val="20"/>
          <w:szCs w:val="20"/>
        </w:rPr>
        <w:t>erent limitations, internal control over financial reporting may not prevent or detect misstatements. Also, projections of any evaluation of effectiveness to future periods are subject to the risk that controls may become inadequate because of changes in c</w:t>
      </w:r>
      <w:r>
        <w:rPr>
          <w:rFonts w:ascii="Arial" w:eastAsia="Times New Roman" w:hAnsi="Arial" w:cs="Arial"/>
          <w:color w:val="000000"/>
          <w:sz w:val="20"/>
          <w:szCs w:val="20"/>
        </w:rPr>
        <w:t>onditions, or that the degree of compliance with the policies or procedures may deteriorate.</w:t>
      </w:r>
    </w:p>
    <w:p w:rsidR="00000000" w:rsidRDefault="002223F7">
      <w:pPr>
        <w:jc w:val="center"/>
        <w:divId w:val="1741322203"/>
        <w:rPr>
          <w:rFonts w:eastAsia="Times New Roman"/>
        </w:rPr>
      </w:pPr>
      <w:r>
        <w:rPr>
          <w:rFonts w:ascii="Arial" w:eastAsia="Times New Roman" w:hAnsi="Arial" w:cs="Arial"/>
          <w:color w:val="000000"/>
          <w:sz w:val="16"/>
          <w:szCs w:val="16"/>
        </w:rPr>
        <w:t>35</w:t>
      </w:r>
    </w:p>
    <w:p w:rsidR="00000000" w:rsidRDefault="002223F7">
      <w:pPr>
        <w:rPr>
          <w:rFonts w:eastAsia="Times New Roman"/>
        </w:rPr>
      </w:pPr>
      <w:r>
        <w:rPr>
          <w:rFonts w:eastAsia="Times New Roman"/>
        </w:rPr>
        <w:pict>
          <v:rect id="_x0000_i1066" style="width:0;height:1.5pt" o:hralign="center" o:hrstd="t" o:hr="t" fillcolor="#a0a0a0" stroked="f"/>
        </w:pict>
      </w:r>
    </w:p>
    <w:p w:rsidR="00000000" w:rsidRDefault="002223F7">
      <w:pPr>
        <w:jc w:val="both"/>
        <w:divId w:val="1102534699"/>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192427442"/>
        <w:rPr>
          <w:rFonts w:eastAsia="Times New Roman"/>
        </w:rPr>
      </w:pPr>
      <w:r>
        <w:rPr>
          <w:rFonts w:ascii="Arial" w:eastAsia="Times New Roman" w:hAnsi="Arial" w:cs="Arial"/>
          <w:color w:val="000000"/>
          <w:sz w:val="20"/>
          <w:szCs w:val="20"/>
        </w:rPr>
        <w:t>Management has assessed the effectiveness of our internal control over financial reporting as of December 31, 2022 using the framework specified in Internal Control – Integrated Framework (2013) issued by the Committee of Sponsoring Organizations</w:t>
      </w:r>
      <w:r>
        <w:rPr>
          <w:rFonts w:ascii="Arial" w:eastAsia="Times New Roman" w:hAnsi="Arial" w:cs="Arial"/>
          <w:color w:val="000000"/>
          <w:sz w:val="20"/>
          <w:szCs w:val="20"/>
        </w:rPr>
        <w:t xml:space="preserve"> of the Treadway Commission (COSO). Based on such assessment, management has concluded that our internal control over financial reporting was effective as of December 31, 2022. Management has excluded Flyers Energy Group, LLC ("Flyers"), which was acquired</w:t>
      </w:r>
      <w:r>
        <w:rPr>
          <w:rFonts w:ascii="Arial" w:eastAsia="Times New Roman" w:hAnsi="Arial" w:cs="Arial"/>
          <w:color w:val="000000"/>
          <w:sz w:val="20"/>
          <w:szCs w:val="20"/>
        </w:rPr>
        <w:t xml:space="preserve"> on January 3, 2022, from its assessment of internal control over financial reporting as of December 31, 2022. The total assets and total revenues of Flyers represents approximately 11% and 6%, respectively, of the related consolidated financial statement </w:t>
      </w:r>
      <w:r>
        <w:rPr>
          <w:rFonts w:ascii="Arial" w:eastAsia="Times New Roman" w:hAnsi="Arial" w:cs="Arial"/>
          <w:color w:val="000000"/>
          <w:sz w:val="20"/>
          <w:szCs w:val="20"/>
        </w:rPr>
        <w:t>amounts as of and for the year ended December 31, 2022.</w:t>
      </w:r>
    </w:p>
    <w:p w:rsidR="00000000" w:rsidRDefault="002223F7">
      <w:pPr>
        <w:jc w:val="both"/>
        <w:divId w:val="307978384"/>
        <w:rPr>
          <w:rFonts w:eastAsia="Times New Roman"/>
        </w:rPr>
      </w:pPr>
      <w:r>
        <w:rPr>
          <w:rFonts w:ascii="Arial" w:eastAsia="Times New Roman" w:hAnsi="Arial" w:cs="Arial"/>
          <w:color w:val="000000"/>
          <w:sz w:val="20"/>
          <w:szCs w:val="20"/>
        </w:rPr>
        <w:t>The effectiveness of our internal control over financial reporting as of December 31, 2022 has been audited by PricewaterhouseCoopers LLP, an independent registered public accounting firm, as stated i</w:t>
      </w:r>
      <w:r>
        <w:rPr>
          <w:rFonts w:ascii="Arial" w:eastAsia="Times New Roman" w:hAnsi="Arial" w:cs="Arial"/>
          <w:color w:val="000000"/>
          <w:sz w:val="20"/>
          <w:szCs w:val="20"/>
        </w:rPr>
        <w:t>n their report appearing herein.</w:t>
      </w:r>
    </w:p>
    <w:p w:rsidR="00000000" w:rsidRDefault="002223F7">
      <w:pPr>
        <w:divId w:val="663972830"/>
        <w:rPr>
          <w:rFonts w:eastAsia="Times New Roman"/>
        </w:rPr>
      </w:pPr>
      <w:r>
        <w:rPr>
          <w:rFonts w:ascii="Arial" w:eastAsia="Times New Roman" w:hAnsi="Arial" w:cs="Arial"/>
          <w:b/>
          <w:bCs/>
          <w:color w:val="000000"/>
          <w:sz w:val="20"/>
          <w:szCs w:val="20"/>
        </w:rPr>
        <w:t>Changes in Internal Control over Financial Reporting</w:t>
      </w:r>
    </w:p>
    <w:p w:rsidR="00000000" w:rsidRDefault="002223F7">
      <w:pPr>
        <w:jc w:val="both"/>
        <w:divId w:val="1148716116"/>
        <w:rPr>
          <w:rFonts w:eastAsia="Times New Roman"/>
        </w:rPr>
      </w:pPr>
      <w:r>
        <w:rPr>
          <w:rFonts w:ascii="Arial" w:eastAsia="Times New Roman" w:hAnsi="Arial" w:cs="Arial"/>
          <w:color w:val="000000"/>
          <w:sz w:val="20"/>
          <w:szCs w:val="20"/>
        </w:rPr>
        <w:t xml:space="preserve">There were no changes in our internal control over financial reporting that materially affected, or are reasonably likely to materially affect, our internal control over </w:t>
      </w:r>
      <w:r>
        <w:rPr>
          <w:rFonts w:ascii="Arial" w:eastAsia="Times New Roman" w:hAnsi="Arial" w:cs="Arial"/>
          <w:color w:val="000000"/>
          <w:sz w:val="20"/>
          <w:szCs w:val="20"/>
        </w:rPr>
        <w:t>financial reporting during the quarter ended December 31, 2022.</w:t>
      </w:r>
    </w:p>
    <w:p w:rsidR="00000000" w:rsidRDefault="002223F7">
      <w:pPr>
        <w:divId w:val="49504705"/>
        <w:rPr>
          <w:rFonts w:eastAsia="Times New Roman"/>
        </w:rPr>
      </w:pPr>
      <w:r>
        <w:rPr>
          <w:rFonts w:ascii="Arial" w:eastAsia="Times New Roman" w:hAnsi="Arial" w:cs="Arial"/>
          <w:b/>
          <w:bCs/>
          <w:color w:val="000000"/>
          <w:sz w:val="20"/>
          <w:szCs w:val="20"/>
        </w:rPr>
        <w:t>Effectiveness of Internal Control</w:t>
      </w:r>
    </w:p>
    <w:p w:rsidR="00000000" w:rsidRDefault="002223F7">
      <w:pPr>
        <w:jc w:val="both"/>
        <w:divId w:val="1117524470"/>
        <w:rPr>
          <w:rFonts w:eastAsia="Times New Roman"/>
        </w:rPr>
      </w:pPr>
      <w:r>
        <w:rPr>
          <w:rFonts w:ascii="Arial" w:eastAsia="Times New Roman" w:hAnsi="Arial" w:cs="Arial"/>
          <w:color w:val="000000"/>
          <w:sz w:val="20"/>
          <w:szCs w:val="20"/>
        </w:rPr>
        <w:t>It should be noted that any system of controls, however well designed and operated, can provide only reasonable, and not absolute, assurance that the objectiv</w:t>
      </w:r>
      <w:r>
        <w:rPr>
          <w:rFonts w:ascii="Arial" w:eastAsia="Times New Roman" w:hAnsi="Arial" w:cs="Arial"/>
          <w:color w:val="000000"/>
          <w:sz w:val="20"/>
          <w:szCs w:val="20"/>
        </w:rPr>
        <w:t>es of the system will be met. In addition, the design of any control system is based in part upon certain assumptions about the likelihood of future events. Because of these and other inherent limitations of control systems, there is only the reasonable as</w:t>
      </w:r>
      <w:r>
        <w:rPr>
          <w:rFonts w:ascii="Arial" w:eastAsia="Times New Roman" w:hAnsi="Arial" w:cs="Arial"/>
          <w:color w:val="000000"/>
          <w:sz w:val="20"/>
          <w:szCs w:val="20"/>
        </w:rPr>
        <w:t>surance that our controls will succeed in achieving their goals under all potential future conditions.</w:t>
      </w:r>
    </w:p>
    <w:p w:rsidR="00000000" w:rsidRDefault="002223F7">
      <w:pPr>
        <w:divId w:val="147326836"/>
        <w:rPr>
          <w:rFonts w:eastAsia="Times New Roman"/>
        </w:rPr>
      </w:pPr>
      <w:r>
        <w:rPr>
          <w:rFonts w:ascii="Arial" w:eastAsia="Times New Roman" w:hAnsi="Arial" w:cs="Arial"/>
          <w:b/>
          <w:bCs/>
          <w:color w:val="000000"/>
        </w:rPr>
        <w:t>Item 9B. Other Information</w:t>
      </w:r>
    </w:p>
    <w:p w:rsidR="00000000" w:rsidRDefault="002223F7">
      <w:pPr>
        <w:jc w:val="both"/>
        <w:divId w:val="1709603767"/>
        <w:rPr>
          <w:rFonts w:eastAsia="Times New Roman"/>
        </w:rPr>
      </w:pPr>
      <w:r>
        <w:rPr>
          <w:rFonts w:ascii="Arial" w:eastAsia="Times New Roman" w:hAnsi="Arial" w:cs="Arial"/>
          <w:color w:val="000000"/>
          <w:sz w:val="20"/>
          <w:szCs w:val="20"/>
        </w:rPr>
        <w:t>None.</w:t>
      </w:r>
    </w:p>
    <w:p w:rsidR="00000000" w:rsidRDefault="002223F7">
      <w:pPr>
        <w:divId w:val="980042745"/>
        <w:rPr>
          <w:rFonts w:eastAsia="Times New Roman"/>
        </w:rPr>
      </w:pPr>
      <w:r>
        <w:rPr>
          <w:rFonts w:ascii="Arial" w:eastAsia="Times New Roman" w:hAnsi="Arial" w:cs="Arial"/>
          <w:b/>
          <w:bCs/>
          <w:color w:val="000000"/>
        </w:rPr>
        <w:t>Item 9C. Disclosure Regarding Foreign Jurisdictions that Prevent Inspections</w:t>
      </w:r>
    </w:p>
    <w:p w:rsidR="00000000" w:rsidRDefault="002223F7">
      <w:pPr>
        <w:jc w:val="both"/>
        <w:divId w:val="1029336673"/>
        <w:rPr>
          <w:rFonts w:eastAsia="Times New Roman"/>
        </w:rPr>
      </w:pPr>
      <w:r>
        <w:rPr>
          <w:rFonts w:ascii="Arial" w:eastAsia="Times New Roman" w:hAnsi="Arial" w:cs="Arial"/>
          <w:color w:val="000000"/>
          <w:sz w:val="20"/>
          <w:szCs w:val="20"/>
        </w:rPr>
        <w:t>None.</w:t>
      </w:r>
    </w:p>
    <w:p w:rsidR="00000000" w:rsidRDefault="002223F7">
      <w:pPr>
        <w:jc w:val="center"/>
        <w:divId w:val="601032697"/>
        <w:rPr>
          <w:rFonts w:eastAsia="Times New Roman"/>
        </w:rPr>
      </w:pPr>
      <w:r>
        <w:rPr>
          <w:rFonts w:ascii="Arial" w:eastAsia="Times New Roman" w:hAnsi="Arial" w:cs="Arial"/>
          <w:color w:val="000000"/>
          <w:sz w:val="16"/>
          <w:szCs w:val="16"/>
        </w:rPr>
        <w:t>36</w:t>
      </w:r>
    </w:p>
    <w:p w:rsidR="00000000" w:rsidRDefault="002223F7">
      <w:pPr>
        <w:rPr>
          <w:rFonts w:eastAsia="Times New Roman"/>
        </w:rPr>
      </w:pPr>
      <w:r>
        <w:rPr>
          <w:rFonts w:eastAsia="Times New Roman"/>
        </w:rPr>
        <w:pict>
          <v:rect id="_x0000_i1067" style="width:0;height:1.5pt" o:hralign="center" o:hrstd="t" o:hr="t" fillcolor="#a0a0a0" stroked="f"/>
        </w:pict>
      </w:r>
    </w:p>
    <w:p w:rsidR="00000000" w:rsidRDefault="002223F7">
      <w:pPr>
        <w:jc w:val="both"/>
        <w:divId w:val="1193883884"/>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divId w:val="558130789"/>
        <w:rPr>
          <w:rFonts w:eastAsia="Times New Roman"/>
        </w:rPr>
      </w:pPr>
      <w:r>
        <w:rPr>
          <w:rFonts w:ascii="Arial" w:eastAsia="Times New Roman" w:hAnsi="Arial" w:cs="Arial"/>
          <w:b/>
          <w:bCs/>
          <w:color w:val="000000"/>
        </w:rPr>
        <w:t>PART III</w:t>
      </w:r>
    </w:p>
    <w:p w:rsidR="00000000" w:rsidRDefault="002223F7">
      <w:pPr>
        <w:divId w:val="1576822888"/>
        <w:rPr>
          <w:rFonts w:eastAsia="Times New Roman"/>
        </w:rPr>
      </w:pPr>
      <w:r>
        <w:rPr>
          <w:rFonts w:ascii="Arial" w:eastAsia="Times New Roman" w:hAnsi="Arial" w:cs="Arial"/>
          <w:b/>
          <w:bCs/>
          <w:color w:val="000000"/>
        </w:rPr>
        <w:t>Item </w:t>
      </w:r>
      <w:r>
        <w:rPr>
          <w:rFonts w:ascii="Arial" w:eastAsia="Times New Roman" w:hAnsi="Arial" w:cs="Arial"/>
          <w:b/>
          <w:bCs/>
          <w:color w:val="000000"/>
        </w:rPr>
        <w:t>10. Directors, Executive Officers and Corporate Governance</w:t>
      </w:r>
    </w:p>
    <w:p w:rsidR="00000000" w:rsidRDefault="002223F7">
      <w:pPr>
        <w:jc w:val="both"/>
        <w:divId w:val="313416998"/>
        <w:rPr>
          <w:rFonts w:eastAsia="Times New Roman"/>
        </w:rPr>
      </w:pPr>
      <w:r>
        <w:rPr>
          <w:rFonts w:ascii="Arial" w:eastAsia="Times New Roman" w:hAnsi="Arial" w:cs="Arial"/>
          <w:color w:val="000000"/>
          <w:sz w:val="20"/>
          <w:szCs w:val="20"/>
        </w:rPr>
        <w:t>We have adopted a Code of Conduct that applies to all of our employees, officers (including our principal executive, financial and accounting officers) and directors. The Code of Conduct is located</w:t>
      </w:r>
      <w:r>
        <w:rPr>
          <w:rFonts w:ascii="Arial" w:eastAsia="Times New Roman" w:hAnsi="Arial" w:cs="Arial"/>
          <w:color w:val="000000"/>
          <w:sz w:val="20"/>
          <w:szCs w:val="20"/>
        </w:rPr>
        <w:t xml:space="preserve"> on our website at http://www.wfscorp.com under "Investor Relations – Corporate Governance – Code of Conduct." We intend to disclose any amendments to our Code of Conduct or waivers with respect to our Code of Conduct granted to our principal executive, fi</w:t>
      </w:r>
      <w:r>
        <w:rPr>
          <w:rFonts w:ascii="Arial" w:eastAsia="Times New Roman" w:hAnsi="Arial" w:cs="Arial"/>
          <w:color w:val="000000"/>
          <w:sz w:val="20"/>
          <w:szCs w:val="20"/>
        </w:rPr>
        <w:t>nancial and accounting officers on our website.</w:t>
      </w:r>
    </w:p>
    <w:p w:rsidR="00000000" w:rsidRDefault="002223F7">
      <w:pPr>
        <w:jc w:val="both"/>
        <w:divId w:val="474301567"/>
        <w:rPr>
          <w:rFonts w:eastAsia="Times New Roman"/>
        </w:rPr>
      </w:pPr>
      <w:r>
        <w:rPr>
          <w:rFonts w:ascii="Arial" w:eastAsia="Times New Roman" w:hAnsi="Arial" w:cs="Arial"/>
          <w:color w:val="000000"/>
          <w:sz w:val="20"/>
          <w:szCs w:val="20"/>
        </w:rPr>
        <w:t>The remaining information regarding our directors, executive officers and corporate governance is incorporated herein by reference from "Proposal No. 1--Election of Directors," "Corporate Governance" and "Inf</w:t>
      </w:r>
      <w:r>
        <w:rPr>
          <w:rFonts w:ascii="Arial" w:eastAsia="Times New Roman" w:hAnsi="Arial" w:cs="Arial"/>
          <w:color w:val="000000"/>
          <w:sz w:val="20"/>
          <w:szCs w:val="20"/>
        </w:rPr>
        <w:t>ormation Concerning Executive Officers" in our Definitive Proxy Statement for the 2023 Annual Meeting of Shareholders ("2023 Proxy") to be filed pursuant to Regulation 14A within 120 days after the close of the fiscal year ended December 31, 2022.</w:t>
      </w:r>
    </w:p>
    <w:p w:rsidR="00000000" w:rsidRDefault="002223F7">
      <w:pPr>
        <w:divId w:val="1254781701"/>
        <w:rPr>
          <w:rFonts w:eastAsia="Times New Roman"/>
        </w:rPr>
      </w:pPr>
      <w:r>
        <w:rPr>
          <w:rFonts w:ascii="Arial" w:eastAsia="Times New Roman" w:hAnsi="Arial" w:cs="Arial"/>
          <w:b/>
          <w:bCs/>
          <w:color w:val="000000"/>
        </w:rPr>
        <w:t>Item 11.</w:t>
      </w:r>
      <w:r>
        <w:rPr>
          <w:rFonts w:ascii="Arial" w:eastAsia="Times New Roman" w:hAnsi="Arial" w:cs="Arial"/>
          <w:b/>
          <w:bCs/>
          <w:color w:val="000000"/>
        </w:rPr>
        <w:t xml:space="preserve"> Executive Compensation</w:t>
      </w:r>
    </w:p>
    <w:p w:rsidR="00000000" w:rsidRDefault="002223F7">
      <w:pPr>
        <w:jc w:val="both"/>
        <w:divId w:val="800536987"/>
        <w:rPr>
          <w:rFonts w:eastAsia="Times New Roman"/>
        </w:rPr>
      </w:pPr>
      <w:r>
        <w:rPr>
          <w:rFonts w:ascii="Arial" w:eastAsia="Times New Roman" w:hAnsi="Arial" w:cs="Arial"/>
          <w:color w:val="000000"/>
          <w:sz w:val="20"/>
          <w:szCs w:val="20"/>
        </w:rPr>
        <w:t>Information on executive compensation is incorporated herein by reference from "Corporate Governance--Director Compensation and Ownership Guidelines," "Compensation Discussion and Analysis," and "Executive Compensation Tables" in ou</w:t>
      </w:r>
      <w:r>
        <w:rPr>
          <w:rFonts w:ascii="Arial" w:eastAsia="Times New Roman" w:hAnsi="Arial" w:cs="Arial"/>
          <w:color w:val="000000"/>
          <w:sz w:val="20"/>
          <w:szCs w:val="20"/>
        </w:rPr>
        <w:t>r 2023 Proxy to be filed pursuant to Regulation 14A within 120 days after the close of the fiscal year ended December 31, 2022.</w:t>
      </w:r>
    </w:p>
    <w:p w:rsidR="00000000" w:rsidRDefault="002223F7">
      <w:pPr>
        <w:divId w:val="132841752"/>
        <w:rPr>
          <w:rFonts w:eastAsia="Times New Roman"/>
        </w:rPr>
      </w:pPr>
      <w:r>
        <w:rPr>
          <w:rFonts w:ascii="Arial" w:eastAsia="Times New Roman" w:hAnsi="Arial" w:cs="Arial"/>
          <w:b/>
          <w:bCs/>
          <w:color w:val="000000"/>
        </w:rPr>
        <w:t>Item 12. Security Ownership of Certain Beneficial Owners and Management and Related Shareholder Matters</w:t>
      </w:r>
    </w:p>
    <w:p w:rsidR="00000000" w:rsidRDefault="002223F7">
      <w:pPr>
        <w:jc w:val="both"/>
        <w:divId w:val="204174192"/>
        <w:rPr>
          <w:rFonts w:eastAsia="Times New Roman"/>
        </w:rPr>
      </w:pPr>
      <w:r>
        <w:rPr>
          <w:rFonts w:ascii="Arial" w:eastAsia="Times New Roman" w:hAnsi="Arial" w:cs="Arial"/>
          <w:color w:val="000000"/>
          <w:sz w:val="20"/>
          <w:szCs w:val="20"/>
        </w:rPr>
        <w:t xml:space="preserve">Information on security </w:t>
      </w:r>
      <w:r>
        <w:rPr>
          <w:rFonts w:ascii="Arial" w:eastAsia="Times New Roman" w:hAnsi="Arial" w:cs="Arial"/>
          <w:color w:val="000000"/>
          <w:sz w:val="20"/>
          <w:szCs w:val="20"/>
        </w:rPr>
        <w:t xml:space="preserve">ownership of certain beneficial owners and management and related shareholder matters is incorporated herein by reference from "Security Ownership of Certain Beneficial Owners and Management" in our 2023 Proxy to be filed pursuant to Regulation 14A within </w:t>
      </w:r>
      <w:r>
        <w:rPr>
          <w:rFonts w:ascii="Arial" w:eastAsia="Times New Roman" w:hAnsi="Arial" w:cs="Arial"/>
          <w:color w:val="000000"/>
          <w:sz w:val="20"/>
          <w:szCs w:val="20"/>
        </w:rPr>
        <w:t>120 days after the close of the fiscal year ended December 31, 2022.</w:t>
      </w:r>
    </w:p>
    <w:p w:rsidR="00000000" w:rsidRDefault="002223F7">
      <w:pPr>
        <w:divId w:val="862472224"/>
        <w:rPr>
          <w:rFonts w:eastAsia="Times New Roman"/>
        </w:rPr>
      </w:pPr>
      <w:r>
        <w:rPr>
          <w:rFonts w:ascii="Arial" w:eastAsia="Times New Roman" w:hAnsi="Arial" w:cs="Arial"/>
          <w:b/>
          <w:bCs/>
          <w:color w:val="000000"/>
        </w:rPr>
        <w:t>Item 13. Certain Relationships and Related Transactions, and Director Independence</w:t>
      </w:r>
    </w:p>
    <w:p w:rsidR="00000000" w:rsidRDefault="002223F7">
      <w:pPr>
        <w:jc w:val="both"/>
        <w:divId w:val="139277382"/>
        <w:rPr>
          <w:rFonts w:eastAsia="Times New Roman"/>
        </w:rPr>
      </w:pPr>
      <w:r>
        <w:rPr>
          <w:rFonts w:ascii="Arial" w:eastAsia="Times New Roman" w:hAnsi="Arial" w:cs="Arial"/>
          <w:color w:val="000000"/>
          <w:sz w:val="20"/>
          <w:szCs w:val="20"/>
        </w:rPr>
        <w:t xml:space="preserve">Information on certain relationships and related transactions and director independence is incorporated </w:t>
      </w:r>
      <w:r>
        <w:rPr>
          <w:rFonts w:ascii="Arial" w:eastAsia="Times New Roman" w:hAnsi="Arial" w:cs="Arial"/>
          <w:color w:val="000000"/>
          <w:sz w:val="20"/>
          <w:szCs w:val="20"/>
        </w:rPr>
        <w:t>herein by reference from "Corporate Governance--Review and Approval of Related Person Transactions" and "Corporate Governance--Board and Committee Governance--Director Independence" in our 2023 Proxy to be filed pursuant to Regulation 14A within 120 days a</w:t>
      </w:r>
      <w:r>
        <w:rPr>
          <w:rFonts w:ascii="Arial" w:eastAsia="Times New Roman" w:hAnsi="Arial" w:cs="Arial"/>
          <w:color w:val="000000"/>
          <w:sz w:val="20"/>
          <w:szCs w:val="20"/>
        </w:rPr>
        <w:t>fter the close of the fiscal year ended December 31, 2022.</w:t>
      </w:r>
    </w:p>
    <w:p w:rsidR="00000000" w:rsidRDefault="002223F7">
      <w:pPr>
        <w:divId w:val="1796411427"/>
        <w:rPr>
          <w:rFonts w:eastAsia="Times New Roman"/>
        </w:rPr>
      </w:pPr>
      <w:r>
        <w:rPr>
          <w:rFonts w:ascii="Arial" w:eastAsia="Times New Roman" w:hAnsi="Arial" w:cs="Arial"/>
          <w:b/>
          <w:bCs/>
          <w:color w:val="000000"/>
        </w:rPr>
        <w:t>Item 14. Principal Accountant Fees and Services</w:t>
      </w:r>
    </w:p>
    <w:p w:rsidR="00000000" w:rsidRDefault="002223F7">
      <w:pPr>
        <w:jc w:val="both"/>
        <w:divId w:val="391973216"/>
        <w:rPr>
          <w:rFonts w:eastAsia="Times New Roman"/>
        </w:rPr>
      </w:pPr>
      <w:r>
        <w:rPr>
          <w:rFonts w:ascii="Arial" w:eastAsia="Times New Roman" w:hAnsi="Arial" w:cs="Arial"/>
          <w:color w:val="000000"/>
          <w:sz w:val="20"/>
          <w:szCs w:val="20"/>
        </w:rPr>
        <w:t>Information on principal accounting fees and services is incorporated herein by reference from "Proposal No. 3--Ratification of Independent Registere</w:t>
      </w:r>
      <w:r>
        <w:rPr>
          <w:rFonts w:ascii="Arial" w:eastAsia="Times New Roman" w:hAnsi="Arial" w:cs="Arial"/>
          <w:color w:val="000000"/>
          <w:sz w:val="20"/>
          <w:szCs w:val="20"/>
        </w:rPr>
        <w:t>d Certified Public Accounting Firm--Fees and Services of PricewaterhouseCoopers LLP" in our 2023 Proxy to be filed pursuant to Regulation 14A within 120 days after the close of the fiscal year ended December 31, 2022.</w:t>
      </w:r>
    </w:p>
    <w:p w:rsidR="00000000" w:rsidRDefault="002223F7">
      <w:pPr>
        <w:jc w:val="center"/>
        <w:divId w:val="754664044"/>
        <w:rPr>
          <w:rFonts w:eastAsia="Times New Roman"/>
        </w:rPr>
      </w:pPr>
      <w:r>
        <w:rPr>
          <w:rFonts w:ascii="Arial" w:eastAsia="Times New Roman" w:hAnsi="Arial" w:cs="Arial"/>
          <w:color w:val="000000"/>
          <w:sz w:val="16"/>
          <w:szCs w:val="16"/>
        </w:rPr>
        <w:t>37</w:t>
      </w:r>
    </w:p>
    <w:p w:rsidR="00000000" w:rsidRDefault="002223F7">
      <w:pPr>
        <w:rPr>
          <w:rFonts w:eastAsia="Times New Roman"/>
        </w:rPr>
      </w:pPr>
      <w:r>
        <w:rPr>
          <w:rFonts w:eastAsia="Times New Roman"/>
        </w:rPr>
        <w:pict>
          <v:rect id="_x0000_i1068" style="width:0;height:1.5pt" o:hralign="center" o:hrstd="t" o:hr="t" fillcolor="#a0a0a0" stroked="f"/>
        </w:pict>
      </w:r>
    </w:p>
    <w:p w:rsidR="00000000" w:rsidRDefault="002223F7">
      <w:pPr>
        <w:jc w:val="both"/>
        <w:divId w:val="1612008386"/>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divId w:val="354233726"/>
        <w:rPr>
          <w:rFonts w:eastAsia="Times New Roman"/>
        </w:rPr>
      </w:pPr>
      <w:r>
        <w:rPr>
          <w:rFonts w:ascii="Arial" w:eastAsia="Times New Roman" w:hAnsi="Arial" w:cs="Arial"/>
          <w:b/>
          <w:bCs/>
          <w:color w:val="000000"/>
        </w:rPr>
        <w:t>PART IV</w:t>
      </w:r>
    </w:p>
    <w:p w:rsidR="00000000" w:rsidRDefault="002223F7">
      <w:pPr>
        <w:divId w:val="1547721915"/>
        <w:rPr>
          <w:rFonts w:eastAsia="Times New Roman"/>
        </w:rPr>
      </w:pPr>
      <w:r>
        <w:rPr>
          <w:rFonts w:ascii="Arial" w:eastAsia="Times New Roman" w:hAnsi="Arial" w:cs="Arial"/>
          <w:b/>
          <w:bCs/>
          <w:color w:val="000000"/>
        </w:rPr>
        <w:t>Item 15. Exhibits, Financial Statement Schedules</w:t>
      </w:r>
    </w:p>
    <w:tbl>
      <w:tblPr>
        <w:tblW w:w="4992" w:type="pct"/>
        <w:tblCellMar>
          <w:top w:w="15" w:type="dxa"/>
          <w:left w:w="15" w:type="dxa"/>
          <w:bottom w:w="15" w:type="dxa"/>
          <w:right w:w="15" w:type="dxa"/>
        </w:tblCellMar>
        <w:tblLook w:val="04A0" w:firstRow="1" w:lastRow="0" w:firstColumn="1" w:lastColumn="0" w:noHBand="0" w:noVBand="1"/>
      </w:tblPr>
      <w:tblGrid>
        <w:gridCol w:w="71"/>
        <w:gridCol w:w="509"/>
        <w:gridCol w:w="36"/>
        <w:gridCol w:w="73"/>
        <w:gridCol w:w="240"/>
        <w:gridCol w:w="40"/>
        <w:gridCol w:w="68"/>
        <w:gridCol w:w="6733"/>
        <w:gridCol w:w="38"/>
        <w:gridCol w:w="69"/>
        <w:gridCol w:w="379"/>
        <w:gridCol w:w="37"/>
      </w:tblGrid>
      <w:tr w:rsidR="00000000">
        <w:trPr>
          <w:divId w:val="2027170339"/>
        </w:trPr>
        <w:tc>
          <w:tcPr>
            <w:tcW w:w="50" w:type="pct"/>
            <w:vAlign w:val="center"/>
            <w:hideMark/>
          </w:tcPr>
          <w:p w:rsidR="00000000" w:rsidRDefault="002223F7">
            <w:pPr>
              <w:rPr>
                <w:rFonts w:eastAsia="Times New Roman"/>
              </w:rPr>
            </w:pPr>
          </w:p>
        </w:tc>
        <w:tc>
          <w:tcPr>
            <w:tcW w:w="318"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15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066"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23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2027170339"/>
        </w:trPr>
        <w:tc>
          <w:tcPr>
            <w:tcW w:w="0" w:type="auto"/>
            <w:gridSpan w:val="3"/>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(a)(1)</w:t>
            </w:r>
          </w:p>
        </w:tc>
        <w:tc>
          <w:tcPr>
            <w:tcW w:w="0" w:type="auto"/>
            <w:gridSpan w:val="9"/>
            <w:tcMar>
              <w:top w:w="30" w:type="dxa"/>
              <w:left w:w="20" w:type="dxa"/>
              <w:bottom w:w="30" w:type="dxa"/>
              <w:right w:w="20" w:type="dxa"/>
            </w:tcMar>
            <w:vAlign w:val="bottom"/>
            <w:hideMark/>
          </w:tcPr>
          <w:p w:rsidR="00000000" w:rsidRDefault="002223F7">
            <w:pPr>
              <w:spacing w:after="100"/>
              <w:divId w:val="486021352"/>
              <w:rPr>
                <w:rFonts w:eastAsia="Times New Roman"/>
              </w:rPr>
            </w:pPr>
            <w:r>
              <w:rPr>
                <w:rFonts w:ascii="Arial" w:eastAsia="Times New Roman" w:hAnsi="Arial" w:cs="Arial"/>
                <w:color w:val="000000"/>
                <w:sz w:val="20"/>
                <w:szCs w:val="20"/>
              </w:rPr>
              <w:t>The following Consolidated Financial Statements are filed as a part of this 2022 10</w:t>
            </w:r>
            <w:r>
              <w:rPr>
                <w:rFonts w:ascii="Arial" w:eastAsia="Times New Roman" w:hAnsi="Arial" w:cs="Arial"/>
                <w:color w:val="000000"/>
                <w:sz w:val="20"/>
                <w:szCs w:val="20"/>
              </w:rPr>
              <w:noBreakHyphen/>
              <w:t>K Report:</w:t>
            </w:r>
          </w:p>
        </w:tc>
      </w:tr>
      <w:tr w:rsidR="00000000">
        <w:trPr>
          <w:divId w:val="2027170339"/>
          <w:trHeight w:val="60"/>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027170339"/>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2223F7">
            <w:pPr>
              <w:spacing w:after="100"/>
              <w:divId w:val="182986826"/>
              <w:rPr>
                <w:rFonts w:eastAsia="Times New Roman"/>
              </w:rPr>
            </w:pPr>
            <w:hyperlink w:anchor="ic88e567e3f8642dcb6f41d9ec77f1b73_121" w:history="1">
              <w:r>
                <w:rPr>
                  <w:rStyle w:val="a3"/>
                  <w:rFonts w:ascii="Arial" w:eastAsia="Times New Roman" w:hAnsi="Arial" w:cs="Arial"/>
                  <w:sz w:val="20"/>
                  <w:szCs w:val="20"/>
                </w:rPr>
                <w:t>(i)</w:t>
              </w:r>
            </w:hyperlink>
          </w:p>
        </w:tc>
        <w:tc>
          <w:tcPr>
            <w:tcW w:w="0" w:type="auto"/>
            <w:gridSpan w:val="3"/>
            <w:tcMar>
              <w:top w:w="30" w:type="dxa"/>
              <w:left w:w="20" w:type="dxa"/>
              <w:bottom w:w="30" w:type="dxa"/>
              <w:right w:w="20" w:type="dxa"/>
            </w:tcMar>
            <w:hideMark/>
          </w:tcPr>
          <w:p w:rsidR="00000000" w:rsidRDefault="002223F7">
            <w:pPr>
              <w:spacing w:after="100"/>
              <w:divId w:val="731461435"/>
              <w:rPr>
                <w:rFonts w:eastAsia="Times New Roman"/>
              </w:rPr>
            </w:pPr>
            <w:hyperlink w:anchor="ic88e567e3f8642dcb6f41d9ec77f1b73_121" w:history="1">
              <w:r>
                <w:rPr>
                  <w:rStyle w:val="a3"/>
                  <w:rFonts w:ascii="Arial" w:eastAsia="Times New Roman" w:hAnsi="Arial" w:cs="Arial"/>
                  <w:sz w:val="20"/>
                  <w:szCs w:val="20"/>
                </w:rPr>
                <w:t>Report of Independent Registered Public Accounting Firm</w:t>
              </w:r>
            </w:hyperlink>
            <w:r>
              <w:rPr>
                <w:rFonts w:ascii="Arial" w:eastAsia="Times New Roman" w:hAnsi="Arial" w:cs="Arial"/>
                <w:color w:val="000000"/>
                <w:sz w:val="20"/>
                <w:szCs w:val="20"/>
              </w:rPr>
              <w:t xml:space="preserve"> (PCAOB ID 238)</w:t>
            </w: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hyperlink w:anchor="ic88e567e3f8642dcb6f41d9ec77f1b73_121" w:history="1">
              <w:r>
                <w:rPr>
                  <w:rStyle w:val="a3"/>
                  <w:rFonts w:ascii="Arial" w:eastAsia="Times New Roman" w:hAnsi="Arial" w:cs="Arial"/>
                  <w:sz w:val="20"/>
                  <w:szCs w:val="20"/>
                  <w:u w:val="none"/>
                </w:rPr>
                <w:t>41</w:t>
              </w:r>
            </w:hyperlink>
          </w:p>
        </w:tc>
      </w:tr>
      <w:tr w:rsidR="00000000">
        <w:trPr>
          <w:divId w:val="2027170339"/>
          <w:trHeight w:val="60"/>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027170339"/>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2223F7">
            <w:pPr>
              <w:spacing w:after="100"/>
              <w:divId w:val="1475753770"/>
              <w:rPr>
                <w:rFonts w:eastAsia="Times New Roman"/>
              </w:rPr>
            </w:pPr>
            <w:hyperlink w:anchor="ic88e567e3f8642dcb6f41d9ec77f1b73_124" w:history="1">
              <w:r>
                <w:rPr>
                  <w:rStyle w:val="a3"/>
                  <w:rFonts w:ascii="Arial" w:eastAsia="Times New Roman" w:hAnsi="Arial" w:cs="Arial"/>
                  <w:sz w:val="20"/>
                  <w:szCs w:val="20"/>
                </w:rPr>
                <w:t>(ii)</w:t>
              </w:r>
            </w:hyperlink>
          </w:p>
        </w:tc>
        <w:tc>
          <w:tcPr>
            <w:tcW w:w="0" w:type="auto"/>
            <w:gridSpan w:val="3"/>
            <w:tcMar>
              <w:top w:w="30" w:type="dxa"/>
              <w:left w:w="20" w:type="dxa"/>
              <w:bottom w:w="30" w:type="dxa"/>
              <w:right w:w="20" w:type="dxa"/>
            </w:tcMar>
            <w:vAlign w:val="bottom"/>
            <w:hideMark/>
          </w:tcPr>
          <w:p w:rsidR="00000000" w:rsidRDefault="002223F7">
            <w:pPr>
              <w:spacing w:after="100"/>
              <w:divId w:val="1705783937"/>
              <w:rPr>
                <w:rFonts w:eastAsia="Times New Roman"/>
              </w:rPr>
            </w:pPr>
            <w:hyperlink w:anchor="ic88e567e3f8642dcb6f41d9ec77f1b73_124" w:history="1">
              <w:r>
                <w:rPr>
                  <w:rStyle w:val="a3"/>
                  <w:rFonts w:ascii="Arial" w:eastAsia="Times New Roman" w:hAnsi="Arial" w:cs="Arial"/>
                  <w:sz w:val="20"/>
                  <w:szCs w:val="20"/>
                </w:rPr>
                <w:t>Consolidated Balance Sheets</w:t>
              </w:r>
            </w:hyperlink>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hyperlink w:anchor="ic88e567e3f8642dcb6f41d9ec77f1b73_124" w:history="1">
              <w:r>
                <w:rPr>
                  <w:rStyle w:val="a3"/>
                  <w:rFonts w:ascii="Arial" w:eastAsia="Times New Roman" w:hAnsi="Arial" w:cs="Arial"/>
                  <w:sz w:val="20"/>
                  <w:szCs w:val="20"/>
                  <w:u w:val="none"/>
                </w:rPr>
                <w:t>44</w:t>
              </w:r>
            </w:hyperlink>
          </w:p>
        </w:tc>
      </w:tr>
      <w:tr w:rsidR="00000000">
        <w:trPr>
          <w:divId w:val="2027170339"/>
          <w:trHeight w:val="60"/>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027170339"/>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2223F7">
            <w:pPr>
              <w:spacing w:after="100"/>
              <w:divId w:val="346449865"/>
              <w:rPr>
                <w:rFonts w:eastAsia="Times New Roman"/>
              </w:rPr>
            </w:pPr>
            <w:hyperlink w:anchor="ic88e567e3f8642dcb6f41d9ec77f1b73_127" w:history="1">
              <w:r>
                <w:rPr>
                  <w:rStyle w:val="a3"/>
                  <w:rFonts w:ascii="Arial" w:eastAsia="Times New Roman" w:hAnsi="Arial" w:cs="Arial"/>
                  <w:sz w:val="20"/>
                  <w:szCs w:val="20"/>
                </w:rPr>
                <w:t>(iii)</w:t>
              </w:r>
            </w:hyperlink>
          </w:p>
        </w:tc>
        <w:tc>
          <w:tcPr>
            <w:tcW w:w="0" w:type="auto"/>
            <w:gridSpan w:val="3"/>
            <w:tcMar>
              <w:top w:w="30" w:type="dxa"/>
              <w:left w:w="20" w:type="dxa"/>
              <w:bottom w:w="30" w:type="dxa"/>
              <w:right w:w="20" w:type="dxa"/>
            </w:tcMar>
            <w:vAlign w:val="bottom"/>
            <w:hideMark/>
          </w:tcPr>
          <w:p w:rsidR="00000000" w:rsidRDefault="002223F7">
            <w:pPr>
              <w:spacing w:after="100"/>
              <w:divId w:val="1143541085"/>
              <w:rPr>
                <w:rFonts w:eastAsia="Times New Roman"/>
              </w:rPr>
            </w:pPr>
            <w:hyperlink w:anchor="ic88e567e3f8642dcb6f41d9ec77f1b73_127" w:history="1">
              <w:r>
                <w:rPr>
                  <w:rStyle w:val="a3"/>
                  <w:rFonts w:ascii="Arial" w:eastAsia="Times New Roman" w:hAnsi="Arial" w:cs="Arial"/>
                  <w:sz w:val="20"/>
                  <w:szCs w:val="20"/>
                </w:rPr>
                <w:t>Consolidated Statements of Income and Comprehensive Income</w:t>
              </w:r>
            </w:hyperlink>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hyperlink w:anchor="ic88e567e3f8642dcb6f41d9ec77f1b73_127" w:history="1">
              <w:r>
                <w:rPr>
                  <w:rStyle w:val="a3"/>
                  <w:rFonts w:ascii="Arial" w:eastAsia="Times New Roman" w:hAnsi="Arial" w:cs="Arial"/>
                  <w:sz w:val="20"/>
                  <w:szCs w:val="20"/>
                  <w:u w:val="none"/>
                </w:rPr>
                <w:t>45</w:t>
              </w:r>
            </w:hyperlink>
          </w:p>
        </w:tc>
      </w:tr>
      <w:tr w:rsidR="00000000">
        <w:trPr>
          <w:divId w:val="2027170339"/>
          <w:trHeight w:val="60"/>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027170339"/>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2223F7">
            <w:pPr>
              <w:spacing w:after="100"/>
              <w:divId w:val="750393156"/>
              <w:rPr>
                <w:rFonts w:eastAsia="Times New Roman"/>
              </w:rPr>
            </w:pPr>
            <w:hyperlink w:anchor="ic88e567e3f8642dcb6f41d9ec77f1b73_130" w:history="1">
              <w:r>
                <w:rPr>
                  <w:rStyle w:val="a3"/>
                  <w:rFonts w:ascii="Arial" w:eastAsia="Times New Roman" w:hAnsi="Arial" w:cs="Arial"/>
                  <w:sz w:val="20"/>
                  <w:szCs w:val="20"/>
                </w:rPr>
                <w:t>(iv)</w:t>
              </w:r>
            </w:hyperlink>
          </w:p>
        </w:tc>
        <w:tc>
          <w:tcPr>
            <w:tcW w:w="0" w:type="auto"/>
            <w:gridSpan w:val="3"/>
            <w:tcMar>
              <w:top w:w="30" w:type="dxa"/>
              <w:left w:w="20" w:type="dxa"/>
              <w:bottom w:w="30" w:type="dxa"/>
              <w:right w:w="20" w:type="dxa"/>
            </w:tcMar>
            <w:vAlign w:val="bottom"/>
            <w:hideMark/>
          </w:tcPr>
          <w:p w:rsidR="00000000" w:rsidRDefault="002223F7">
            <w:pPr>
              <w:spacing w:after="100"/>
              <w:divId w:val="654989112"/>
              <w:rPr>
                <w:rFonts w:eastAsia="Times New Roman"/>
              </w:rPr>
            </w:pPr>
            <w:hyperlink w:anchor="ic88e567e3f8642dcb6f41d9ec77f1b73_130" w:history="1">
              <w:r>
                <w:rPr>
                  <w:rStyle w:val="a3"/>
                  <w:rFonts w:ascii="Arial" w:eastAsia="Times New Roman" w:hAnsi="Arial" w:cs="Arial"/>
                  <w:sz w:val="20"/>
                  <w:szCs w:val="20"/>
                </w:rPr>
                <w:t>Consolidated Statements of Shareholders’ Equity</w:t>
              </w:r>
            </w:hyperlink>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hyperlink w:anchor="ic88e567e3f8642dcb6f41d9ec77f1b73_130" w:history="1">
              <w:r>
                <w:rPr>
                  <w:rStyle w:val="a3"/>
                  <w:rFonts w:ascii="Arial" w:eastAsia="Times New Roman" w:hAnsi="Arial" w:cs="Arial"/>
                  <w:sz w:val="20"/>
                  <w:szCs w:val="20"/>
                  <w:u w:val="none"/>
                </w:rPr>
                <w:t>46</w:t>
              </w:r>
            </w:hyperlink>
          </w:p>
        </w:tc>
      </w:tr>
      <w:tr w:rsidR="00000000">
        <w:trPr>
          <w:divId w:val="2027170339"/>
          <w:trHeight w:val="60"/>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027170339"/>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2223F7">
            <w:pPr>
              <w:spacing w:after="100"/>
              <w:divId w:val="733235742"/>
              <w:rPr>
                <w:rFonts w:eastAsia="Times New Roman"/>
              </w:rPr>
            </w:pPr>
            <w:hyperlink w:anchor="ic88e567e3f8642dcb6f41d9ec77f1b73_133" w:history="1">
              <w:r>
                <w:rPr>
                  <w:rStyle w:val="a3"/>
                  <w:rFonts w:ascii="Arial" w:eastAsia="Times New Roman" w:hAnsi="Arial" w:cs="Arial"/>
                  <w:sz w:val="20"/>
                  <w:szCs w:val="20"/>
                </w:rPr>
                <w:t>(v)</w:t>
              </w:r>
            </w:hyperlink>
          </w:p>
        </w:tc>
        <w:tc>
          <w:tcPr>
            <w:tcW w:w="0" w:type="auto"/>
            <w:gridSpan w:val="3"/>
            <w:tcMar>
              <w:top w:w="30" w:type="dxa"/>
              <w:left w:w="20" w:type="dxa"/>
              <w:bottom w:w="30" w:type="dxa"/>
              <w:right w:w="20" w:type="dxa"/>
            </w:tcMar>
            <w:vAlign w:val="bottom"/>
            <w:hideMark/>
          </w:tcPr>
          <w:p w:rsidR="00000000" w:rsidRDefault="002223F7">
            <w:pPr>
              <w:spacing w:after="100"/>
              <w:divId w:val="2132477442"/>
              <w:rPr>
                <w:rFonts w:eastAsia="Times New Roman"/>
              </w:rPr>
            </w:pPr>
            <w:hyperlink w:anchor="ic88e567e3f8642dcb6f41d9ec77f1b73_133" w:history="1">
              <w:r>
                <w:rPr>
                  <w:rStyle w:val="a3"/>
                  <w:rFonts w:ascii="Arial" w:eastAsia="Times New Roman" w:hAnsi="Arial" w:cs="Arial"/>
                  <w:sz w:val="20"/>
                  <w:szCs w:val="20"/>
                </w:rPr>
                <w:t>Consolidated Statements of Cash Flows</w:t>
              </w:r>
            </w:hyperlink>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hyperlink w:anchor="ic88e567e3f8642dcb6f41d9ec77f1b73_133" w:history="1">
              <w:r>
                <w:rPr>
                  <w:rStyle w:val="a3"/>
                  <w:rFonts w:ascii="Arial" w:eastAsia="Times New Roman" w:hAnsi="Arial" w:cs="Arial"/>
                  <w:sz w:val="20"/>
                  <w:szCs w:val="20"/>
                  <w:u w:val="none"/>
                </w:rPr>
                <w:t>47</w:t>
              </w:r>
            </w:hyperlink>
          </w:p>
        </w:tc>
      </w:tr>
      <w:tr w:rsidR="00000000">
        <w:trPr>
          <w:divId w:val="2027170339"/>
          <w:trHeight w:val="60"/>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027170339"/>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2223F7">
            <w:pPr>
              <w:spacing w:after="100"/>
              <w:divId w:val="2144351587"/>
              <w:rPr>
                <w:rFonts w:eastAsia="Times New Roman"/>
              </w:rPr>
            </w:pPr>
            <w:hyperlink w:anchor="ic88e567e3f8642dcb6f41d9ec77f1b73_136" w:history="1">
              <w:r>
                <w:rPr>
                  <w:rStyle w:val="a3"/>
                  <w:rFonts w:ascii="Arial" w:eastAsia="Times New Roman" w:hAnsi="Arial" w:cs="Arial"/>
                  <w:sz w:val="20"/>
                  <w:szCs w:val="20"/>
                </w:rPr>
                <w:t>(vi)</w:t>
              </w:r>
            </w:hyperlink>
          </w:p>
        </w:tc>
        <w:tc>
          <w:tcPr>
            <w:tcW w:w="0" w:type="auto"/>
            <w:gridSpan w:val="3"/>
            <w:tcMar>
              <w:top w:w="30" w:type="dxa"/>
              <w:left w:w="20" w:type="dxa"/>
              <w:bottom w:w="30" w:type="dxa"/>
              <w:right w:w="20" w:type="dxa"/>
            </w:tcMar>
            <w:hideMark/>
          </w:tcPr>
          <w:p w:rsidR="00000000" w:rsidRDefault="002223F7">
            <w:pPr>
              <w:spacing w:after="100"/>
              <w:divId w:val="984161510"/>
              <w:rPr>
                <w:rFonts w:eastAsia="Times New Roman"/>
              </w:rPr>
            </w:pPr>
            <w:hyperlink w:anchor="ic88e567e3f8642dcb6f41d9ec77f1b73_136" w:history="1">
              <w:r>
                <w:rPr>
                  <w:rStyle w:val="a3"/>
                  <w:rFonts w:ascii="Arial" w:eastAsia="Times New Roman" w:hAnsi="Arial" w:cs="Arial"/>
                  <w:sz w:val="20"/>
                  <w:szCs w:val="20"/>
                </w:rPr>
                <w:t>Notes to the Consolidated Financial Statements</w:t>
              </w:r>
            </w:hyperlink>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hyperlink w:anchor="ic88e567e3f8642dcb6f41d9ec77f1b73_136" w:history="1">
              <w:r>
                <w:rPr>
                  <w:rStyle w:val="a3"/>
                  <w:rFonts w:ascii="Arial" w:eastAsia="Times New Roman" w:hAnsi="Arial" w:cs="Arial"/>
                  <w:sz w:val="20"/>
                  <w:szCs w:val="20"/>
                  <w:u w:val="none"/>
                </w:rPr>
                <w:t>49</w:t>
              </w:r>
            </w:hyperlink>
          </w:p>
        </w:tc>
      </w:tr>
      <w:tr w:rsidR="00000000">
        <w:trPr>
          <w:divId w:val="2027170339"/>
          <w:trHeight w:val="60"/>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027170339"/>
        </w:trPr>
        <w:tc>
          <w:tcPr>
            <w:tcW w:w="0" w:type="auto"/>
            <w:gridSpan w:val="3"/>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(a)(2)</w:t>
            </w:r>
          </w:p>
        </w:tc>
        <w:tc>
          <w:tcPr>
            <w:tcW w:w="0" w:type="auto"/>
            <w:gridSpan w:val="9"/>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Consolidated Financial Statement schedules have been omitted either because the required information is set forth in the Consolidated Financial Statements or Notes thereto, or the information called for is not required.</w:t>
            </w:r>
          </w:p>
        </w:tc>
      </w:tr>
      <w:tr w:rsidR="00000000">
        <w:trPr>
          <w:divId w:val="2027170339"/>
          <w:trHeight w:val="60"/>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9"/>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027170339"/>
        </w:trPr>
        <w:tc>
          <w:tcPr>
            <w:tcW w:w="0" w:type="auto"/>
            <w:gridSpan w:val="3"/>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(b)</w:t>
            </w:r>
          </w:p>
        </w:tc>
        <w:tc>
          <w:tcPr>
            <w:tcW w:w="0" w:type="auto"/>
            <w:gridSpan w:val="9"/>
            <w:tcMar>
              <w:top w:w="30" w:type="dxa"/>
              <w:left w:w="20" w:type="dxa"/>
              <w:bottom w:w="30" w:type="dxa"/>
              <w:right w:w="20" w:type="dxa"/>
            </w:tcMar>
            <w:vAlign w:val="bottom"/>
            <w:hideMark/>
          </w:tcPr>
          <w:p w:rsidR="00000000" w:rsidRDefault="002223F7">
            <w:pPr>
              <w:spacing w:after="100"/>
              <w:divId w:val="1182282748"/>
              <w:rPr>
                <w:rFonts w:eastAsia="Times New Roman"/>
              </w:rPr>
            </w:pPr>
            <w:r>
              <w:rPr>
                <w:rFonts w:ascii="Arial" w:eastAsia="Times New Roman" w:hAnsi="Arial" w:cs="Arial"/>
                <w:color w:val="000000"/>
                <w:sz w:val="20"/>
                <w:szCs w:val="20"/>
              </w:rPr>
              <w:t>The exhibits set forth in the following index of exhibits are filed or incorporated by reference as a part of this 2022 10</w:t>
            </w:r>
            <w:r>
              <w:rPr>
                <w:rFonts w:ascii="Arial" w:eastAsia="Times New Roman" w:hAnsi="Arial" w:cs="Arial"/>
                <w:color w:val="000000"/>
                <w:sz w:val="20"/>
                <w:szCs w:val="20"/>
              </w:rPr>
              <w:noBreakHyphen/>
              <w:t>K Report:</w:t>
            </w: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697"/>
        <w:gridCol w:w="144"/>
        <w:gridCol w:w="144"/>
        <w:gridCol w:w="144"/>
        <w:gridCol w:w="144"/>
        <w:gridCol w:w="144"/>
        <w:gridCol w:w="7364"/>
        <w:gridCol w:w="144"/>
      </w:tblGrid>
      <w:tr w:rsidR="00000000">
        <w:tc>
          <w:tcPr>
            <w:tcW w:w="50" w:type="pct"/>
            <w:vAlign w:val="center"/>
            <w:hideMark/>
          </w:tcPr>
          <w:p w:rsidR="00000000" w:rsidRDefault="002223F7">
            <w:pPr>
              <w:jc w:val="both"/>
              <w:rPr>
                <w:rFonts w:eastAsia="Times New Roman"/>
              </w:rPr>
            </w:pPr>
          </w:p>
        </w:tc>
        <w:tc>
          <w:tcPr>
            <w:tcW w:w="420"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26"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433"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c>
          <w:tcPr>
            <w:tcW w:w="0" w:type="auto"/>
            <w:gridSpan w:val="3"/>
            <w:tcBorders>
              <w:bottom w:val="single" w:sz="8" w:space="0" w:color="000000"/>
            </w:tcBorders>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16"/>
                <w:szCs w:val="16"/>
              </w:rPr>
              <w:t>Exhibit No.</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16"/>
                <w:szCs w:val="16"/>
              </w:rPr>
              <w:t>Description</w:t>
            </w:r>
          </w:p>
        </w:tc>
      </w:tr>
      <w:tr w:rsidR="00000000">
        <w:tc>
          <w:tcPr>
            <w:tcW w:w="0" w:type="auto"/>
            <w:gridSpan w:val="3"/>
            <w:tcBorders>
              <w:top w:val="single" w:sz="8" w:space="0" w:color="000000"/>
            </w:tcBorders>
            <w:tcMar>
              <w:top w:w="30" w:type="dxa"/>
              <w:left w:w="20" w:type="dxa"/>
              <w:bottom w:w="30" w:type="dxa"/>
              <w:right w:w="20" w:type="dxa"/>
            </w:tcMar>
            <w:hideMark/>
          </w:tcPr>
          <w:p w:rsidR="00000000" w:rsidRDefault="002223F7">
            <w:pPr>
              <w:spacing w:after="100"/>
              <w:divId w:val="164829952"/>
              <w:rPr>
                <w:rFonts w:eastAsia="Times New Roman"/>
              </w:rPr>
            </w:pPr>
            <w:hyperlink r:id="rId8" w:history="1">
              <w:r>
                <w:rPr>
                  <w:rStyle w:val="a3"/>
                  <w:rFonts w:ascii="Arial" w:eastAsia="Times New Roman" w:hAnsi="Arial" w:cs="Arial"/>
                  <w:sz w:val="18"/>
                  <w:szCs w:val="18"/>
                </w:rPr>
                <w:t>3.1</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both"/>
              <w:rPr>
                <w:rFonts w:eastAsia="Times New Roman"/>
              </w:rPr>
            </w:pPr>
            <w:r>
              <w:rPr>
                <w:rFonts w:ascii="Arial" w:eastAsia="Times New Roman" w:hAnsi="Arial" w:cs="Arial"/>
                <w:color w:val="000000"/>
                <w:sz w:val="18"/>
                <w:szCs w:val="18"/>
              </w:rPr>
              <w:t>Restated Articles of Incorporation (incorporated by reference herein from Exhibit 99.2 to our Current Report on Form 8</w:t>
            </w:r>
            <w:r>
              <w:rPr>
                <w:rFonts w:ascii="Arial" w:eastAsia="Times New Roman" w:hAnsi="Arial" w:cs="Arial"/>
                <w:color w:val="000000"/>
                <w:sz w:val="18"/>
                <w:szCs w:val="18"/>
              </w:rPr>
              <w:noBreakHyphen/>
              <w:t>K filed on February 3, 2005).</w:t>
            </w:r>
          </w:p>
        </w:tc>
      </w:tr>
      <w:tr w:rsidR="00000000">
        <w:tc>
          <w:tcPr>
            <w:tcW w:w="0" w:type="auto"/>
            <w:gridSpan w:val="3"/>
            <w:tcMar>
              <w:top w:w="30" w:type="dxa"/>
              <w:left w:w="20" w:type="dxa"/>
              <w:bottom w:w="30" w:type="dxa"/>
              <w:right w:w="20" w:type="dxa"/>
            </w:tcMar>
            <w:hideMark/>
          </w:tcPr>
          <w:p w:rsidR="00000000" w:rsidRDefault="002223F7">
            <w:pPr>
              <w:spacing w:after="100"/>
              <w:divId w:val="1673799516"/>
              <w:rPr>
                <w:rFonts w:eastAsia="Times New Roman"/>
              </w:rPr>
            </w:pPr>
            <w:hyperlink r:id="rId9" w:history="1">
              <w:r>
                <w:rPr>
                  <w:rStyle w:val="a3"/>
                  <w:rFonts w:ascii="Arial" w:eastAsia="Times New Roman" w:hAnsi="Arial" w:cs="Arial"/>
                  <w:sz w:val="18"/>
                  <w:szCs w:val="18"/>
                </w:rPr>
                <w:t>3.2</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both"/>
              <w:rPr>
                <w:rFonts w:eastAsia="Times New Roman"/>
              </w:rPr>
            </w:pPr>
            <w:r>
              <w:rPr>
                <w:rFonts w:ascii="Arial" w:eastAsia="Times New Roman" w:hAnsi="Arial" w:cs="Arial"/>
                <w:color w:val="000000"/>
                <w:sz w:val="18"/>
                <w:szCs w:val="18"/>
              </w:rPr>
              <w:t>Articles of Amendment to Restated Articles of Incorporation (incorporated by reference herein from Exhibit 3.1 to our Current Report on Form 8</w:t>
            </w:r>
            <w:r>
              <w:rPr>
                <w:rFonts w:ascii="Arial" w:eastAsia="Times New Roman" w:hAnsi="Arial" w:cs="Arial"/>
                <w:color w:val="000000"/>
                <w:sz w:val="18"/>
                <w:szCs w:val="18"/>
              </w:rPr>
              <w:noBreakHyphen/>
              <w:t>K fil</w:t>
            </w:r>
            <w:r>
              <w:rPr>
                <w:rFonts w:ascii="Arial" w:eastAsia="Times New Roman" w:hAnsi="Arial" w:cs="Arial"/>
                <w:color w:val="000000"/>
                <w:sz w:val="18"/>
                <w:szCs w:val="18"/>
              </w:rPr>
              <w:t>ed on November 23, 2009).</w:t>
            </w:r>
          </w:p>
        </w:tc>
      </w:tr>
      <w:tr w:rsidR="00000000">
        <w:tc>
          <w:tcPr>
            <w:tcW w:w="0" w:type="auto"/>
            <w:gridSpan w:val="3"/>
            <w:tcMar>
              <w:top w:w="30" w:type="dxa"/>
              <w:left w:w="20" w:type="dxa"/>
              <w:bottom w:w="30" w:type="dxa"/>
              <w:right w:w="20" w:type="dxa"/>
            </w:tcMar>
            <w:hideMark/>
          </w:tcPr>
          <w:p w:rsidR="00000000" w:rsidRDefault="002223F7">
            <w:pPr>
              <w:spacing w:after="100"/>
              <w:divId w:val="294995864"/>
              <w:rPr>
                <w:rFonts w:eastAsia="Times New Roman"/>
              </w:rPr>
            </w:pPr>
            <w:hyperlink r:id="rId10" w:history="1">
              <w:r>
                <w:rPr>
                  <w:rStyle w:val="a3"/>
                  <w:rFonts w:ascii="Arial" w:eastAsia="Times New Roman" w:hAnsi="Arial" w:cs="Arial"/>
                  <w:sz w:val="18"/>
                  <w:szCs w:val="18"/>
                </w:rPr>
                <w:t>3.3</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both"/>
              <w:rPr>
                <w:rFonts w:eastAsia="Times New Roman"/>
              </w:rPr>
            </w:pPr>
            <w:r>
              <w:rPr>
                <w:rFonts w:ascii="Arial" w:eastAsia="Times New Roman" w:hAnsi="Arial" w:cs="Arial"/>
                <w:color w:val="000000"/>
                <w:sz w:val="18"/>
                <w:szCs w:val="18"/>
              </w:rPr>
              <w:t>By</w:t>
            </w:r>
            <w:r>
              <w:rPr>
                <w:rFonts w:ascii="Arial" w:eastAsia="Times New Roman" w:hAnsi="Arial" w:cs="Arial"/>
                <w:color w:val="000000"/>
                <w:sz w:val="18"/>
                <w:szCs w:val="18"/>
              </w:rPr>
              <w:noBreakHyphen/>
              <w:t>Laws, amended and restated as of August 26, 2011 (incorporated by reference herein from Exhibit 3.1 to our Current R</w:t>
            </w:r>
            <w:r>
              <w:rPr>
                <w:rFonts w:ascii="Arial" w:eastAsia="Times New Roman" w:hAnsi="Arial" w:cs="Arial"/>
                <w:color w:val="000000"/>
                <w:sz w:val="18"/>
                <w:szCs w:val="18"/>
              </w:rPr>
              <w:t>eport on Form 8</w:t>
            </w:r>
            <w:r>
              <w:rPr>
                <w:rFonts w:ascii="Arial" w:eastAsia="Times New Roman" w:hAnsi="Arial" w:cs="Arial"/>
                <w:color w:val="000000"/>
                <w:sz w:val="18"/>
                <w:szCs w:val="18"/>
              </w:rPr>
              <w:noBreakHyphen/>
              <w:t>K filed on August 29, 2011).</w:t>
            </w:r>
          </w:p>
        </w:tc>
      </w:tr>
      <w:tr w:rsidR="00000000">
        <w:tc>
          <w:tcPr>
            <w:tcW w:w="0" w:type="auto"/>
            <w:gridSpan w:val="3"/>
            <w:tcMar>
              <w:top w:w="30" w:type="dxa"/>
              <w:left w:w="20" w:type="dxa"/>
              <w:bottom w:w="30" w:type="dxa"/>
              <w:right w:w="20" w:type="dxa"/>
            </w:tcMar>
            <w:hideMark/>
          </w:tcPr>
          <w:p w:rsidR="00000000" w:rsidRDefault="002223F7">
            <w:pPr>
              <w:spacing w:after="100"/>
              <w:divId w:val="838080502"/>
              <w:rPr>
                <w:rFonts w:eastAsia="Times New Roman"/>
              </w:rPr>
            </w:pPr>
            <w:hyperlink r:id="rId11" w:history="1">
              <w:r>
                <w:rPr>
                  <w:rStyle w:val="a3"/>
                  <w:rFonts w:ascii="Arial" w:eastAsia="Times New Roman" w:hAnsi="Arial" w:cs="Arial"/>
                  <w:sz w:val="18"/>
                  <w:szCs w:val="18"/>
                </w:rPr>
                <w:t>4.1</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both"/>
              <w:rPr>
                <w:rFonts w:eastAsia="Times New Roman"/>
              </w:rPr>
            </w:pPr>
            <w:r>
              <w:rPr>
                <w:rFonts w:ascii="Arial" w:eastAsia="Times New Roman" w:hAnsi="Arial" w:cs="Arial"/>
                <w:color w:val="000000"/>
                <w:sz w:val="18"/>
                <w:szCs w:val="18"/>
              </w:rPr>
              <w:t>Description of Capital Stock (incorporated by reference herein from Exhibit 4.1 to our 2019 10-K).</w:t>
            </w:r>
          </w:p>
        </w:tc>
      </w:tr>
      <w:tr w:rsidR="00000000">
        <w:tc>
          <w:tcPr>
            <w:tcW w:w="0" w:type="auto"/>
            <w:gridSpan w:val="3"/>
            <w:tcMar>
              <w:top w:w="30" w:type="dxa"/>
              <w:left w:w="20" w:type="dxa"/>
              <w:bottom w:w="30" w:type="dxa"/>
              <w:right w:w="20" w:type="dxa"/>
            </w:tcMar>
            <w:hideMark/>
          </w:tcPr>
          <w:p w:rsidR="00000000" w:rsidRDefault="002223F7">
            <w:pPr>
              <w:spacing w:after="100"/>
              <w:divId w:val="1391535557"/>
              <w:rPr>
                <w:rFonts w:eastAsia="Times New Roman"/>
              </w:rPr>
            </w:pPr>
            <w:hyperlink r:id="rId12" w:history="1">
              <w:r>
                <w:rPr>
                  <w:rStyle w:val="a3"/>
                  <w:rFonts w:ascii="Arial" w:eastAsia="Times New Roman" w:hAnsi="Arial" w:cs="Arial"/>
                  <w:sz w:val="18"/>
                  <w:szCs w:val="18"/>
                </w:rPr>
                <w:t>10.1</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both"/>
              <w:rPr>
                <w:rFonts w:eastAsia="Times New Roman"/>
              </w:rPr>
            </w:pPr>
            <w:r>
              <w:rPr>
                <w:rFonts w:ascii="Arial" w:eastAsia="Times New Roman" w:hAnsi="Arial" w:cs="Arial"/>
                <w:color w:val="000000"/>
                <w:sz w:val="18"/>
                <w:szCs w:val="18"/>
              </w:rPr>
              <w:t>2016 Omnibus Plan (incorporated by refere</w:t>
            </w:r>
            <w:r>
              <w:rPr>
                <w:rFonts w:ascii="Arial" w:eastAsia="Times New Roman" w:hAnsi="Arial" w:cs="Arial"/>
                <w:color w:val="000000"/>
                <w:sz w:val="18"/>
                <w:szCs w:val="18"/>
              </w:rPr>
              <w:t>nce herein from Exhibit 10.1 to our Current Report on Form 8-K filed on June 2, 2016). *</w:t>
            </w:r>
          </w:p>
        </w:tc>
      </w:tr>
      <w:tr w:rsidR="00000000">
        <w:tc>
          <w:tcPr>
            <w:tcW w:w="0" w:type="auto"/>
            <w:gridSpan w:val="3"/>
            <w:tcMar>
              <w:top w:w="30" w:type="dxa"/>
              <w:left w:w="20" w:type="dxa"/>
              <w:bottom w:w="30" w:type="dxa"/>
              <w:right w:w="20" w:type="dxa"/>
            </w:tcMar>
            <w:hideMark/>
          </w:tcPr>
          <w:p w:rsidR="00000000" w:rsidRDefault="002223F7">
            <w:pPr>
              <w:spacing w:after="100"/>
              <w:divId w:val="39481345"/>
              <w:rPr>
                <w:rFonts w:eastAsia="Times New Roman"/>
              </w:rPr>
            </w:pPr>
            <w:hyperlink r:id="rId13" w:history="1">
              <w:r>
                <w:rPr>
                  <w:rStyle w:val="a3"/>
                  <w:rFonts w:ascii="Arial" w:eastAsia="Times New Roman" w:hAnsi="Arial" w:cs="Arial"/>
                  <w:sz w:val="18"/>
                  <w:szCs w:val="18"/>
                </w:rPr>
                <w:t>10.2</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both"/>
              <w:rPr>
                <w:rFonts w:eastAsia="Times New Roman"/>
              </w:rPr>
            </w:pPr>
            <w:r>
              <w:rPr>
                <w:rFonts w:ascii="Arial" w:eastAsia="Times New Roman" w:hAnsi="Arial" w:cs="Arial"/>
                <w:color w:val="000000"/>
                <w:sz w:val="18"/>
                <w:szCs w:val="18"/>
              </w:rPr>
              <w:t>2020 Omnibus Plan (incorporated by reference herei</w:t>
            </w:r>
            <w:r>
              <w:rPr>
                <w:rFonts w:ascii="Arial" w:eastAsia="Times New Roman" w:hAnsi="Arial" w:cs="Arial"/>
                <w:color w:val="000000"/>
                <w:sz w:val="18"/>
                <w:szCs w:val="18"/>
              </w:rPr>
              <w:t>n from Exhibit 10.1 to our Current Report on Form 8-K filed on May 27, 2020). *</w:t>
            </w:r>
          </w:p>
        </w:tc>
      </w:tr>
      <w:tr w:rsidR="00000000">
        <w:tc>
          <w:tcPr>
            <w:tcW w:w="0" w:type="auto"/>
            <w:gridSpan w:val="3"/>
            <w:tcMar>
              <w:top w:w="30" w:type="dxa"/>
              <w:left w:w="20" w:type="dxa"/>
              <w:bottom w:w="30" w:type="dxa"/>
              <w:right w:w="20" w:type="dxa"/>
            </w:tcMar>
            <w:hideMark/>
          </w:tcPr>
          <w:p w:rsidR="00000000" w:rsidRDefault="002223F7">
            <w:pPr>
              <w:spacing w:after="100"/>
              <w:divId w:val="2025815184"/>
              <w:rPr>
                <w:rFonts w:eastAsia="Times New Roman"/>
              </w:rPr>
            </w:pPr>
            <w:hyperlink r:id="rId14" w:history="1">
              <w:r>
                <w:rPr>
                  <w:rStyle w:val="a3"/>
                  <w:rFonts w:ascii="Arial" w:eastAsia="Times New Roman" w:hAnsi="Arial" w:cs="Arial"/>
                  <w:sz w:val="18"/>
                  <w:szCs w:val="18"/>
                </w:rPr>
                <w:t>10.3</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both"/>
              <w:rPr>
                <w:rFonts w:eastAsia="Times New Roman"/>
              </w:rPr>
            </w:pPr>
            <w:r>
              <w:rPr>
                <w:rFonts w:ascii="Arial" w:eastAsia="Times New Roman" w:hAnsi="Arial" w:cs="Arial"/>
                <w:color w:val="000000"/>
                <w:sz w:val="18"/>
                <w:szCs w:val="18"/>
              </w:rPr>
              <w:t>2021 Omnibus Plan (incorporated by reference herein from Exhibit 10.1 to our Current Report on Form 8-K filed on May 25, 2021). *</w:t>
            </w:r>
          </w:p>
        </w:tc>
      </w:tr>
      <w:tr w:rsidR="00000000">
        <w:tc>
          <w:tcPr>
            <w:tcW w:w="0" w:type="auto"/>
            <w:gridSpan w:val="3"/>
            <w:tcMar>
              <w:top w:w="30" w:type="dxa"/>
              <w:left w:w="20" w:type="dxa"/>
              <w:bottom w:w="30" w:type="dxa"/>
              <w:right w:w="20" w:type="dxa"/>
            </w:tcMar>
            <w:hideMark/>
          </w:tcPr>
          <w:p w:rsidR="00000000" w:rsidRDefault="002223F7">
            <w:pPr>
              <w:spacing w:after="100"/>
              <w:divId w:val="1391226791"/>
              <w:rPr>
                <w:rFonts w:eastAsia="Times New Roman"/>
              </w:rPr>
            </w:pPr>
            <w:hyperlink r:id="rId15" w:history="1">
              <w:r>
                <w:rPr>
                  <w:rStyle w:val="a3"/>
                  <w:rFonts w:ascii="Arial" w:eastAsia="Times New Roman" w:hAnsi="Arial" w:cs="Arial"/>
                  <w:sz w:val="18"/>
                  <w:szCs w:val="18"/>
                </w:rPr>
                <w:t>10.4</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both"/>
              <w:rPr>
                <w:rFonts w:eastAsia="Times New Roman"/>
              </w:rPr>
            </w:pPr>
            <w:r>
              <w:rPr>
                <w:rFonts w:ascii="Arial" w:eastAsia="Times New Roman" w:hAnsi="Arial" w:cs="Arial"/>
                <w:color w:val="000000"/>
                <w:sz w:val="18"/>
                <w:szCs w:val="18"/>
              </w:rPr>
              <w:t>Form of Named Executive Officer Performance-based Restricted Stock Unit Agreement under the 2021 Omnibus Plan incorporated by reference herein fr</w:t>
            </w:r>
            <w:r>
              <w:rPr>
                <w:rFonts w:ascii="Arial" w:eastAsia="Times New Roman" w:hAnsi="Arial" w:cs="Arial"/>
                <w:color w:val="000000"/>
                <w:sz w:val="18"/>
                <w:szCs w:val="18"/>
              </w:rPr>
              <w:t>om Exhibit 10.1 to our Current Report on Form 8-K filed on November 14, 2022 (SEC Accession No. 0001157523-22-001611). *</w:t>
            </w:r>
          </w:p>
        </w:tc>
      </w:tr>
      <w:tr w:rsidR="00000000">
        <w:tc>
          <w:tcPr>
            <w:tcW w:w="0" w:type="auto"/>
            <w:gridSpan w:val="3"/>
            <w:tcMar>
              <w:top w:w="30" w:type="dxa"/>
              <w:left w:w="20" w:type="dxa"/>
              <w:bottom w:w="30" w:type="dxa"/>
              <w:right w:w="20" w:type="dxa"/>
            </w:tcMar>
            <w:hideMark/>
          </w:tcPr>
          <w:p w:rsidR="00000000" w:rsidRDefault="002223F7">
            <w:pPr>
              <w:spacing w:after="100"/>
              <w:divId w:val="46733421"/>
              <w:rPr>
                <w:rFonts w:eastAsia="Times New Roman"/>
              </w:rPr>
            </w:pPr>
            <w:hyperlink r:id="rId16" w:history="1">
              <w:r>
                <w:rPr>
                  <w:rStyle w:val="a3"/>
                  <w:rFonts w:ascii="Arial" w:eastAsia="Times New Roman" w:hAnsi="Arial" w:cs="Arial"/>
                  <w:sz w:val="18"/>
                  <w:szCs w:val="18"/>
                </w:rPr>
                <w:t>10.5</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both"/>
              <w:rPr>
                <w:rFonts w:eastAsia="Times New Roman"/>
              </w:rPr>
            </w:pPr>
            <w:r>
              <w:rPr>
                <w:rFonts w:ascii="Arial" w:eastAsia="Times New Roman" w:hAnsi="Arial" w:cs="Arial"/>
                <w:color w:val="000000"/>
                <w:sz w:val="18"/>
                <w:szCs w:val="18"/>
              </w:rPr>
              <w:t>Executive Severance Agreement between World Fuel Services Corporation and Ira M. Birns, dated April 16, 2007 (incorporated by reference herein from Exhibit 10.2 to our Current Report on Form 8</w:t>
            </w:r>
            <w:r>
              <w:rPr>
                <w:rFonts w:ascii="Arial" w:eastAsia="Times New Roman" w:hAnsi="Arial" w:cs="Arial"/>
                <w:color w:val="000000"/>
                <w:sz w:val="18"/>
                <w:szCs w:val="18"/>
              </w:rPr>
              <w:noBreakHyphen/>
              <w:t>K filed on April 16, 2007). *</w:t>
            </w:r>
          </w:p>
        </w:tc>
      </w:tr>
      <w:tr w:rsidR="00000000">
        <w:tc>
          <w:tcPr>
            <w:tcW w:w="0" w:type="auto"/>
            <w:gridSpan w:val="3"/>
            <w:tcMar>
              <w:top w:w="30" w:type="dxa"/>
              <w:left w:w="20" w:type="dxa"/>
              <w:bottom w:w="30" w:type="dxa"/>
              <w:right w:w="20" w:type="dxa"/>
            </w:tcMar>
            <w:hideMark/>
          </w:tcPr>
          <w:p w:rsidR="00000000" w:rsidRDefault="002223F7">
            <w:pPr>
              <w:spacing w:after="100"/>
              <w:divId w:val="709652147"/>
              <w:rPr>
                <w:rFonts w:eastAsia="Times New Roman"/>
              </w:rPr>
            </w:pPr>
            <w:hyperlink r:id="rId17" w:history="1">
              <w:r>
                <w:rPr>
                  <w:rStyle w:val="a3"/>
                  <w:rFonts w:ascii="Arial" w:eastAsia="Times New Roman" w:hAnsi="Arial" w:cs="Arial"/>
                  <w:sz w:val="18"/>
                  <w:szCs w:val="18"/>
                </w:rPr>
                <w:t>10.6</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both"/>
              <w:rPr>
                <w:rFonts w:eastAsia="Times New Roman"/>
              </w:rPr>
            </w:pPr>
            <w:r>
              <w:rPr>
                <w:rFonts w:ascii="Arial" w:eastAsia="Times New Roman" w:hAnsi="Arial" w:cs="Arial"/>
                <w:color w:val="000000"/>
                <w:sz w:val="18"/>
                <w:szCs w:val="18"/>
              </w:rPr>
              <w:t xml:space="preserve">World Fuel Services Corporation Executive Severance Policy, effective as of December 31, 2016 (incorporated by reference herein from Exhibit 10.1 to our Quarterly Report on Form </w:t>
            </w:r>
            <w:r>
              <w:rPr>
                <w:rFonts w:ascii="Arial" w:eastAsia="Times New Roman" w:hAnsi="Arial" w:cs="Arial"/>
                <w:color w:val="000000"/>
                <w:sz w:val="18"/>
                <w:szCs w:val="18"/>
              </w:rPr>
              <w:t>10-Q for the quarter ended June 30, 2017 filed on July 28, 2017 ("2017 10-Q")). *</w:t>
            </w:r>
          </w:p>
        </w:tc>
      </w:tr>
      <w:tr w:rsidR="00000000">
        <w:tc>
          <w:tcPr>
            <w:tcW w:w="0" w:type="auto"/>
            <w:gridSpan w:val="3"/>
            <w:tcMar>
              <w:top w:w="30" w:type="dxa"/>
              <w:left w:w="20" w:type="dxa"/>
              <w:bottom w:w="30" w:type="dxa"/>
              <w:right w:w="20" w:type="dxa"/>
            </w:tcMar>
            <w:hideMark/>
          </w:tcPr>
          <w:p w:rsidR="00000000" w:rsidRDefault="002223F7">
            <w:pPr>
              <w:spacing w:after="100"/>
              <w:divId w:val="1927611859"/>
              <w:rPr>
                <w:rFonts w:eastAsia="Times New Roman"/>
              </w:rPr>
            </w:pPr>
            <w:hyperlink r:id="rId18" w:history="1">
              <w:r>
                <w:rPr>
                  <w:rStyle w:val="a3"/>
                  <w:rFonts w:ascii="Arial" w:eastAsia="Times New Roman" w:hAnsi="Arial" w:cs="Arial"/>
                  <w:sz w:val="18"/>
                  <w:szCs w:val="18"/>
                </w:rPr>
                <w:t>10.7</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both"/>
              <w:rPr>
                <w:rFonts w:eastAsia="Times New Roman"/>
              </w:rPr>
            </w:pPr>
            <w:r>
              <w:rPr>
                <w:rFonts w:ascii="Arial" w:eastAsia="Times New Roman" w:hAnsi="Arial" w:cs="Arial"/>
                <w:color w:val="000000"/>
                <w:sz w:val="18"/>
                <w:szCs w:val="18"/>
              </w:rPr>
              <w:t>Form of Executive Officer Performance-Based Restricted Stock Unit Award Agreement*</w:t>
            </w:r>
          </w:p>
        </w:tc>
      </w:tr>
      <w:tr w:rsidR="00000000">
        <w:tc>
          <w:tcPr>
            <w:tcW w:w="0" w:type="auto"/>
            <w:gridSpan w:val="3"/>
            <w:tcMar>
              <w:top w:w="30" w:type="dxa"/>
              <w:left w:w="20" w:type="dxa"/>
              <w:bottom w:w="30" w:type="dxa"/>
              <w:right w:w="20" w:type="dxa"/>
            </w:tcMar>
            <w:hideMark/>
          </w:tcPr>
          <w:p w:rsidR="00000000" w:rsidRDefault="002223F7">
            <w:pPr>
              <w:spacing w:after="100"/>
              <w:divId w:val="32965074"/>
              <w:rPr>
                <w:rFonts w:eastAsia="Times New Roman"/>
              </w:rPr>
            </w:pPr>
            <w:hyperlink r:id="rId19" w:history="1">
              <w:r>
                <w:rPr>
                  <w:rStyle w:val="a3"/>
                  <w:rFonts w:ascii="Arial" w:eastAsia="Times New Roman" w:hAnsi="Arial" w:cs="Arial"/>
                  <w:sz w:val="18"/>
                  <w:szCs w:val="18"/>
                </w:rPr>
                <w:t>10.8</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both"/>
              <w:rPr>
                <w:rFonts w:eastAsia="Times New Roman"/>
              </w:rPr>
            </w:pPr>
            <w:r>
              <w:rPr>
                <w:rFonts w:ascii="Arial" w:eastAsia="Times New Roman" w:hAnsi="Arial" w:cs="Arial"/>
                <w:color w:val="000000"/>
                <w:sz w:val="18"/>
                <w:szCs w:val="18"/>
              </w:rPr>
              <w:t>Form of Executive Officer Service-Based Restricted Stock Unit Award Agreement*</w:t>
            </w:r>
          </w:p>
        </w:tc>
      </w:tr>
      <w:tr w:rsidR="00000000">
        <w:tc>
          <w:tcPr>
            <w:tcW w:w="0" w:type="auto"/>
            <w:gridSpan w:val="3"/>
            <w:tcMar>
              <w:top w:w="30" w:type="dxa"/>
              <w:left w:w="20" w:type="dxa"/>
              <w:bottom w:w="30" w:type="dxa"/>
              <w:right w:w="20" w:type="dxa"/>
            </w:tcMar>
            <w:hideMark/>
          </w:tcPr>
          <w:p w:rsidR="00000000" w:rsidRDefault="002223F7">
            <w:pPr>
              <w:spacing w:after="100"/>
              <w:divId w:val="1493907575"/>
              <w:rPr>
                <w:rFonts w:eastAsia="Times New Roman"/>
              </w:rPr>
            </w:pPr>
            <w:hyperlink r:id="rId20" w:history="1">
              <w:r>
                <w:rPr>
                  <w:rStyle w:val="a3"/>
                  <w:rFonts w:ascii="Arial" w:eastAsia="Times New Roman" w:hAnsi="Arial" w:cs="Arial"/>
                  <w:sz w:val="18"/>
                  <w:szCs w:val="18"/>
                </w:rPr>
                <w:t>10.9</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both"/>
              <w:rPr>
                <w:rFonts w:eastAsia="Times New Roman"/>
              </w:rPr>
            </w:pPr>
            <w:r>
              <w:rPr>
                <w:rFonts w:ascii="Arial" w:eastAsia="Times New Roman" w:hAnsi="Arial" w:cs="Arial"/>
                <w:color w:val="000000"/>
                <w:sz w:val="18"/>
                <w:szCs w:val="18"/>
              </w:rPr>
              <w:t xml:space="preserve">Transition and Separation Agreement, dated November 8, 2022, between World Fuel Services Corporation and Jeffrey P. Smith incorporated by reference herein from Exhibit 10.2 to </w:t>
            </w:r>
            <w:r>
              <w:rPr>
                <w:rFonts w:ascii="Arial" w:eastAsia="Times New Roman" w:hAnsi="Arial" w:cs="Arial"/>
                <w:color w:val="000000"/>
                <w:sz w:val="18"/>
                <w:szCs w:val="18"/>
              </w:rPr>
              <w:t>our Current Report on Form 8-K filed on November 14, 2022 (SEC Accession No. 0001157523-22-001611). *</w:t>
            </w:r>
          </w:p>
        </w:tc>
      </w:tr>
      <w:tr w:rsidR="00000000">
        <w:tc>
          <w:tcPr>
            <w:tcW w:w="0" w:type="auto"/>
            <w:gridSpan w:val="3"/>
            <w:tcMar>
              <w:top w:w="30" w:type="dxa"/>
              <w:left w:w="20" w:type="dxa"/>
              <w:bottom w:w="30" w:type="dxa"/>
              <w:right w:w="20" w:type="dxa"/>
            </w:tcMar>
            <w:hideMark/>
          </w:tcPr>
          <w:p w:rsidR="00000000" w:rsidRDefault="002223F7">
            <w:pPr>
              <w:spacing w:after="100"/>
              <w:divId w:val="1045524500"/>
              <w:rPr>
                <w:rFonts w:eastAsia="Times New Roman"/>
              </w:rPr>
            </w:pPr>
            <w:hyperlink r:id="rId21" w:history="1">
              <w:r>
                <w:rPr>
                  <w:rStyle w:val="a3"/>
                  <w:rFonts w:ascii="Arial" w:eastAsia="Times New Roman" w:hAnsi="Arial" w:cs="Arial"/>
                  <w:sz w:val="18"/>
                  <w:szCs w:val="18"/>
                </w:rPr>
                <w:t>10.10</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both"/>
              <w:divId w:val="1272669319"/>
              <w:rPr>
                <w:rFonts w:eastAsia="Times New Roman"/>
              </w:rPr>
            </w:pPr>
            <w:r>
              <w:rPr>
                <w:rFonts w:ascii="Arial" w:eastAsia="Times New Roman" w:hAnsi="Arial" w:cs="Arial"/>
                <w:color w:val="000000"/>
                <w:sz w:val="18"/>
                <w:szCs w:val="18"/>
              </w:rPr>
              <w:t>Form of Non-Employee Director 2017 Restricted Stock Unit Grant Agreement under the 2016 Omnibus Plan (incorporated by reference herein f</w:t>
            </w:r>
            <w:r>
              <w:rPr>
                <w:rFonts w:ascii="Arial" w:eastAsia="Times New Roman" w:hAnsi="Arial" w:cs="Arial"/>
                <w:color w:val="000000"/>
                <w:sz w:val="18"/>
                <w:szCs w:val="18"/>
              </w:rPr>
              <w:t>rom Exhibit 10.24 to our Annual Report on Form 10-K for the year ended December 31, 2015 filed on February 16, 2016). *</w:t>
            </w:r>
          </w:p>
        </w:tc>
      </w:tr>
      <w:tr w:rsidR="00000000">
        <w:tc>
          <w:tcPr>
            <w:tcW w:w="0" w:type="auto"/>
            <w:gridSpan w:val="3"/>
            <w:tcMar>
              <w:top w:w="30" w:type="dxa"/>
              <w:left w:w="20" w:type="dxa"/>
              <w:bottom w:w="30" w:type="dxa"/>
              <w:right w:w="20" w:type="dxa"/>
            </w:tcMar>
            <w:hideMark/>
          </w:tcPr>
          <w:p w:rsidR="00000000" w:rsidRDefault="002223F7">
            <w:pPr>
              <w:spacing w:after="100"/>
              <w:divId w:val="793405314"/>
              <w:rPr>
                <w:rFonts w:eastAsia="Times New Roman"/>
              </w:rPr>
            </w:pPr>
            <w:hyperlink r:id="rId22" w:history="1">
              <w:r>
                <w:rPr>
                  <w:rStyle w:val="a3"/>
                  <w:rFonts w:ascii="Arial" w:eastAsia="Times New Roman" w:hAnsi="Arial" w:cs="Arial"/>
                  <w:sz w:val="18"/>
                  <w:szCs w:val="18"/>
                </w:rPr>
                <w:t>10.11</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both"/>
              <w:divId w:val="91318809"/>
              <w:rPr>
                <w:rFonts w:eastAsia="Times New Roman"/>
              </w:rPr>
            </w:pPr>
            <w:r>
              <w:rPr>
                <w:rFonts w:ascii="Arial" w:eastAsia="Times New Roman" w:hAnsi="Arial" w:cs="Arial"/>
                <w:color w:val="000000"/>
                <w:sz w:val="18"/>
                <w:szCs w:val="18"/>
              </w:rPr>
              <w:t>Form of Non-Employee Di</w:t>
            </w:r>
            <w:r>
              <w:rPr>
                <w:rFonts w:ascii="Arial" w:eastAsia="Times New Roman" w:hAnsi="Arial" w:cs="Arial"/>
                <w:color w:val="000000"/>
                <w:sz w:val="18"/>
                <w:szCs w:val="18"/>
              </w:rPr>
              <w:t>rector Restricted Stock Unit Grant Agreement under the 2016 Omnibus Plan (incorporated by reference herein from Exhibit 10.10 to our 2019 10-K). *</w:t>
            </w:r>
          </w:p>
        </w:tc>
      </w:tr>
      <w:tr w:rsidR="00000000">
        <w:tc>
          <w:tcPr>
            <w:tcW w:w="0" w:type="auto"/>
            <w:gridSpan w:val="3"/>
            <w:tcMar>
              <w:top w:w="30" w:type="dxa"/>
              <w:left w:w="20" w:type="dxa"/>
              <w:bottom w:w="30" w:type="dxa"/>
              <w:right w:w="20" w:type="dxa"/>
            </w:tcMar>
            <w:hideMark/>
          </w:tcPr>
          <w:p w:rsidR="00000000" w:rsidRDefault="002223F7">
            <w:pPr>
              <w:spacing w:after="100"/>
              <w:divId w:val="1804498018"/>
              <w:rPr>
                <w:rFonts w:eastAsia="Times New Roman"/>
              </w:rPr>
            </w:pPr>
            <w:hyperlink r:id="rId23" w:history="1">
              <w:r>
                <w:rPr>
                  <w:rStyle w:val="a3"/>
                  <w:rFonts w:ascii="Arial" w:eastAsia="Times New Roman" w:hAnsi="Arial" w:cs="Arial"/>
                  <w:sz w:val="18"/>
                  <w:szCs w:val="18"/>
                </w:rPr>
                <w:t>10.12</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both"/>
              <w:rPr>
                <w:rFonts w:eastAsia="Times New Roman"/>
              </w:rPr>
            </w:pPr>
            <w:r>
              <w:rPr>
                <w:rFonts w:ascii="Arial" w:eastAsia="Times New Roman" w:hAnsi="Arial" w:cs="Arial"/>
                <w:color w:val="000000"/>
                <w:sz w:val="18"/>
                <w:szCs w:val="18"/>
              </w:rPr>
              <w:t xml:space="preserve">Form of Named Executive Officer Restricted Stock Unit Grant Agreement under the 2016 Omnibus Plan (incorporated by reference herein from Exhibit 10.10 to our Annual Report on Form 10-K for the year ended December 31, 2017 filed on February 28, 2018 ("2017 </w:t>
            </w:r>
            <w:r>
              <w:rPr>
                <w:rFonts w:ascii="Arial" w:eastAsia="Times New Roman" w:hAnsi="Arial" w:cs="Arial"/>
                <w:color w:val="000000"/>
                <w:sz w:val="18"/>
                <w:szCs w:val="18"/>
              </w:rPr>
              <w:t>10-K"). *</w:t>
            </w:r>
          </w:p>
        </w:tc>
      </w:tr>
      <w:tr w:rsidR="00000000">
        <w:tc>
          <w:tcPr>
            <w:tcW w:w="0" w:type="auto"/>
            <w:gridSpan w:val="3"/>
            <w:tcMar>
              <w:top w:w="30" w:type="dxa"/>
              <w:left w:w="20" w:type="dxa"/>
              <w:bottom w:w="30" w:type="dxa"/>
              <w:right w:w="20" w:type="dxa"/>
            </w:tcMar>
            <w:hideMark/>
          </w:tcPr>
          <w:p w:rsidR="00000000" w:rsidRDefault="002223F7">
            <w:pPr>
              <w:spacing w:after="100"/>
              <w:divId w:val="2001343989"/>
              <w:rPr>
                <w:rFonts w:eastAsia="Times New Roman"/>
              </w:rPr>
            </w:pPr>
            <w:hyperlink r:id="rId24" w:history="1">
              <w:r>
                <w:rPr>
                  <w:rStyle w:val="a3"/>
                  <w:rFonts w:ascii="Arial" w:eastAsia="Times New Roman" w:hAnsi="Arial" w:cs="Arial"/>
                  <w:sz w:val="18"/>
                  <w:szCs w:val="18"/>
                </w:rPr>
                <w:t>10.13</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both"/>
              <w:rPr>
                <w:rFonts w:eastAsia="Times New Roman"/>
              </w:rPr>
            </w:pPr>
            <w:r>
              <w:rPr>
                <w:rFonts w:ascii="Arial" w:eastAsia="Times New Roman" w:hAnsi="Arial" w:cs="Arial"/>
                <w:color w:val="000000"/>
                <w:sz w:val="18"/>
                <w:szCs w:val="18"/>
              </w:rPr>
              <w:t>Form of Michael J. Kasbar Restricted Stock Unit Grant Agreement under the 2006 and 2016 Omnibus Plan (incorporated by reference herein from Exhibit 10.14 to our 2017 10-K). *</w:t>
            </w:r>
          </w:p>
        </w:tc>
      </w:tr>
    </w:tbl>
    <w:p w:rsidR="00000000" w:rsidRDefault="002223F7">
      <w:pPr>
        <w:jc w:val="center"/>
        <w:divId w:val="1622953768"/>
        <w:rPr>
          <w:rFonts w:eastAsia="Times New Roman"/>
        </w:rPr>
      </w:pPr>
      <w:r>
        <w:rPr>
          <w:rFonts w:ascii="Arial" w:eastAsia="Times New Roman" w:hAnsi="Arial" w:cs="Arial"/>
          <w:color w:val="000000"/>
          <w:sz w:val="16"/>
          <w:szCs w:val="16"/>
        </w:rPr>
        <w:t>38</w:t>
      </w:r>
    </w:p>
    <w:p w:rsidR="00000000" w:rsidRDefault="002223F7">
      <w:pPr>
        <w:rPr>
          <w:rFonts w:eastAsia="Times New Roman"/>
        </w:rPr>
      </w:pPr>
      <w:r>
        <w:rPr>
          <w:rFonts w:eastAsia="Times New Roman"/>
        </w:rPr>
        <w:pict>
          <v:rect id="_x0000_i1069" style="width:0;height:1.5pt" o:hralign="center" o:hrstd="t" o:hr="t" fillcolor="#a0a0a0" stroked="f"/>
        </w:pict>
      </w:r>
    </w:p>
    <w:p w:rsidR="00000000" w:rsidRDefault="002223F7">
      <w:pPr>
        <w:jc w:val="both"/>
        <w:divId w:val="1723289401"/>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1"/>
        <w:gridCol w:w="675"/>
        <w:gridCol w:w="36"/>
        <w:gridCol w:w="36"/>
        <w:gridCol w:w="36"/>
        <w:gridCol w:w="36"/>
        <w:gridCol w:w="46"/>
        <w:gridCol w:w="7344"/>
        <w:gridCol w:w="36"/>
      </w:tblGrid>
      <w:tr w:rsidR="00000000">
        <w:trPr>
          <w:divId w:val="992369951"/>
        </w:trPr>
        <w:tc>
          <w:tcPr>
            <w:tcW w:w="50" w:type="pct"/>
            <w:vAlign w:val="center"/>
            <w:hideMark/>
          </w:tcPr>
          <w:p w:rsidR="00000000" w:rsidRDefault="002223F7">
            <w:pPr>
              <w:jc w:val="both"/>
              <w:rPr>
                <w:rFonts w:eastAsia="Times New Roman"/>
              </w:rPr>
            </w:pPr>
          </w:p>
        </w:tc>
        <w:tc>
          <w:tcPr>
            <w:tcW w:w="420"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26"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433"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992369951"/>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16"/>
                <w:szCs w:val="16"/>
              </w:rPr>
              <w:t>Exhibit No.</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16"/>
                <w:szCs w:val="16"/>
              </w:rPr>
              <w:t>Description</w:t>
            </w:r>
          </w:p>
        </w:tc>
      </w:tr>
      <w:tr w:rsidR="00000000">
        <w:trPr>
          <w:divId w:val="992369951"/>
        </w:trPr>
        <w:tc>
          <w:tcPr>
            <w:tcW w:w="0" w:type="auto"/>
            <w:gridSpan w:val="3"/>
            <w:tcMar>
              <w:top w:w="30" w:type="dxa"/>
              <w:left w:w="20" w:type="dxa"/>
              <w:bottom w:w="30" w:type="dxa"/>
              <w:right w:w="20" w:type="dxa"/>
            </w:tcMar>
            <w:hideMark/>
          </w:tcPr>
          <w:p w:rsidR="00000000" w:rsidRDefault="002223F7">
            <w:pPr>
              <w:spacing w:after="100"/>
              <w:divId w:val="1991250022"/>
              <w:rPr>
                <w:rFonts w:eastAsia="Times New Roman"/>
              </w:rPr>
            </w:pPr>
            <w:hyperlink r:id="rId25" w:history="1">
              <w:r>
                <w:rPr>
                  <w:rStyle w:val="a3"/>
                  <w:rFonts w:ascii="Arial" w:eastAsia="Times New Roman" w:hAnsi="Arial" w:cs="Arial"/>
                  <w:sz w:val="18"/>
                  <w:szCs w:val="18"/>
                </w:rPr>
                <w:t>10.14</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both"/>
              <w:rPr>
                <w:rFonts w:eastAsia="Times New Roman"/>
              </w:rPr>
            </w:pPr>
            <w:r>
              <w:rPr>
                <w:rFonts w:ascii="Arial" w:eastAsia="Times New Roman" w:hAnsi="Arial" w:cs="Arial"/>
                <w:color w:val="000000"/>
                <w:sz w:val="18"/>
                <w:szCs w:val="18"/>
              </w:rPr>
              <w:t>Form of Michael J. Kasbar Stock-Settled Stock Appreciation Right Agreement under the 2006 Omnibus Plan (incorporated by reference herein from Exhibit 10.1 to our Quarterly Report on Form 10-Q for the quarter ended June 30, 2014 filed on July 30, 2014 ("201</w:t>
            </w:r>
            <w:r>
              <w:rPr>
                <w:rFonts w:ascii="Arial" w:eastAsia="Times New Roman" w:hAnsi="Arial" w:cs="Arial"/>
                <w:color w:val="000000"/>
                <w:sz w:val="18"/>
                <w:szCs w:val="18"/>
              </w:rPr>
              <w:t>4 10-Q"). *</w:t>
            </w:r>
          </w:p>
        </w:tc>
      </w:tr>
      <w:tr w:rsidR="00000000">
        <w:trPr>
          <w:divId w:val="992369951"/>
        </w:trPr>
        <w:tc>
          <w:tcPr>
            <w:tcW w:w="0" w:type="auto"/>
            <w:gridSpan w:val="3"/>
            <w:tcMar>
              <w:top w:w="30" w:type="dxa"/>
              <w:left w:w="20" w:type="dxa"/>
              <w:bottom w:w="30" w:type="dxa"/>
              <w:right w:w="20" w:type="dxa"/>
            </w:tcMar>
            <w:hideMark/>
          </w:tcPr>
          <w:p w:rsidR="00000000" w:rsidRDefault="002223F7">
            <w:pPr>
              <w:spacing w:after="100"/>
              <w:divId w:val="882209718"/>
              <w:rPr>
                <w:rFonts w:eastAsia="Times New Roman"/>
              </w:rPr>
            </w:pPr>
            <w:hyperlink r:id="rId26" w:history="1">
              <w:r>
                <w:rPr>
                  <w:rStyle w:val="a3"/>
                  <w:rFonts w:ascii="Arial" w:eastAsia="Times New Roman" w:hAnsi="Arial" w:cs="Arial"/>
                  <w:sz w:val="18"/>
                  <w:szCs w:val="18"/>
                </w:rPr>
                <w:t>10.15</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both"/>
              <w:rPr>
                <w:rFonts w:eastAsia="Times New Roman"/>
              </w:rPr>
            </w:pPr>
            <w:r>
              <w:rPr>
                <w:rFonts w:ascii="Arial" w:eastAsia="Times New Roman" w:hAnsi="Arial" w:cs="Arial"/>
                <w:color w:val="000000"/>
                <w:sz w:val="18"/>
                <w:szCs w:val="18"/>
              </w:rPr>
              <w:t>Form of Michael J. Kasbar Stock-Settled Stock Appreciation Right Agreement (3-year Cliff Vesting) under the 2006 and 2016 Omnibus P</w:t>
            </w:r>
            <w:r>
              <w:rPr>
                <w:rFonts w:ascii="Arial" w:eastAsia="Times New Roman" w:hAnsi="Arial" w:cs="Arial"/>
                <w:color w:val="000000"/>
                <w:sz w:val="18"/>
                <w:szCs w:val="18"/>
              </w:rPr>
              <w:t>lan (incorporated by reference herein from Exhibit 10.15 to our Annual Report on Form 10-K for the year ended December 31, 2016 filed on February 21, 2017 ("2016 10-K"). *</w:t>
            </w:r>
          </w:p>
        </w:tc>
      </w:tr>
      <w:tr w:rsidR="00000000">
        <w:trPr>
          <w:divId w:val="992369951"/>
        </w:trPr>
        <w:tc>
          <w:tcPr>
            <w:tcW w:w="0" w:type="auto"/>
            <w:gridSpan w:val="3"/>
            <w:tcMar>
              <w:top w:w="30" w:type="dxa"/>
              <w:left w:w="20" w:type="dxa"/>
              <w:bottom w:w="30" w:type="dxa"/>
              <w:right w:w="20" w:type="dxa"/>
            </w:tcMar>
            <w:hideMark/>
          </w:tcPr>
          <w:p w:rsidR="00000000" w:rsidRDefault="002223F7">
            <w:pPr>
              <w:spacing w:after="100"/>
              <w:divId w:val="1045717952"/>
              <w:rPr>
                <w:rFonts w:eastAsia="Times New Roman"/>
              </w:rPr>
            </w:pPr>
            <w:hyperlink r:id="rId27" w:history="1">
              <w:r>
                <w:rPr>
                  <w:rStyle w:val="a3"/>
                  <w:rFonts w:ascii="Arial" w:eastAsia="Times New Roman" w:hAnsi="Arial" w:cs="Arial"/>
                  <w:sz w:val="18"/>
                  <w:szCs w:val="18"/>
                </w:rPr>
                <w:t>10.16</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both"/>
              <w:rPr>
                <w:rFonts w:eastAsia="Times New Roman"/>
              </w:rPr>
            </w:pPr>
            <w:r>
              <w:rPr>
                <w:rFonts w:ascii="Arial" w:eastAsia="Times New Roman" w:hAnsi="Arial" w:cs="Arial"/>
                <w:color w:val="000000"/>
                <w:sz w:val="18"/>
                <w:szCs w:val="18"/>
              </w:rPr>
              <w:t>Form of Ira M. Birns Restricted Stock Unit Grant Agreement under the 2016 Omnibus Plan (incorporated by reference herein from Exhibit 10.17 to our 2017 10-K). *</w:t>
            </w:r>
          </w:p>
        </w:tc>
      </w:tr>
      <w:tr w:rsidR="00000000">
        <w:trPr>
          <w:divId w:val="992369951"/>
        </w:trPr>
        <w:tc>
          <w:tcPr>
            <w:tcW w:w="0" w:type="auto"/>
            <w:gridSpan w:val="3"/>
            <w:tcMar>
              <w:top w:w="30" w:type="dxa"/>
              <w:left w:w="20" w:type="dxa"/>
              <w:bottom w:w="30" w:type="dxa"/>
              <w:right w:w="20" w:type="dxa"/>
            </w:tcMar>
            <w:hideMark/>
          </w:tcPr>
          <w:p w:rsidR="00000000" w:rsidRDefault="002223F7">
            <w:pPr>
              <w:spacing w:after="100"/>
              <w:divId w:val="1346789583"/>
              <w:rPr>
                <w:rFonts w:eastAsia="Times New Roman"/>
              </w:rPr>
            </w:pPr>
            <w:hyperlink r:id="rId28" w:history="1">
              <w:r>
                <w:rPr>
                  <w:rStyle w:val="a3"/>
                  <w:rFonts w:ascii="Arial" w:eastAsia="Times New Roman" w:hAnsi="Arial" w:cs="Arial"/>
                  <w:sz w:val="18"/>
                  <w:szCs w:val="18"/>
                </w:rPr>
                <w:t>10.17</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both"/>
              <w:rPr>
                <w:rFonts w:eastAsia="Times New Roman"/>
              </w:rPr>
            </w:pPr>
            <w:r>
              <w:rPr>
                <w:rFonts w:ascii="Arial" w:eastAsia="Times New Roman" w:hAnsi="Arial" w:cs="Arial"/>
                <w:color w:val="000000"/>
                <w:sz w:val="18"/>
                <w:szCs w:val="18"/>
              </w:rPr>
              <w:t>Form of Ira M. Birns Stock-Settled Stock Appreciation Right Agreement under the 2006 Omnibus Plan (incorporated by reference herein from Exhibit 10.2 to our 2014 10-Q). *</w:t>
            </w:r>
          </w:p>
        </w:tc>
      </w:tr>
      <w:tr w:rsidR="00000000">
        <w:trPr>
          <w:divId w:val="992369951"/>
        </w:trPr>
        <w:tc>
          <w:tcPr>
            <w:tcW w:w="0" w:type="auto"/>
            <w:gridSpan w:val="3"/>
            <w:tcMar>
              <w:top w:w="30" w:type="dxa"/>
              <w:left w:w="20" w:type="dxa"/>
              <w:bottom w:w="30" w:type="dxa"/>
              <w:right w:w="20" w:type="dxa"/>
            </w:tcMar>
            <w:hideMark/>
          </w:tcPr>
          <w:p w:rsidR="00000000" w:rsidRDefault="002223F7">
            <w:pPr>
              <w:spacing w:after="100"/>
              <w:divId w:val="2117215817"/>
              <w:rPr>
                <w:rFonts w:eastAsia="Times New Roman"/>
              </w:rPr>
            </w:pPr>
            <w:hyperlink r:id="rId29" w:history="1">
              <w:r>
                <w:rPr>
                  <w:rStyle w:val="a3"/>
                  <w:rFonts w:ascii="Arial" w:eastAsia="Times New Roman" w:hAnsi="Arial" w:cs="Arial"/>
                  <w:sz w:val="18"/>
                  <w:szCs w:val="18"/>
                </w:rPr>
                <w:t>10.18</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both"/>
              <w:rPr>
                <w:rFonts w:eastAsia="Times New Roman"/>
              </w:rPr>
            </w:pPr>
            <w:r>
              <w:rPr>
                <w:rFonts w:ascii="Arial" w:eastAsia="Times New Roman" w:hAnsi="Arial" w:cs="Arial"/>
                <w:color w:val="000000"/>
                <w:sz w:val="18"/>
                <w:szCs w:val="18"/>
              </w:rPr>
              <w:t>Form of Michael J. Crosby and John P. Rau 2016 Performance-Based Restricted Stock Unit Grant Agreement under the 2006 Omnibus Plan (incorporated by reference herein from Exhibit 10.21 to our 2017 10-K). *</w:t>
            </w:r>
          </w:p>
        </w:tc>
      </w:tr>
      <w:tr w:rsidR="00000000">
        <w:trPr>
          <w:divId w:val="992369951"/>
        </w:trPr>
        <w:tc>
          <w:tcPr>
            <w:tcW w:w="0" w:type="auto"/>
            <w:gridSpan w:val="3"/>
            <w:tcMar>
              <w:top w:w="30" w:type="dxa"/>
              <w:left w:w="20" w:type="dxa"/>
              <w:bottom w:w="30" w:type="dxa"/>
              <w:right w:w="20" w:type="dxa"/>
            </w:tcMar>
            <w:hideMark/>
          </w:tcPr>
          <w:p w:rsidR="00000000" w:rsidRDefault="002223F7">
            <w:pPr>
              <w:spacing w:after="100"/>
              <w:divId w:val="1447306916"/>
              <w:rPr>
                <w:rFonts w:eastAsia="Times New Roman"/>
              </w:rPr>
            </w:pPr>
            <w:hyperlink r:id="rId30" w:history="1">
              <w:r>
                <w:rPr>
                  <w:rStyle w:val="a3"/>
                  <w:rFonts w:ascii="Arial" w:eastAsia="Times New Roman" w:hAnsi="Arial" w:cs="Arial"/>
                  <w:sz w:val="18"/>
                  <w:szCs w:val="18"/>
                </w:rPr>
                <w:t>10.19</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both"/>
              <w:rPr>
                <w:rFonts w:eastAsia="Times New Roman"/>
              </w:rPr>
            </w:pPr>
            <w:r>
              <w:rPr>
                <w:rFonts w:ascii="Arial" w:eastAsia="Times New Roman" w:hAnsi="Arial" w:cs="Arial"/>
                <w:color w:val="000000"/>
                <w:sz w:val="18"/>
                <w:szCs w:val="18"/>
              </w:rPr>
              <w:t>Form of Michael J. Crosby and John P. Rau Restricted Stock Grant Agreement under the 2006 Omnibus Plan (incorporated by reference herein from Exh</w:t>
            </w:r>
            <w:r>
              <w:rPr>
                <w:rFonts w:ascii="Arial" w:eastAsia="Times New Roman" w:hAnsi="Arial" w:cs="Arial"/>
                <w:color w:val="000000"/>
                <w:sz w:val="18"/>
                <w:szCs w:val="18"/>
              </w:rPr>
              <w:t>ibit 10.4 to our 2017 10-Q). *</w:t>
            </w:r>
          </w:p>
        </w:tc>
      </w:tr>
      <w:tr w:rsidR="00000000">
        <w:trPr>
          <w:divId w:val="992369951"/>
        </w:trPr>
        <w:tc>
          <w:tcPr>
            <w:tcW w:w="0" w:type="auto"/>
            <w:gridSpan w:val="3"/>
            <w:tcMar>
              <w:top w:w="30" w:type="dxa"/>
              <w:left w:w="20" w:type="dxa"/>
              <w:bottom w:w="30" w:type="dxa"/>
              <w:right w:w="20" w:type="dxa"/>
            </w:tcMar>
            <w:hideMark/>
          </w:tcPr>
          <w:p w:rsidR="00000000" w:rsidRDefault="002223F7">
            <w:pPr>
              <w:spacing w:after="100"/>
              <w:divId w:val="1933390664"/>
              <w:rPr>
                <w:rFonts w:eastAsia="Times New Roman"/>
              </w:rPr>
            </w:pPr>
            <w:hyperlink r:id="rId31" w:history="1">
              <w:r>
                <w:rPr>
                  <w:rStyle w:val="a3"/>
                  <w:rFonts w:ascii="Arial" w:eastAsia="Times New Roman" w:hAnsi="Arial" w:cs="Arial"/>
                  <w:sz w:val="18"/>
                  <w:szCs w:val="18"/>
                </w:rPr>
                <w:t>10.20</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both"/>
              <w:rPr>
                <w:rFonts w:eastAsia="Times New Roman"/>
              </w:rPr>
            </w:pPr>
            <w:r>
              <w:rPr>
                <w:rFonts w:ascii="Arial" w:eastAsia="Times New Roman" w:hAnsi="Arial" w:cs="Arial"/>
                <w:color w:val="000000"/>
                <w:sz w:val="18"/>
                <w:szCs w:val="18"/>
              </w:rPr>
              <w:t>Form of Michael J. Crosby and John P. Rau Restricted Stock Unit Grant Agreement under the 2006 Omnibus Plan (inc</w:t>
            </w:r>
            <w:r>
              <w:rPr>
                <w:rFonts w:ascii="Arial" w:eastAsia="Times New Roman" w:hAnsi="Arial" w:cs="Arial"/>
                <w:color w:val="000000"/>
                <w:sz w:val="18"/>
                <w:szCs w:val="18"/>
              </w:rPr>
              <w:t>orporated by reference herein from Exhibit 10.24 to our 2017 10-K). *</w:t>
            </w:r>
          </w:p>
        </w:tc>
      </w:tr>
      <w:tr w:rsidR="00000000">
        <w:trPr>
          <w:divId w:val="992369951"/>
        </w:trPr>
        <w:tc>
          <w:tcPr>
            <w:tcW w:w="0" w:type="auto"/>
            <w:gridSpan w:val="3"/>
            <w:tcMar>
              <w:top w:w="30" w:type="dxa"/>
              <w:left w:w="20" w:type="dxa"/>
              <w:bottom w:w="30" w:type="dxa"/>
              <w:right w:w="20" w:type="dxa"/>
            </w:tcMar>
            <w:hideMark/>
          </w:tcPr>
          <w:p w:rsidR="00000000" w:rsidRDefault="002223F7">
            <w:pPr>
              <w:spacing w:after="100"/>
              <w:divId w:val="1736775547"/>
              <w:rPr>
                <w:rFonts w:eastAsia="Times New Roman"/>
              </w:rPr>
            </w:pPr>
            <w:hyperlink r:id="rId32" w:history="1">
              <w:r>
                <w:rPr>
                  <w:rStyle w:val="a3"/>
                  <w:rFonts w:ascii="Arial" w:eastAsia="Times New Roman" w:hAnsi="Arial" w:cs="Arial"/>
                  <w:sz w:val="18"/>
                  <w:szCs w:val="18"/>
                </w:rPr>
                <w:t>10.21</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both"/>
              <w:rPr>
                <w:rFonts w:eastAsia="Times New Roman"/>
              </w:rPr>
            </w:pPr>
            <w:r>
              <w:rPr>
                <w:rFonts w:ascii="Arial" w:eastAsia="Times New Roman" w:hAnsi="Arial" w:cs="Arial"/>
                <w:color w:val="000000"/>
                <w:sz w:val="18"/>
                <w:szCs w:val="18"/>
              </w:rPr>
              <w:t>Form of Named Executive Officer Stock-Settled Stock Appreciation Right Agreement under the 2016 Omnibus Plan (incorporated by reference herein from Exhibit 10.24 to our 2020 10-K). *</w:t>
            </w:r>
          </w:p>
        </w:tc>
      </w:tr>
      <w:tr w:rsidR="00000000">
        <w:trPr>
          <w:divId w:val="992369951"/>
        </w:trPr>
        <w:tc>
          <w:tcPr>
            <w:tcW w:w="0" w:type="auto"/>
            <w:gridSpan w:val="3"/>
            <w:tcMar>
              <w:top w:w="30" w:type="dxa"/>
              <w:left w:w="20" w:type="dxa"/>
              <w:bottom w:w="30" w:type="dxa"/>
              <w:right w:w="20" w:type="dxa"/>
            </w:tcMar>
            <w:hideMark/>
          </w:tcPr>
          <w:p w:rsidR="00000000" w:rsidRDefault="002223F7">
            <w:pPr>
              <w:spacing w:after="100"/>
              <w:divId w:val="1514610757"/>
              <w:rPr>
                <w:rFonts w:eastAsia="Times New Roman"/>
              </w:rPr>
            </w:pPr>
            <w:hyperlink r:id="rId33" w:history="1">
              <w:r>
                <w:rPr>
                  <w:rStyle w:val="a3"/>
                  <w:rFonts w:ascii="Arial" w:eastAsia="Times New Roman" w:hAnsi="Arial" w:cs="Arial"/>
                  <w:sz w:val="18"/>
                  <w:szCs w:val="18"/>
                </w:rPr>
                <w:t>10.22</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both"/>
              <w:rPr>
                <w:rFonts w:eastAsia="Times New Roman"/>
              </w:rPr>
            </w:pPr>
            <w:r>
              <w:rPr>
                <w:rFonts w:ascii="Arial" w:eastAsia="Times New Roman" w:hAnsi="Arial" w:cs="Arial"/>
                <w:color w:val="000000"/>
                <w:sz w:val="18"/>
                <w:szCs w:val="18"/>
              </w:rPr>
              <w:t>Amended and Restated Employment Agreement, dated November 10, 2022, between World Fuel Services Corporation and Michael J. Kasbar (incorporated by reference herein from Exhibit 10.1 to our Current Report on Form 8</w:t>
            </w:r>
            <w:r>
              <w:rPr>
                <w:rFonts w:ascii="Arial" w:eastAsia="Times New Roman" w:hAnsi="Arial" w:cs="Arial"/>
                <w:color w:val="000000"/>
                <w:sz w:val="18"/>
                <w:szCs w:val="18"/>
              </w:rPr>
              <w:noBreakHyphen/>
            </w:r>
            <w:r>
              <w:rPr>
                <w:rFonts w:ascii="Arial" w:eastAsia="Times New Roman" w:hAnsi="Arial" w:cs="Arial"/>
                <w:color w:val="000000"/>
                <w:sz w:val="18"/>
                <w:szCs w:val="18"/>
              </w:rPr>
              <w:t>K filed on November 14, 2022 (SEC Accession No. 0001157523-22-001610). *</w:t>
            </w:r>
          </w:p>
        </w:tc>
      </w:tr>
      <w:tr w:rsidR="00000000">
        <w:trPr>
          <w:divId w:val="992369951"/>
        </w:trPr>
        <w:tc>
          <w:tcPr>
            <w:tcW w:w="0" w:type="auto"/>
            <w:gridSpan w:val="3"/>
            <w:tcMar>
              <w:top w:w="30" w:type="dxa"/>
              <w:left w:w="20" w:type="dxa"/>
              <w:bottom w:w="30" w:type="dxa"/>
              <w:right w:w="20" w:type="dxa"/>
            </w:tcMar>
            <w:hideMark/>
          </w:tcPr>
          <w:p w:rsidR="00000000" w:rsidRDefault="002223F7">
            <w:pPr>
              <w:spacing w:after="100"/>
              <w:divId w:val="444619340"/>
              <w:rPr>
                <w:rFonts w:eastAsia="Times New Roman"/>
              </w:rPr>
            </w:pPr>
            <w:hyperlink r:id="rId34" w:history="1">
              <w:r>
                <w:rPr>
                  <w:rStyle w:val="a3"/>
                  <w:rFonts w:ascii="Arial" w:eastAsia="Times New Roman" w:hAnsi="Arial" w:cs="Arial"/>
                  <w:sz w:val="18"/>
                  <w:szCs w:val="18"/>
                </w:rPr>
                <w:t>10.23</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both"/>
              <w:rPr>
                <w:rFonts w:eastAsia="Times New Roman"/>
              </w:rPr>
            </w:pPr>
            <w:r>
              <w:rPr>
                <w:rFonts w:ascii="Arial" w:eastAsia="Times New Roman" w:hAnsi="Arial" w:cs="Arial"/>
                <w:color w:val="000000"/>
                <w:sz w:val="18"/>
                <w:szCs w:val="18"/>
              </w:rPr>
              <w:t>Consulting Agreement, effective as of April 1, 2022, between World Fuel Services and Michael J. Crosby (incorporated by reference herein from Exhibit 10.1 to our Current Report on Form 8-K filed on March 23, 2022).*</w:t>
            </w:r>
          </w:p>
        </w:tc>
      </w:tr>
      <w:tr w:rsidR="00000000">
        <w:trPr>
          <w:divId w:val="992369951"/>
        </w:trPr>
        <w:tc>
          <w:tcPr>
            <w:tcW w:w="0" w:type="auto"/>
            <w:gridSpan w:val="3"/>
            <w:tcMar>
              <w:top w:w="30" w:type="dxa"/>
              <w:left w:w="20" w:type="dxa"/>
              <w:bottom w:w="30" w:type="dxa"/>
              <w:right w:w="20" w:type="dxa"/>
            </w:tcMar>
            <w:hideMark/>
          </w:tcPr>
          <w:p w:rsidR="00000000" w:rsidRDefault="002223F7">
            <w:pPr>
              <w:spacing w:after="100"/>
              <w:divId w:val="973170410"/>
              <w:rPr>
                <w:rFonts w:eastAsia="Times New Roman"/>
              </w:rPr>
            </w:pPr>
            <w:hyperlink r:id="rId35" w:history="1">
              <w:r>
                <w:rPr>
                  <w:rStyle w:val="a3"/>
                  <w:rFonts w:ascii="Arial" w:eastAsia="Times New Roman" w:hAnsi="Arial" w:cs="Arial"/>
                  <w:sz w:val="18"/>
                  <w:szCs w:val="18"/>
                </w:rPr>
                <w:t>10.24</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both"/>
              <w:rPr>
                <w:rFonts w:eastAsia="Times New Roman"/>
              </w:rPr>
            </w:pPr>
            <w:r>
              <w:rPr>
                <w:rFonts w:ascii="Arial" w:eastAsia="Times New Roman" w:hAnsi="Arial" w:cs="Arial"/>
                <w:color w:val="000000"/>
                <w:sz w:val="18"/>
                <w:szCs w:val="18"/>
              </w:rPr>
              <w:t>Fourth Amended and Restated Credit Agreement, dated as of October 10, 2013, among World Fuel Services Corporation, World Fuel Services Europe, Ltd. and World Fuel Services (Singap</w:t>
            </w:r>
            <w:r>
              <w:rPr>
                <w:rFonts w:ascii="Arial" w:eastAsia="Times New Roman" w:hAnsi="Arial" w:cs="Arial"/>
                <w:color w:val="000000"/>
                <w:sz w:val="18"/>
                <w:szCs w:val="18"/>
              </w:rPr>
              <w:t>ore) Pte Ltd, as borrowers, Bank of America, N.A., as administrative agent, and the financial institutions named therein as lenders (incorporated herein by reference to Exhibit 10.1 to our Current Report on Form 8-K filed on October 11, 2013).*</w:t>
            </w:r>
          </w:p>
        </w:tc>
      </w:tr>
      <w:tr w:rsidR="00000000">
        <w:trPr>
          <w:divId w:val="992369951"/>
        </w:trPr>
        <w:tc>
          <w:tcPr>
            <w:tcW w:w="0" w:type="auto"/>
            <w:gridSpan w:val="3"/>
            <w:tcMar>
              <w:top w:w="30" w:type="dxa"/>
              <w:left w:w="20" w:type="dxa"/>
              <w:bottom w:w="30" w:type="dxa"/>
              <w:right w:w="20" w:type="dxa"/>
            </w:tcMar>
            <w:hideMark/>
          </w:tcPr>
          <w:p w:rsidR="00000000" w:rsidRDefault="002223F7">
            <w:pPr>
              <w:spacing w:after="100"/>
              <w:divId w:val="912739892"/>
              <w:rPr>
                <w:rFonts w:eastAsia="Times New Roman"/>
              </w:rPr>
            </w:pPr>
            <w:hyperlink r:id="rId36" w:history="1">
              <w:r>
                <w:rPr>
                  <w:rStyle w:val="a3"/>
                  <w:rFonts w:ascii="Arial" w:eastAsia="Times New Roman" w:hAnsi="Arial" w:cs="Arial"/>
                  <w:sz w:val="18"/>
                  <w:szCs w:val="18"/>
                </w:rPr>
                <w:t>10.25</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both"/>
              <w:rPr>
                <w:rFonts w:eastAsia="Times New Roman"/>
              </w:rPr>
            </w:pPr>
            <w:r>
              <w:rPr>
                <w:rFonts w:ascii="Arial" w:eastAsia="Times New Roman" w:hAnsi="Arial" w:cs="Arial"/>
                <w:color w:val="000000"/>
                <w:sz w:val="18"/>
                <w:szCs w:val="18"/>
              </w:rPr>
              <w:t>Amendment No. 1 to the Fourth Amended and Restated Credit Agreement, and Joinder Agreement, dated as of January 30, 2015, among World Fuel Servi</w:t>
            </w:r>
            <w:r>
              <w:rPr>
                <w:rFonts w:ascii="Arial" w:eastAsia="Times New Roman" w:hAnsi="Arial" w:cs="Arial"/>
                <w:color w:val="000000"/>
                <w:sz w:val="18"/>
                <w:szCs w:val="18"/>
              </w:rPr>
              <w:t>ces Corporation, World Fuel Services Europe, Ltd. and World Fuel Services (Singapore) Pte Ltd, as borrowers, Bank of America, N.A., as administrative agent, and the financial institutions named therein as lenders (incorporated by reference herein from Exhi</w:t>
            </w:r>
            <w:r>
              <w:rPr>
                <w:rFonts w:ascii="Arial" w:eastAsia="Times New Roman" w:hAnsi="Arial" w:cs="Arial"/>
                <w:color w:val="000000"/>
                <w:sz w:val="18"/>
                <w:szCs w:val="18"/>
              </w:rPr>
              <w:t>bit 10.1 to our Current Report on Form 8-K filed on February 5, 2015).</w:t>
            </w:r>
          </w:p>
        </w:tc>
      </w:tr>
      <w:tr w:rsidR="00000000">
        <w:trPr>
          <w:divId w:val="992369951"/>
        </w:trPr>
        <w:tc>
          <w:tcPr>
            <w:tcW w:w="0" w:type="auto"/>
            <w:gridSpan w:val="3"/>
            <w:tcMar>
              <w:top w:w="30" w:type="dxa"/>
              <w:left w:w="20" w:type="dxa"/>
              <w:bottom w:w="30" w:type="dxa"/>
              <w:right w:w="20" w:type="dxa"/>
            </w:tcMar>
            <w:hideMark/>
          </w:tcPr>
          <w:p w:rsidR="00000000" w:rsidRDefault="002223F7">
            <w:pPr>
              <w:spacing w:after="100"/>
              <w:divId w:val="971399944"/>
              <w:rPr>
                <w:rFonts w:eastAsia="Times New Roman"/>
              </w:rPr>
            </w:pPr>
            <w:hyperlink r:id="rId37" w:history="1">
              <w:r>
                <w:rPr>
                  <w:rStyle w:val="a3"/>
                  <w:rFonts w:ascii="Arial" w:eastAsia="Times New Roman" w:hAnsi="Arial" w:cs="Arial"/>
                  <w:sz w:val="18"/>
                  <w:szCs w:val="18"/>
                </w:rPr>
                <w:t>10.26</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both"/>
              <w:rPr>
                <w:rFonts w:eastAsia="Times New Roman"/>
              </w:rPr>
            </w:pPr>
            <w:r>
              <w:rPr>
                <w:rFonts w:ascii="Arial" w:eastAsia="Times New Roman" w:hAnsi="Arial" w:cs="Arial"/>
                <w:color w:val="000000"/>
                <w:sz w:val="18"/>
                <w:szCs w:val="18"/>
              </w:rPr>
              <w:t>Amendment No. 2 to the Fourth Amended and Restated Credit Agreement, and Joinder Agreement, dated as of October 26, 2016, among World Fuel Services</w:t>
            </w:r>
            <w:r>
              <w:rPr>
                <w:rFonts w:ascii="Arial" w:eastAsia="Times New Roman" w:hAnsi="Arial" w:cs="Arial"/>
                <w:color w:val="000000"/>
                <w:sz w:val="18"/>
                <w:szCs w:val="18"/>
              </w:rPr>
              <w:t xml:space="preserve"> Corporation, World Fuel Services Europe, Ltd. and World Fuel Services (Singapore) Pte Ltd, as borrowers, Bank of America, N.A., as administrative agent, and the financial institutions named therein as lenders (incorporated by reference herein from Exhibit</w:t>
            </w:r>
            <w:r>
              <w:rPr>
                <w:rFonts w:ascii="Arial" w:eastAsia="Times New Roman" w:hAnsi="Arial" w:cs="Arial"/>
                <w:color w:val="000000"/>
                <w:sz w:val="18"/>
                <w:szCs w:val="18"/>
              </w:rPr>
              <w:t xml:space="preserve"> 10.1 to our Current Report on Form 8-K filed on October 27, 2016).</w:t>
            </w:r>
          </w:p>
        </w:tc>
      </w:tr>
      <w:tr w:rsidR="00000000">
        <w:trPr>
          <w:divId w:val="992369951"/>
        </w:trPr>
        <w:tc>
          <w:tcPr>
            <w:tcW w:w="0" w:type="auto"/>
            <w:gridSpan w:val="3"/>
            <w:tcMar>
              <w:top w:w="30" w:type="dxa"/>
              <w:left w:w="20" w:type="dxa"/>
              <w:bottom w:w="30" w:type="dxa"/>
              <w:right w:w="20" w:type="dxa"/>
            </w:tcMar>
            <w:hideMark/>
          </w:tcPr>
          <w:p w:rsidR="00000000" w:rsidRDefault="002223F7">
            <w:pPr>
              <w:spacing w:after="100"/>
              <w:divId w:val="1365709540"/>
              <w:rPr>
                <w:rFonts w:eastAsia="Times New Roman"/>
              </w:rPr>
            </w:pPr>
            <w:hyperlink r:id="rId38" w:history="1">
              <w:r>
                <w:rPr>
                  <w:rStyle w:val="a3"/>
                  <w:rFonts w:ascii="Arial" w:eastAsia="Times New Roman" w:hAnsi="Arial" w:cs="Arial"/>
                  <w:sz w:val="18"/>
                  <w:szCs w:val="18"/>
                </w:rPr>
                <w:t>10.27</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both"/>
              <w:rPr>
                <w:rFonts w:eastAsia="Times New Roman"/>
              </w:rPr>
            </w:pPr>
            <w:r>
              <w:rPr>
                <w:rFonts w:ascii="Arial" w:eastAsia="Times New Roman" w:hAnsi="Arial" w:cs="Arial"/>
                <w:color w:val="000000"/>
                <w:sz w:val="18"/>
                <w:szCs w:val="18"/>
              </w:rPr>
              <w:t>Amendment No. 3 to the Fourth Amended and Restated Credit Agreement, dated a</w:t>
            </w:r>
            <w:r>
              <w:rPr>
                <w:rFonts w:ascii="Arial" w:eastAsia="Times New Roman" w:hAnsi="Arial" w:cs="Arial"/>
                <w:color w:val="000000"/>
                <w:sz w:val="18"/>
                <w:szCs w:val="18"/>
              </w:rPr>
              <w:t>s of May 12, 2017, among World Fuel Services Corporation, World Fuel Services Europe, Ltd. and World Fuel Services (Singapore) Pte Ltd, as borrowers, Bank of America, N.A., as administrative agent, and the financial institutions named therein as lenders (i</w:t>
            </w:r>
            <w:r>
              <w:rPr>
                <w:rFonts w:ascii="Arial" w:eastAsia="Times New Roman" w:hAnsi="Arial" w:cs="Arial"/>
                <w:color w:val="000000"/>
                <w:sz w:val="18"/>
                <w:szCs w:val="18"/>
              </w:rPr>
              <w:t>ncorporated by reference herein from Exhibit 10.2 to our 2017 10-Q).</w:t>
            </w:r>
          </w:p>
        </w:tc>
      </w:tr>
      <w:tr w:rsidR="00000000">
        <w:trPr>
          <w:divId w:val="992369951"/>
        </w:trPr>
        <w:tc>
          <w:tcPr>
            <w:tcW w:w="0" w:type="auto"/>
            <w:gridSpan w:val="3"/>
            <w:tcMar>
              <w:top w:w="30" w:type="dxa"/>
              <w:left w:w="20" w:type="dxa"/>
              <w:bottom w:w="30" w:type="dxa"/>
              <w:right w:w="20" w:type="dxa"/>
            </w:tcMar>
            <w:hideMark/>
          </w:tcPr>
          <w:p w:rsidR="00000000" w:rsidRDefault="002223F7">
            <w:pPr>
              <w:spacing w:after="100"/>
              <w:divId w:val="927036569"/>
              <w:rPr>
                <w:rFonts w:eastAsia="Times New Roman"/>
              </w:rPr>
            </w:pPr>
            <w:hyperlink r:id="rId39" w:history="1">
              <w:r>
                <w:rPr>
                  <w:rStyle w:val="a3"/>
                  <w:rFonts w:ascii="Arial" w:eastAsia="Times New Roman" w:hAnsi="Arial" w:cs="Arial"/>
                  <w:sz w:val="18"/>
                  <w:szCs w:val="18"/>
                </w:rPr>
                <w:t>10.28</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both"/>
              <w:rPr>
                <w:rFonts w:eastAsia="Times New Roman"/>
              </w:rPr>
            </w:pPr>
            <w:r>
              <w:rPr>
                <w:rFonts w:ascii="Arial" w:eastAsia="Times New Roman" w:hAnsi="Arial" w:cs="Arial"/>
                <w:color w:val="000000"/>
                <w:sz w:val="18"/>
                <w:szCs w:val="18"/>
              </w:rPr>
              <w:t>Amendment No. 4 to the Fourth Amended and Restated Credit Agreement, dated as January 30, 2018, among World Fuel Services Corporation, World Fuel Services Europe, Ltd. and World Fuel Services (Singapore) Pte Ltd, as borrowers, Bank of America, N.A., as adm</w:t>
            </w:r>
            <w:r>
              <w:rPr>
                <w:rFonts w:ascii="Arial" w:eastAsia="Times New Roman" w:hAnsi="Arial" w:cs="Arial"/>
                <w:color w:val="000000"/>
                <w:sz w:val="18"/>
                <w:szCs w:val="18"/>
              </w:rPr>
              <w:t>inistrative agent, and the financial institutions named therein as lenders (incorporated by reference herein from Exhibit 10.30 to our 2017 10-K).</w:t>
            </w:r>
          </w:p>
        </w:tc>
      </w:tr>
      <w:tr w:rsidR="00000000">
        <w:trPr>
          <w:divId w:val="992369951"/>
        </w:trPr>
        <w:tc>
          <w:tcPr>
            <w:tcW w:w="0" w:type="auto"/>
            <w:gridSpan w:val="3"/>
            <w:tcMar>
              <w:top w:w="30" w:type="dxa"/>
              <w:left w:w="20" w:type="dxa"/>
              <w:bottom w:w="30" w:type="dxa"/>
              <w:right w:w="20" w:type="dxa"/>
            </w:tcMar>
            <w:hideMark/>
          </w:tcPr>
          <w:p w:rsidR="00000000" w:rsidRDefault="002223F7">
            <w:pPr>
              <w:spacing w:after="100"/>
              <w:divId w:val="1106313779"/>
              <w:rPr>
                <w:rFonts w:eastAsia="Times New Roman"/>
              </w:rPr>
            </w:pPr>
            <w:hyperlink r:id="rId40" w:history="1">
              <w:r>
                <w:rPr>
                  <w:rStyle w:val="a3"/>
                  <w:rFonts w:ascii="Arial" w:eastAsia="Times New Roman" w:hAnsi="Arial" w:cs="Arial"/>
                  <w:sz w:val="18"/>
                  <w:szCs w:val="18"/>
                </w:rPr>
                <w:t>10.29</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both"/>
              <w:rPr>
                <w:rFonts w:eastAsia="Times New Roman"/>
              </w:rPr>
            </w:pPr>
            <w:r>
              <w:rPr>
                <w:rFonts w:ascii="Arial" w:eastAsia="Times New Roman" w:hAnsi="Arial" w:cs="Arial"/>
                <w:color w:val="000000"/>
                <w:sz w:val="18"/>
                <w:szCs w:val="18"/>
              </w:rPr>
              <w:t xml:space="preserve">Amendment No. 5 to the Fourth Amended and Restated Credit Agreement, dated as of October 26, 2016, among World Fuel Services Corporation, World Fuel Services Europe, Ltd., World Fuel Services (Singapore) Pte Ltd, and certain other Subsidiaries, </w:t>
            </w:r>
            <w:r>
              <w:rPr>
                <w:rFonts w:ascii="Arial" w:eastAsia="Times New Roman" w:hAnsi="Arial" w:cs="Arial"/>
                <w:color w:val="000000"/>
                <w:sz w:val="18"/>
                <w:szCs w:val="18"/>
              </w:rPr>
              <w:t>as borrowers, Bank of America, N.A., as administrative agent, and the financial institutions named therein as lenders (incorporated by reference herein from Exhibit 10.1 to our Current Report on Form 8-K filed on July 24, 2019).</w:t>
            </w:r>
          </w:p>
        </w:tc>
      </w:tr>
      <w:tr w:rsidR="00000000">
        <w:trPr>
          <w:divId w:val="992369951"/>
        </w:trPr>
        <w:tc>
          <w:tcPr>
            <w:tcW w:w="0" w:type="auto"/>
            <w:gridSpan w:val="3"/>
            <w:tcMar>
              <w:top w:w="30" w:type="dxa"/>
              <w:left w:w="20" w:type="dxa"/>
              <w:bottom w:w="30" w:type="dxa"/>
              <w:right w:w="20" w:type="dxa"/>
            </w:tcMar>
            <w:hideMark/>
          </w:tcPr>
          <w:p w:rsidR="00000000" w:rsidRDefault="002223F7">
            <w:pPr>
              <w:spacing w:after="100"/>
              <w:divId w:val="1912423044"/>
              <w:rPr>
                <w:rFonts w:eastAsia="Times New Roman"/>
              </w:rPr>
            </w:pPr>
            <w:hyperlink r:id="rId41" w:history="1">
              <w:r>
                <w:rPr>
                  <w:rStyle w:val="a3"/>
                  <w:rFonts w:ascii="Arial" w:eastAsia="Times New Roman" w:hAnsi="Arial" w:cs="Arial"/>
                  <w:sz w:val="18"/>
                  <w:szCs w:val="18"/>
                </w:rPr>
                <w:t>10.30</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hideMark/>
          </w:tcPr>
          <w:p w:rsidR="00000000" w:rsidRDefault="002223F7">
            <w:pPr>
              <w:spacing w:after="100"/>
              <w:jc w:val="both"/>
              <w:rPr>
                <w:rFonts w:eastAsia="Times New Roman"/>
              </w:rPr>
            </w:pPr>
            <w:r>
              <w:rPr>
                <w:rFonts w:ascii="Arial" w:eastAsia="Times New Roman" w:hAnsi="Arial" w:cs="Arial"/>
                <w:color w:val="000000"/>
                <w:sz w:val="18"/>
                <w:szCs w:val="18"/>
              </w:rPr>
              <w:t>Amendment No. 6 to the Fourth Amended and Restated Credit Agreement, dated as of November 24, 2021, among World Fuel Services Corporation, World Fuel Services Europe, Ltd.,</w:t>
            </w:r>
            <w:r>
              <w:rPr>
                <w:rFonts w:ascii="Arial" w:eastAsia="Times New Roman" w:hAnsi="Arial" w:cs="Arial"/>
                <w:color w:val="000000"/>
                <w:sz w:val="18"/>
                <w:szCs w:val="18"/>
              </w:rPr>
              <w:t xml:space="preserve"> World Fuel Services (Singapore) Pte Ltd, and certain other Subsidiaries, as borrowers, Bank of America, N.A., as administrative agent, and the financial institutions named therein as lenders (incorporated by reference herein from Exhibit 10.28 to our Annu</w:t>
            </w:r>
            <w:r>
              <w:rPr>
                <w:rFonts w:ascii="Arial" w:eastAsia="Times New Roman" w:hAnsi="Arial" w:cs="Arial"/>
                <w:color w:val="000000"/>
                <w:sz w:val="18"/>
                <w:szCs w:val="18"/>
              </w:rPr>
              <w:t>al Report on Form 10-K filed on February 25, 2022).</w:t>
            </w:r>
          </w:p>
        </w:tc>
      </w:tr>
      <w:tr w:rsidR="00000000">
        <w:trPr>
          <w:divId w:val="992369951"/>
        </w:trPr>
        <w:tc>
          <w:tcPr>
            <w:tcW w:w="0" w:type="auto"/>
            <w:gridSpan w:val="3"/>
            <w:tcMar>
              <w:top w:w="30" w:type="dxa"/>
              <w:left w:w="20" w:type="dxa"/>
              <w:bottom w:w="30" w:type="dxa"/>
              <w:right w:w="20" w:type="dxa"/>
            </w:tcMar>
            <w:hideMark/>
          </w:tcPr>
          <w:p w:rsidR="00000000" w:rsidRDefault="002223F7">
            <w:pPr>
              <w:spacing w:after="100"/>
              <w:divId w:val="1342970487"/>
              <w:rPr>
                <w:rFonts w:eastAsia="Times New Roman"/>
              </w:rPr>
            </w:pPr>
            <w:hyperlink r:id="rId42" w:history="1">
              <w:r>
                <w:rPr>
                  <w:rStyle w:val="a3"/>
                  <w:rFonts w:ascii="Arial" w:eastAsia="Times New Roman" w:hAnsi="Arial" w:cs="Arial"/>
                  <w:sz w:val="18"/>
                  <w:szCs w:val="18"/>
                </w:rPr>
                <w:t>10.31</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hideMark/>
          </w:tcPr>
          <w:p w:rsidR="00000000" w:rsidRDefault="002223F7">
            <w:pPr>
              <w:spacing w:after="100"/>
              <w:jc w:val="both"/>
              <w:rPr>
                <w:rFonts w:eastAsia="Times New Roman"/>
              </w:rPr>
            </w:pPr>
            <w:r>
              <w:rPr>
                <w:rFonts w:ascii="Arial" w:eastAsia="Times New Roman" w:hAnsi="Arial" w:cs="Arial"/>
                <w:color w:val="000000"/>
                <w:sz w:val="18"/>
                <w:szCs w:val="18"/>
              </w:rPr>
              <w:t>Amendment No. 7 to the Fourth Amended and Restated Credit Agreement, dated as of November 26, 2021, among World Fuel Services Corpora</w:t>
            </w:r>
            <w:r>
              <w:rPr>
                <w:rFonts w:ascii="Arial" w:eastAsia="Times New Roman" w:hAnsi="Arial" w:cs="Arial"/>
                <w:color w:val="000000"/>
                <w:sz w:val="18"/>
                <w:szCs w:val="18"/>
              </w:rPr>
              <w:t>tion, World Fuel Services Europe, Ltd., World Fuel Services (Singapore) Pte Ltd, and certain other Subsidiaries, as borrowers, Bank of America, N.A., as administrative agent, and the financial institutions named therein as lenders (incorporated by referenc</w:t>
            </w:r>
            <w:r>
              <w:rPr>
                <w:rFonts w:ascii="Arial" w:eastAsia="Times New Roman" w:hAnsi="Arial" w:cs="Arial"/>
                <w:color w:val="000000"/>
                <w:sz w:val="18"/>
                <w:szCs w:val="18"/>
              </w:rPr>
              <w:t>e herein from Exhibit 10.29 to our Annual Report on Form 10-K filed on February 25, 2022).</w:t>
            </w:r>
          </w:p>
        </w:tc>
      </w:tr>
      <w:tr w:rsidR="00000000">
        <w:trPr>
          <w:divId w:val="992369951"/>
        </w:trPr>
        <w:tc>
          <w:tcPr>
            <w:tcW w:w="0" w:type="auto"/>
            <w:gridSpan w:val="3"/>
            <w:tcMar>
              <w:top w:w="30" w:type="dxa"/>
              <w:left w:w="20" w:type="dxa"/>
              <w:bottom w:w="30" w:type="dxa"/>
              <w:right w:w="20" w:type="dxa"/>
            </w:tcMar>
            <w:hideMark/>
          </w:tcPr>
          <w:p w:rsidR="00000000" w:rsidRDefault="002223F7">
            <w:pPr>
              <w:spacing w:after="100"/>
              <w:divId w:val="1753232168"/>
              <w:rPr>
                <w:rFonts w:eastAsia="Times New Roman"/>
              </w:rPr>
            </w:pPr>
            <w:hyperlink r:id="rId43" w:history="1">
              <w:r>
                <w:rPr>
                  <w:rStyle w:val="a3"/>
                  <w:rFonts w:ascii="Arial" w:eastAsia="Times New Roman" w:hAnsi="Arial" w:cs="Arial"/>
                  <w:sz w:val="18"/>
                  <w:szCs w:val="18"/>
                </w:rPr>
                <w:t>10.32</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hideMark/>
          </w:tcPr>
          <w:p w:rsidR="00000000" w:rsidRDefault="002223F7">
            <w:pPr>
              <w:spacing w:after="100"/>
              <w:jc w:val="both"/>
              <w:rPr>
                <w:rFonts w:eastAsia="Times New Roman"/>
              </w:rPr>
            </w:pPr>
            <w:r>
              <w:rPr>
                <w:rFonts w:ascii="Arial" w:eastAsia="Times New Roman" w:hAnsi="Arial" w:cs="Arial"/>
                <w:color w:val="000000"/>
                <w:sz w:val="18"/>
                <w:szCs w:val="18"/>
              </w:rPr>
              <w:t>Amendment No. 8 to Fourth Amended and R</w:t>
            </w:r>
            <w:r>
              <w:rPr>
                <w:rFonts w:ascii="Arial" w:eastAsia="Times New Roman" w:hAnsi="Arial" w:cs="Arial"/>
                <w:color w:val="000000"/>
                <w:sz w:val="18"/>
                <w:szCs w:val="18"/>
              </w:rPr>
              <w:t>estated Credit Agreement, dated as of April 1, 2022, among World Fuel Services Corporation, World Fuel Services Europe, Ltd., World Fuel Services (Singapore) Pte Ltd, and certain other Subsidiaries, as borrowers, Bank of America, N.A., as administrative ag</w:t>
            </w:r>
            <w:r>
              <w:rPr>
                <w:rFonts w:ascii="Arial" w:eastAsia="Times New Roman" w:hAnsi="Arial" w:cs="Arial"/>
                <w:color w:val="000000"/>
                <w:sz w:val="18"/>
                <w:szCs w:val="18"/>
              </w:rPr>
              <w:t>ent, and the financial institutions named therein as lenders (incorporated by reference herein from Exhibit 10.1 to our Current Report on Form 8-K filed on April 1, 2022).</w:t>
            </w:r>
          </w:p>
        </w:tc>
      </w:tr>
    </w:tbl>
    <w:p w:rsidR="00000000" w:rsidRDefault="002223F7">
      <w:pPr>
        <w:jc w:val="center"/>
        <w:divId w:val="419376733"/>
        <w:rPr>
          <w:rFonts w:eastAsia="Times New Roman"/>
        </w:rPr>
      </w:pPr>
      <w:r>
        <w:rPr>
          <w:rFonts w:ascii="Arial" w:eastAsia="Times New Roman" w:hAnsi="Arial" w:cs="Arial"/>
          <w:color w:val="000000"/>
          <w:sz w:val="16"/>
          <w:szCs w:val="16"/>
        </w:rPr>
        <w:t>39</w:t>
      </w:r>
    </w:p>
    <w:p w:rsidR="00000000" w:rsidRDefault="002223F7">
      <w:pPr>
        <w:rPr>
          <w:rFonts w:eastAsia="Times New Roman"/>
        </w:rPr>
      </w:pPr>
      <w:r>
        <w:rPr>
          <w:rFonts w:eastAsia="Times New Roman"/>
        </w:rPr>
        <w:pict>
          <v:rect id="_x0000_i1070" style="width:0;height:1.5pt" o:hralign="center" o:hrstd="t" o:hr="t" fillcolor="#a0a0a0" stroked="f"/>
        </w:pict>
      </w:r>
    </w:p>
    <w:p w:rsidR="00000000" w:rsidRDefault="002223F7">
      <w:pPr>
        <w:jc w:val="both"/>
        <w:divId w:val="1988896085"/>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1"/>
        <w:gridCol w:w="674"/>
        <w:gridCol w:w="36"/>
        <w:gridCol w:w="36"/>
        <w:gridCol w:w="36"/>
        <w:gridCol w:w="36"/>
        <w:gridCol w:w="45"/>
        <w:gridCol w:w="7344"/>
        <w:gridCol w:w="38"/>
      </w:tblGrid>
      <w:tr w:rsidR="00000000">
        <w:trPr>
          <w:divId w:val="2054771526"/>
        </w:trPr>
        <w:tc>
          <w:tcPr>
            <w:tcW w:w="50" w:type="pct"/>
            <w:vAlign w:val="center"/>
            <w:hideMark/>
          </w:tcPr>
          <w:p w:rsidR="00000000" w:rsidRDefault="002223F7">
            <w:pPr>
              <w:jc w:val="both"/>
              <w:rPr>
                <w:rFonts w:eastAsia="Times New Roman"/>
              </w:rPr>
            </w:pPr>
          </w:p>
        </w:tc>
        <w:tc>
          <w:tcPr>
            <w:tcW w:w="420"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26"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433"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2054771526"/>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16"/>
                <w:szCs w:val="16"/>
              </w:rPr>
              <w:t>Exhibit No.</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16"/>
                <w:szCs w:val="16"/>
              </w:rPr>
              <w:t>Description</w:t>
            </w:r>
          </w:p>
        </w:tc>
      </w:tr>
      <w:tr w:rsidR="00000000">
        <w:trPr>
          <w:divId w:val="2054771526"/>
        </w:trPr>
        <w:tc>
          <w:tcPr>
            <w:tcW w:w="0" w:type="auto"/>
            <w:gridSpan w:val="3"/>
            <w:tcMar>
              <w:top w:w="30" w:type="dxa"/>
              <w:left w:w="20" w:type="dxa"/>
              <w:bottom w:w="30" w:type="dxa"/>
              <w:right w:w="20" w:type="dxa"/>
            </w:tcMar>
            <w:hideMark/>
          </w:tcPr>
          <w:p w:rsidR="00000000" w:rsidRDefault="002223F7">
            <w:pPr>
              <w:spacing w:after="100"/>
              <w:divId w:val="639699679"/>
              <w:rPr>
                <w:rFonts w:eastAsia="Times New Roman"/>
              </w:rPr>
            </w:pPr>
            <w:hyperlink r:id="rId44" w:history="1">
              <w:r>
                <w:rPr>
                  <w:rStyle w:val="a3"/>
                  <w:rFonts w:ascii="Arial" w:eastAsia="Times New Roman" w:hAnsi="Arial" w:cs="Arial"/>
                  <w:sz w:val="18"/>
                  <w:szCs w:val="18"/>
                </w:rPr>
                <w:t>10.33</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hideMark/>
          </w:tcPr>
          <w:p w:rsidR="00000000" w:rsidRDefault="002223F7">
            <w:pPr>
              <w:spacing w:after="100"/>
              <w:jc w:val="both"/>
              <w:rPr>
                <w:rFonts w:eastAsia="Times New Roman"/>
              </w:rPr>
            </w:pPr>
            <w:r>
              <w:rPr>
                <w:rFonts w:ascii="Arial" w:eastAsia="Times New Roman" w:hAnsi="Arial" w:cs="Arial"/>
                <w:color w:val="000000"/>
                <w:sz w:val="18"/>
                <w:szCs w:val="18"/>
              </w:rPr>
              <w:t>Amendment No. 9 to the Fourth Amended and Restated Credit Agreement, dated as of July 12, 2022, among World Fuel Services Corporation</w:t>
            </w:r>
            <w:r>
              <w:rPr>
                <w:rFonts w:ascii="Arial" w:eastAsia="Times New Roman" w:hAnsi="Arial" w:cs="Arial"/>
                <w:color w:val="000000"/>
                <w:sz w:val="18"/>
                <w:szCs w:val="18"/>
              </w:rPr>
              <w:t>, World Fuel Services Europe, Ltd., World Fuel Services (Singapore) Pte Ltd, and certain other Subsidiaries, as borrowers, Bank of America, N.A., as administrative agent, and the financial institutions named therein as lenders (incorporated by reference he</w:t>
            </w:r>
            <w:r>
              <w:rPr>
                <w:rFonts w:ascii="Arial" w:eastAsia="Times New Roman" w:hAnsi="Arial" w:cs="Arial"/>
                <w:color w:val="000000"/>
                <w:sz w:val="18"/>
                <w:szCs w:val="18"/>
              </w:rPr>
              <w:t>rein from Exhibit 10.2 to our Quarterly Report on Form 10-Q filed on July 29, 2022).</w:t>
            </w:r>
          </w:p>
        </w:tc>
      </w:tr>
      <w:tr w:rsidR="00000000">
        <w:trPr>
          <w:divId w:val="2054771526"/>
        </w:trPr>
        <w:tc>
          <w:tcPr>
            <w:tcW w:w="0" w:type="auto"/>
            <w:gridSpan w:val="3"/>
            <w:tcMar>
              <w:top w:w="30" w:type="dxa"/>
              <w:left w:w="20" w:type="dxa"/>
              <w:bottom w:w="30" w:type="dxa"/>
              <w:right w:w="20" w:type="dxa"/>
            </w:tcMar>
            <w:hideMark/>
          </w:tcPr>
          <w:p w:rsidR="00000000" w:rsidRDefault="002223F7">
            <w:pPr>
              <w:spacing w:after="100"/>
              <w:divId w:val="202719362"/>
              <w:rPr>
                <w:rFonts w:eastAsia="Times New Roman"/>
              </w:rPr>
            </w:pPr>
            <w:hyperlink r:id="rId45" w:history="1">
              <w:r>
                <w:rPr>
                  <w:rStyle w:val="a3"/>
                  <w:rFonts w:ascii="Arial" w:eastAsia="Times New Roman" w:hAnsi="Arial" w:cs="Arial"/>
                  <w:sz w:val="18"/>
                  <w:szCs w:val="18"/>
                </w:rPr>
                <w:t>10.34</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hideMark/>
          </w:tcPr>
          <w:p w:rsidR="00000000" w:rsidRDefault="002223F7">
            <w:pPr>
              <w:spacing w:after="100"/>
              <w:jc w:val="both"/>
              <w:rPr>
                <w:rFonts w:eastAsia="Times New Roman"/>
              </w:rPr>
            </w:pPr>
            <w:r>
              <w:rPr>
                <w:rFonts w:ascii="Arial" w:eastAsia="Times New Roman" w:hAnsi="Arial" w:cs="Arial"/>
                <w:color w:val="000000"/>
                <w:sz w:val="18"/>
                <w:szCs w:val="18"/>
              </w:rPr>
              <w:t>Purchase Agreement, dated as of October 28, 2021, by and among World Fuel Services, Inc., World Fuel Services Corporation, Flyers Ene</w:t>
            </w:r>
            <w:r>
              <w:rPr>
                <w:rFonts w:ascii="Arial" w:eastAsia="Times New Roman" w:hAnsi="Arial" w:cs="Arial"/>
                <w:color w:val="000000"/>
                <w:sz w:val="18"/>
                <w:szCs w:val="18"/>
              </w:rPr>
              <w:t>rgy Group, LLC, Speedy Investments, LP, Eclipse Investments, LP, TAD Family Limited Partnership, David Dwelle Family Limited Partnership, Thomas A. Dwelle, Stephen B. Dwelle, Walter A. Dwelle, David W. Dwelle, and Walter A. Dwelle in his capacity as the Se</w:t>
            </w:r>
            <w:r>
              <w:rPr>
                <w:rFonts w:ascii="Arial" w:eastAsia="Times New Roman" w:hAnsi="Arial" w:cs="Arial"/>
                <w:color w:val="000000"/>
                <w:sz w:val="18"/>
                <w:szCs w:val="18"/>
              </w:rPr>
              <w:t>ller Representative (incorporated by reference herein from Exhibit 10.30 to our Annual Report on Form 10-K filed on February 25, 2022).</w:t>
            </w:r>
          </w:p>
        </w:tc>
      </w:tr>
      <w:tr w:rsidR="00000000">
        <w:trPr>
          <w:divId w:val="2054771526"/>
        </w:trPr>
        <w:tc>
          <w:tcPr>
            <w:tcW w:w="0" w:type="auto"/>
            <w:gridSpan w:val="3"/>
            <w:tcMar>
              <w:top w:w="30" w:type="dxa"/>
              <w:left w:w="20" w:type="dxa"/>
              <w:bottom w:w="30" w:type="dxa"/>
              <w:right w:w="20" w:type="dxa"/>
            </w:tcMar>
            <w:hideMark/>
          </w:tcPr>
          <w:p w:rsidR="00000000" w:rsidRDefault="002223F7">
            <w:pPr>
              <w:spacing w:after="100"/>
              <w:divId w:val="1643996106"/>
              <w:rPr>
                <w:rFonts w:eastAsia="Times New Roman"/>
              </w:rPr>
            </w:pPr>
            <w:hyperlink r:id="rId46" w:history="1">
              <w:r>
                <w:rPr>
                  <w:rStyle w:val="a3"/>
                  <w:rFonts w:ascii="Arial" w:eastAsia="Times New Roman" w:hAnsi="Arial" w:cs="Arial"/>
                  <w:sz w:val="18"/>
                  <w:szCs w:val="18"/>
                </w:rPr>
                <w:t>21.1</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hideMark/>
          </w:tcPr>
          <w:p w:rsidR="00000000" w:rsidRDefault="002223F7">
            <w:pPr>
              <w:spacing w:after="100"/>
              <w:jc w:val="both"/>
              <w:rPr>
                <w:rFonts w:eastAsia="Times New Roman"/>
              </w:rPr>
            </w:pPr>
            <w:r>
              <w:rPr>
                <w:rFonts w:ascii="Arial" w:eastAsia="Times New Roman" w:hAnsi="Arial" w:cs="Arial"/>
                <w:color w:val="000000"/>
                <w:sz w:val="18"/>
                <w:szCs w:val="18"/>
              </w:rPr>
              <w:t>Subsidiaries of the Registrant.</w:t>
            </w:r>
          </w:p>
        </w:tc>
      </w:tr>
      <w:tr w:rsidR="00000000">
        <w:trPr>
          <w:divId w:val="2054771526"/>
        </w:trPr>
        <w:tc>
          <w:tcPr>
            <w:tcW w:w="0" w:type="auto"/>
            <w:gridSpan w:val="3"/>
            <w:tcMar>
              <w:top w:w="30" w:type="dxa"/>
              <w:left w:w="20" w:type="dxa"/>
              <w:bottom w:w="30" w:type="dxa"/>
              <w:right w:w="20" w:type="dxa"/>
            </w:tcMar>
            <w:hideMark/>
          </w:tcPr>
          <w:p w:rsidR="00000000" w:rsidRDefault="002223F7">
            <w:pPr>
              <w:spacing w:after="100"/>
              <w:divId w:val="1664356429"/>
              <w:rPr>
                <w:rFonts w:eastAsia="Times New Roman"/>
              </w:rPr>
            </w:pPr>
            <w:hyperlink r:id="rId47" w:history="1">
              <w:r>
                <w:rPr>
                  <w:rStyle w:val="a3"/>
                  <w:rFonts w:ascii="Arial" w:eastAsia="Times New Roman" w:hAnsi="Arial" w:cs="Arial"/>
                  <w:sz w:val="18"/>
                  <w:szCs w:val="18"/>
                </w:rPr>
                <w:t>23.1</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hideMark/>
          </w:tcPr>
          <w:p w:rsidR="00000000" w:rsidRDefault="002223F7">
            <w:pPr>
              <w:spacing w:after="100"/>
              <w:jc w:val="both"/>
              <w:rPr>
                <w:rFonts w:eastAsia="Times New Roman"/>
              </w:rPr>
            </w:pPr>
            <w:r>
              <w:rPr>
                <w:rFonts w:ascii="Arial" w:eastAsia="Times New Roman" w:hAnsi="Arial" w:cs="Arial"/>
                <w:color w:val="000000"/>
                <w:sz w:val="18"/>
                <w:szCs w:val="18"/>
              </w:rPr>
              <w:t>Consent of Independent Registered Public Accounting Firm.</w:t>
            </w:r>
          </w:p>
        </w:tc>
      </w:tr>
      <w:tr w:rsidR="00000000">
        <w:trPr>
          <w:divId w:val="2054771526"/>
        </w:trPr>
        <w:tc>
          <w:tcPr>
            <w:tcW w:w="0" w:type="auto"/>
            <w:gridSpan w:val="3"/>
            <w:tcMar>
              <w:top w:w="30" w:type="dxa"/>
              <w:left w:w="20" w:type="dxa"/>
              <w:bottom w:w="30" w:type="dxa"/>
              <w:right w:w="20" w:type="dxa"/>
            </w:tcMar>
            <w:hideMark/>
          </w:tcPr>
          <w:p w:rsidR="00000000" w:rsidRDefault="002223F7">
            <w:pPr>
              <w:spacing w:after="100"/>
              <w:divId w:val="1563177645"/>
              <w:rPr>
                <w:rFonts w:eastAsia="Times New Roman"/>
              </w:rPr>
            </w:pPr>
            <w:hyperlink r:id="rId48" w:history="1">
              <w:r>
                <w:rPr>
                  <w:rStyle w:val="a3"/>
                  <w:rFonts w:ascii="Arial" w:eastAsia="Times New Roman" w:hAnsi="Arial" w:cs="Arial"/>
                  <w:sz w:val="18"/>
                  <w:szCs w:val="18"/>
                </w:rPr>
                <w:t>31.1</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both"/>
              <w:rPr>
                <w:rFonts w:eastAsia="Times New Roman"/>
              </w:rPr>
            </w:pPr>
            <w:r>
              <w:rPr>
                <w:rFonts w:ascii="Arial" w:eastAsia="Times New Roman" w:hAnsi="Arial" w:cs="Arial"/>
                <w:color w:val="000000"/>
                <w:sz w:val="18"/>
                <w:szCs w:val="18"/>
              </w:rPr>
              <w:t>Certification of the Chief Executive Officer pursuant to Rule 13a</w:t>
            </w:r>
            <w:r>
              <w:rPr>
                <w:rFonts w:ascii="Arial" w:eastAsia="Times New Roman" w:hAnsi="Arial" w:cs="Arial"/>
                <w:color w:val="000000"/>
                <w:sz w:val="18"/>
                <w:szCs w:val="18"/>
              </w:rPr>
              <w:noBreakHyphen/>
              <w:t>14(a) or Rule 15d</w:t>
            </w:r>
            <w:r>
              <w:rPr>
                <w:rFonts w:ascii="Arial" w:eastAsia="Times New Roman" w:hAnsi="Arial" w:cs="Arial"/>
                <w:color w:val="000000"/>
                <w:sz w:val="18"/>
                <w:szCs w:val="18"/>
              </w:rPr>
              <w:noBreakHyphen/>
              <w:t>14(a).</w:t>
            </w:r>
          </w:p>
        </w:tc>
      </w:tr>
      <w:tr w:rsidR="00000000">
        <w:trPr>
          <w:divId w:val="2054771526"/>
        </w:trPr>
        <w:tc>
          <w:tcPr>
            <w:tcW w:w="0" w:type="auto"/>
            <w:gridSpan w:val="3"/>
            <w:tcMar>
              <w:top w:w="30" w:type="dxa"/>
              <w:left w:w="20" w:type="dxa"/>
              <w:bottom w:w="30" w:type="dxa"/>
              <w:right w:w="20" w:type="dxa"/>
            </w:tcMar>
            <w:hideMark/>
          </w:tcPr>
          <w:p w:rsidR="00000000" w:rsidRDefault="002223F7">
            <w:pPr>
              <w:spacing w:after="100"/>
              <w:divId w:val="1050762267"/>
              <w:rPr>
                <w:rFonts w:eastAsia="Times New Roman"/>
              </w:rPr>
            </w:pPr>
            <w:hyperlink r:id="rId49" w:history="1">
              <w:r>
                <w:rPr>
                  <w:rStyle w:val="a3"/>
                  <w:rFonts w:ascii="Arial" w:eastAsia="Times New Roman" w:hAnsi="Arial" w:cs="Arial"/>
                  <w:sz w:val="18"/>
                  <w:szCs w:val="18"/>
                </w:rPr>
                <w:t>31.2</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both"/>
              <w:rPr>
                <w:rFonts w:eastAsia="Times New Roman"/>
              </w:rPr>
            </w:pPr>
            <w:r>
              <w:rPr>
                <w:rFonts w:ascii="Arial" w:eastAsia="Times New Roman" w:hAnsi="Arial" w:cs="Arial"/>
                <w:color w:val="000000"/>
                <w:sz w:val="18"/>
                <w:szCs w:val="18"/>
              </w:rPr>
              <w:t>Certification of the Chief Financial Officer pursuant to Rule 13a</w:t>
            </w:r>
            <w:r>
              <w:rPr>
                <w:rFonts w:ascii="Arial" w:eastAsia="Times New Roman" w:hAnsi="Arial" w:cs="Arial"/>
                <w:color w:val="000000"/>
                <w:sz w:val="18"/>
                <w:szCs w:val="18"/>
              </w:rPr>
              <w:noBreakHyphen/>
              <w:t>14(a) or Rule 15d</w:t>
            </w:r>
            <w:r>
              <w:rPr>
                <w:rFonts w:ascii="Arial" w:eastAsia="Times New Roman" w:hAnsi="Arial" w:cs="Arial"/>
                <w:color w:val="000000"/>
                <w:sz w:val="18"/>
                <w:szCs w:val="18"/>
              </w:rPr>
              <w:noBreakHyphen/>
              <w:t>14(a).</w:t>
            </w:r>
          </w:p>
        </w:tc>
      </w:tr>
      <w:tr w:rsidR="00000000">
        <w:trPr>
          <w:divId w:val="2054771526"/>
        </w:trPr>
        <w:tc>
          <w:tcPr>
            <w:tcW w:w="0" w:type="auto"/>
            <w:gridSpan w:val="3"/>
            <w:tcMar>
              <w:top w:w="30" w:type="dxa"/>
              <w:left w:w="20" w:type="dxa"/>
              <w:bottom w:w="30" w:type="dxa"/>
              <w:right w:w="20" w:type="dxa"/>
            </w:tcMar>
            <w:hideMark/>
          </w:tcPr>
          <w:p w:rsidR="00000000" w:rsidRDefault="002223F7">
            <w:pPr>
              <w:spacing w:after="100"/>
              <w:divId w:val="573053970"/>
              <w:rPr>
                <w:rFonts w:eastAsia="Times New Roman"/>
              </w:rPr>
            </w:pPr>
            <w:hyperlink r:id="rId50" w:history="1">
              <w:r>
                <w:rPr>
                  <w:rStyle w:val="a3"/>
                  <w:rFonts w:ascii="Arial" w:eastAsia="Times New Roman" w:hAnsi="Arial" w:cs="Arial"/>
                  <w:sz w:val="18"/>
                  <w:szCs w:val="18"/>
                </w:rPr>
                <w:t>32.1</w:t>
              </w:r>
            </w:hyperlink>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both"/>
              <w:rPr>
                <w:rFonts w:eastAsia="Times New Roman"/>
              </w:rPr>
            </w:pPr>
            <w:r>
              <w:rPr>
                <w:rFonts w:ascii="Arial" w:eastAsia="Times New Roman" w:hAnsi="Arial" w:cs="Arial"/>
                <w:color w:val="000000"/>
                <w:sz w:val="18"/>
                <w:szCs w:val="18"/>
              </w:rPr>
              <w:t>Statement of Chief Executive Officer and Chief Financial Officer under Section 906 of the Sarbanes</w:t>
            </w:r>
            <w:r>
              <w:rPr>
                <w:rFonts w:ascii="Arial" w:eastAsia="Times New Roman" w:hAnsi="Arial" w:cs="Arial"/>
                <w:color w:val="000000"/>
                <w:sz w:val="18"/>
                <w:szCs w:val="18"/>
              </w:rPr>
              <w:noBreakHyphen/>
              <w:t>Oxley Act of 2002 (18 U.S.C. Section 1350).</w:t>
            </w:r>
          </w:p>
        </w:tc>
      </w:tr>
      <w:tr w:rsidR="00000000">
        <w:trPr>
          <w:divId w:val="2054771526"/>
        </w:trPr>
        <w:tc>
          <w:tcPr>
            <w:tcW w:w="0" w:type="auto"/>
            <w:gridSpan w:val="3"/>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18"/>
                <w:szCs w:val="18"/>
              </w:rPr>
              <w:t>101</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both"/>
              <w:rPr>
                <w:rFonts w:eastAsia="Times New Roman"/>
              </w:rPr>
            </w:pPr>
            <w:r>
              <w:rPr>
                <w:rFonts w:ascii="Arial" w:eastAsia="Times New Roman" w:hAnsi="Arial" w:cs="Arial"/>
                <w:color w:val="000000"/>
                <w:sz w:val="18"/>
                <w:szCs w:val="18"/>
              </w:rPr>
              <w:t>The following materials from World Fuel Services Corporati</w:t>
            </w:r>
            <w:r>
              <w:rPr>
                <w:rFonts w:ascii="Arial" w:eastAsia="Times New Roman" w:hAnsi="Arial" w:cs="Arial"/>
                <w:color w:val="000000"/>
                <w:sz w:val="18"/>
                <w:szCs w:val="18"/>
              </w:rPr>
              <w:t>on’s Annual Report on Form 10-K for the year ended December 31, 2022, formatted in XBRL (Extensible Business Reporting Language); (i) Consolidated Balance Sheets, (ii) Consolidated Statements of Income and Comprehensive Income, (iii) Consolidated Statement</w:t>
            </w:r>
            <w:r>
              <w:rPr>
                <w:rFonts w:ascii="Arial" w:eastAsia="Times New Roman" w:hAnsi="Arial" w:cs="Arial"/>
                <w:color w:val="000000"/>
                <w:sz w:val="18"/>
                <w:szCs w:val="18"/>
              </w:rPr>
              <w:t>s of Shareholders’ Equity, (iv) Consolidated Statements of Cash Flows, and (v) Notes to the Consolidated Financial Statements.</w:t>
            </w:r>
          </w:p>
        </w:tc>
      </w:tr>
      <w:tr w:rsidR="00000000">
        <w:trPr>
          <w:divId w:val="2054771526"/>
        </w:trPr>
        <w:tc>
          <w:tcPr>
            <w:tcW w:w="0" w:type="auto"/>
            <w:gridSpan w:val="3"/>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18"/>
                <w:szCs w:val="18"/>
              </w:rPr>
              <w:t>104</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both"/>
              <w:rPr>
                <w:rFonts w:eastAsia="Times New Roman"/>
              </w:rPr>
            </w:pPr>
            <w:r>
              <w:rPr>
                <w:rFonts w:ascii="Arial" w:eastAsia="Times New Roman" w:hAnsi="Arial" w:cs="Arial"/>
                <w:color w:val="000000"/>
                <w:sz w:val="18"/>
                <w:szCs w:val="18"/>
              </w:rPr>
              <w:t>Cover page interactive file (formatted in Inline XBRL and contained in Exhibit 101).</w:t>
            </w:r>
          </w:p>
        </w:tc>
      </w:tr>
    </w:tbl>
    <w:p w:rsidR="00000000" w:rsidRDefault="002223F7">
      <w:pPr>
        <w:jc w:val="both"/>
        <w:divId w:val="1087385405"/>
        <w:rPr>
          <w:rFonts w:eastAsia="Times New Roman"/>
        </w:rPr>
      </w:pPr>
      <w:r>
        <w:rPr>
          <w:rFonts w:ascii="Arial" w:eastAsia="Times New Roman" w:hAnsi="Arial" w:cs="Arial"/>
          <w:color w:val="000000"/>
          <w:sz w:val="20"/>
          <w:szCs w:val="20"/>
        </w:rPr>
        <w:t>*Management contracts and compensatory plans or arrangements required to be filed as exhibits to this form, pursuant to Item 15(b).</w:t>
      </w:r>
    </w:p>
    <w:p w:rsidR="00000000" w:rsidRDefault="002223F7">
      <w:pPr>
        <w:jc w:val="center"/>
        <w:divId w:val="1199509378"/>
        <w:rPr>
          <w:rFonts w:eastAsia="Times New Roman"/>
        </w:rPr>
      </w:pPr>
      <w:r>
        <w:rPr>
          <w:rFonts w:ascii="Arial" w:eastAsia="Times New Roman" w:hAnsi="Arial" w:cs="Arial"/>
          <w:color w:val="000000"/>
          <w:sz w:val="16"/>
          <w:szCs w:val="16"/>
        </w:rPr>
        <w:t>40</w:t>
      </w:r>
    </w:p>
    <w:p w:rsidR="00000000" w:rsidRDefault="002223F7">
      <w:pPr>
        <w:rPr>
          <w:rFonts w:eastAsia="Times New Roman"/>
        </w:rPr>
      </w:pPr>
      <w:r>
        <w:rPr>
          <w:rFonts w:eastAsia="Times New Roman"/>
        </w:rPr>
        <w:pict>
          <v:rect id="_x0000_i1071" style="width:0;height:1.5pt" o:hralign="center" o:hrstd="t" o:hr="t" fillcolor="#a0a0a0" stroked="f"/>
        </w:pict>
      </w:r>
    </w:p>
    <w:p w:rsidR="00000000" w:rsidRDefault="002223F7">
      <w:pPr>
        <w:jc w:val="both"/>
        <w:divId w:val="2100366958"/>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divId w:val="957642044"/>
        <w:rPr>
          <w:rFonts w:eastAsia="Times New Roman"/>
        </w:rPr>
      </w:pPr>
      <w:r>
        <w:rPr>
          <w:rFonts w:ascii="Arial" w:eastAsia="Times New Roman" w:hAnsi="Arial" w:cs="Arial"/>
          <w:b/>
          <w:bCs/>
          <w:color w:val="000000"/>
        </w:rPr>
        <w:t>REPORT OF INDEPENDENT REGISTERED PUBLIC ACCOUNTING FIRM</w:t>
      </w:r>
    </w:p>
    <w:p w:rsidR="00000000" w:rsidRDefault="002223F7">
      <w:pPr>
        <w:jc w:val="both"/>
        <w:divId w:val="459232238"/>
        <w:rPr>
          <w:rFonts w:eastAsia="Times New Roman"/>
        </w:rPr>
      </w:pPr>
      <w:r>
        <w:rPr>
          <w:rFonts w:ascii="Arial" w:eastAsia="Times New Roman" w:hAnsi="Arial" w:cs="Arial"/>
          <w:color w:val="000000"/>
        </w:rPr>
        <w:t xml:space="preserve">To the Board of Directors and </w:t>
      </w:r>
      <w:r>
        <w:rPr>
          <w:rFonts w:ascii="Arial" w:eastAsia="Times New Roman" w:hAnsi="Arial" w:cs="Arial"/>
          <w:color w:val="000000"/>
        </w:rPr>
        <w:t>Shareholders of World Fuel Services Corporation</w:t>
      </w:r>
    </w:p>
    <w:p w:rsidR="00000000" w:rsidRDefault="002223F7">
      <w:pPr>
        <w:jc w:val="both"/>
        <w:divId w:val="2099672403"/>
        <w:rPr>
          <w:rFonts w:eastAsia="Times New Roman"/>
        </w:rPr>
      </w:pPr>
      <w:r>
        <w:rPr>
          <w:rFonts w:ascii="Arial" w:eastAsia="Times New Roman" w:hAnsi="Arial" w:cs="Arial"/>
          <w:b/>
          <w:bCs/>
          <w:i/>
          <w:iCs/>
          <w:color w:val="000000"/>
          <w:sz w:val="20"/>
          <w:szCs w:val="20"/>
        </w:rPr>
        <w:t>Opinions on the Financial Statements and Internal Control over Financial Reporting</w:t>
      </w:r>
    </w:p>
    <w:p w:rsidR="00000000" w:rsidRDefault="002223F7">
      <w:pPr>
        <w:jc w:val="both"/>
        <w:divId w:val="763526744"/>
        <w:rPr>
          <w:rFonts w:eastAsia="Times New Roman"/>
        </w:rPr>
      </w:pPr>
      <w:r>
        <w:rPr>
          <w:rFonts w:ascii="Arial" w:eastAsia="Times New Roman" w:hAnsi="Arial" w:cs="Arial"/>
          <w:color w:val="000000"/>
          <w:sz w:val="20"/>
          <w:szCs w:val="20"/>
        </w:rPr>
        <w:t>We have audited the accompanying consolidated balance sheets of World Fuel Services Corporation and its subsidiaries (the “Co</w:t>
      </w:r>
      <w:r>
        <w:rPr>
          <w:rFonts w:ascii="Arial" w:eastAsia="Times New Roman" w:hAnsi="Arial" w:cs="Arial"/>
          <w:color w:val="000000"/>
          <w:sz w:val="20"/>
          <w:szCs w:val="20"/>
        </w:rPr>
        <w:t>mpany”) as of December 31, 2022 and 2021, and the related consolidated statements of income and comprehensive income, of shareholders' equity and of cash flows for each of the three years in the period ended December 31, 2022, including the related notes (</w:t>
      </w:r>
      <w:r>
        <w:rPr>
          <w:rFonts w:ascii="Arial" w:eastAsia="Times New Roman" w:hAnsi="Arial" w:cs="Arial"/>
          <w:color w:val="000000"/>
          <w:sz w:val="20"/>
          <w:szCs w:val="20"/>
        </w:rPr>
        <w:t>collectively referred to as the “consolidated financial statements”). We also have audited the Company's internal control over financial reporting as of December 31, 2022, based on criteria established in Internal Control - Integrated Framework (2013) issu</w:t>
      </w:r>
      <w:r>
        <w:rPr>
          <w:rFonts w:ascii="Arial" w:eastAsia="Times New Roman" w:hAnsi="Arial" w:cs="Arial"/>
          <w:color w:val="000000"/>
          <w:sz w:val="20"/>
          <w:szCs w:val="20"/>
        </w:rPr>
        <w:t>ed by the Committee of Sponsoring Organizations of the Treadway Commission (COSO).</w:t>
      </w:r>
    </w:p>
    <w:p w:rsidR="00000000" w:rsidRDefault="002223F7">
      <w:pPr>
        <w:jc w:val="both"/>
        <w:divId w:val="831993913"/>
        <w:rPr>
          <w:rFonts w:eastAsia="Times New Roman"/>
        </w:rPr>
      </w:pPr>
      <w:r>
        <w:rPr>
          <w:rFonts w:ascii="Arial" w:eastAsia="Times New Roman" w:hAnsi="Arial" w:cs="Arial"/>
          <w:color w:val="000000"/>
          <w:sz w:val="20"/>
          <w:szCs w:val="20"/>
        </w:rPr>
        <w:t>In our opinion, the consolidated financial statements referred to above present fairly, in all material respects, the financial position of the Company as of December 31, 20</w:t>
      </w:r>
      <w:r>
        <w:rPr>
          <w:rFonts w:ascii="Arial" w:eastAsia="Times New Roman" w:hAnsi="Arial" w:cs="Arial"/>
          <w:color w:val="000000"/>
          <w:sz w:val="20"/>
          <w:szCs w:val="20"/>
        </w:rPr>
        <w:t>22 and 2021, and the results of its operations and its cash flows for each of the three years in the period ended December 31, 2022 in conformity with accounting principles generally accepted in the United States of America. Also in our opinion, the Compan</w:t>
      </w:r>
      <w:r>
        <w:rPr>
          <w:rFonts w:ascii="Arial" w:eastAsia="Times New Roman" w:hAnsi="Arial" w:cs="Arial"/>
          <w:color w:val="000000"/>
          <w:sz w:val="20"/>
          <w:szCs w:val="20"/>
        </w:rPr>
        <w:t>y maintained, in all material respects, effective internal control over financial reporting as of December 31, 2022, based on criteria established in Internal Control - Integrated Framework (2013) issued by the COSO.</w:t>
      </w:r>
    </w:p>
    <w:p w:rsidR="00000000" w:rsidRDefault="002223F7">
      <w:pPr>
        <w:jc w:val="both"/>
        <w:divId w:val="2116289550"/>
        <w:rPr>
          <w:rFonts w:eastAsia="Times New Roman"/>
        </w:rPr>
      </w:pPr>
      <w:r>
        <w:rPr>
          <w:rFonts w:ascii="Arial" w:eastAsia="Times New Roman" w:hAnsi="Arial" w:cs="Arial"/>
          <w:b/>
          <w:bCs/>
          <w:i/>
          <w:iCs/>
          <w:color w:val="000000"/>
          <w:sz w:val="20"/>
          <w:szCs w:val="20"/>
        </w:rPr>
        <w:t>Basis for Opinions</w:t>
      </w:r>
    </w:p>
    <w:p w:rsidR="00000000" w:rsidRDefault="002223F7">
      <w:pPr>
        <w:jc w:val="both"/>
        <w:divId w:val="225648037"/>
        <w:rPr>
          <w:rFonts w:eastAsia="Times New Roman"/>
        </w:rPr>
      </w:pPr>
      <w:r>
        <w:rPr>
          <w:rFonts w:ascii="Arial" w:eastAsia="Times New Roman" w:hAnsi="Arial" w:cs="Arial"/>
          <w:color w:val="000000"/>
          <w:sz w:val="20"/>
          <w:szCs w:val="20"/>
        </w:rPr>
        <w:t>The Company's manage</w:t>
      </w:r>
      <w:r>
        <w:rPr>
          <w:rFonts w:ascii="Arial" w:eastAsia="Times New Roman" w:hAnsi="Arial" w:cs="Arial"/>
          <w:color w:val="000000"/>
          <w:sz w:val="20"/>
          <w:szCs w:val="20"/>
        </w:rPr>
        <w:t xml:space="preserve">ment is responsible for these consolidated financial statements, for maintaining effective internal control over financial reporting, and for its assessment of the effectiveness of internal control over financial reporting, included in Management’s Report </w:t>
      </w:r>
      <w:r>
        <w:rPr>
          <w:rFonts w:ascii="Arial" w:eastAsia="Times New Roman" w:hAnsi="Arial" w:cs="Arial"/>
          <w:color w:val="000000"/>
          <w:sz w:val="20"/>
          <w:szCs w:val="20"/>
        </w:rPr>
        <w:t xml:space="preserve">on Internal Control over Financial Reporting appearing under Item 9A. Our responsibility is to express opinions on the Company’s consolidated financial statements and on the Company's internal control over financial reporting based on our audits. We are a </w:t>
      </w:r>
      <w:r>
        <w:rPr>
          <w:rFonts w:ascii="Arial" w:eastAsia="Times New Roman" w:hAnsi="Arial" w:cs="Arial"/>
          <w:color w:val="000000"/>
          <w:sz w:val="20"/>
          <w:szCs w:val="20"/>
        </w:rPr>
        <w:t>public accounting firm registered with the Public Company Accounting Oversight Board (United States) (PCAOB) and are required to be independent with respect to the Company in accordance with the U.S. federal securities laws and the applicable rules and reg</w:t>
      </w:r>
      <w:r>
        <w:rPr>
          <w:rFonts w:ascii="Arial" w:eastAsia="Times New Roman" w:hAnsi="Arial" w:cs="Arial"/>
          <w:color w:val="000000"/>
          <w:sz w:val="20"/>
          <w:szCs w:val="20"/>
        </w:rPr>
        <w:t>ulations of the Securities and Exchange Commission and the PCAOB.</w:t>
      </w:r>
    </w:p>
    <w:p w:rsidR="00000000" w:rsidRDefault="002223F7">
      <w:pPr>
        <w:jc w:val="both"/>
        <w:divId w:val="1088619528"/>
        <w:rPr>
          <w:rFonts w:eastAsia="Times New Roman"/>
        </w:rPr>
      </w:pPr>
      <w:r>
        <w:rPr>
          <w:rFonts w:ascii="Arial" w:eastAsia="Times New Roman" w:hAnsi="Arial" w:cs="Arial"/>
          <w:color w:val="000000"/>
          <w:sz w:val="20"/>
          <w:szCs w:val="20"/>
        </w:rPr>
        <w:t>We conducted our audits in accordance with the standards of the PCAOB. Those standards require that we plan and perform the audits to obtain reasonable assurance about whether the consolidat</w:t>
      </w:r>
      <w:r>
        <w:rPr>
          <w:rFonts w:ascii="Arial" w:eastAsia="Times New Roman" w:hAnsi="Arial" w:cs="Arial"/>
          <w:color w:val="000000"/>
          <w:sz w:val="20"/>
          <w:szCs w:val="20"/>
        </w:rPr>
        <w:t>ed financial statements are free of material misstatement, whether due to error or fraud, and whether effective internal control over financial reporting was maintained in all material respects.</w:t>
      </w:r>
    </w:p>
    <w:p w:rsidR="00000000" w:rsidRDefault="002223F7">
      <w:pPr>
        <w:jc w:val="both"/>
        <w:divId w:val="695425042"/>
        <w:rPr>
          <w:rFonts w:eastAsia="Times New Roman"/>
        </w:rPr>
      </w:pPr>
      <w:r>
        <w:rPr>
          <w:rFonts w:ascii="Arial" w:eastAsia="Times New Roman" w:hAnsi="Arial" w:cs="Arial"/>
          <w:color w:val="000000"/>
          <w:sz w:val="20"/>
          <w:szCs w:val="20"/>
        </w:rPr>
        <w:t xml:space="preserve">Our audits of the consolidated financial statements included </w:t>
      </w:r>
      <w:r>
        <w:rPr>
          <w:rFonts w:ascii="Arial" w:eastAsia="Times New Roman" w:hAnsi="Arial" w:cs="Arial"/>
          <w:color w:val="000000"/>
          <w:sz w:val="20"/>
          <w:szCs w:val="20"/>
        </w:rPr>
        <w:t>performing procedures to assess the risks of material misstatement of the consolidated financial statements, whether due to error or fraud, and performing procedures that respond to those risks. Such procedures included examining, on a test basis, evidence</w:t>
      </w:r>
      <w:r>
        <w:rPr>
          <w:rFonts w:ascii="Arial" w:eastAsia="Times New Roman" w:hAnsi="Arial" w:cs="Arial"/>
          <w:color w:val="000000"/>
          <w:sz w:val="20"/>
          <w:szCs w:val="20"/>
        </w:rPr>
        <w:t xml:space="preserve"> regarding the amounts and disclosures in the consolidated financial statements. Our audits also included evaluating the accounting principles used and significant estimates made by management, as well as evaluating the overall presentation of the consolid</w:t>
      </w:r>
      <w:r>
        <w:rPr>
          <w:rFonts w:ascii="Arial" w:eastAsia="Times New Roman" w:hAnsi="Arial" w:cs="Arial"/>
          <w:color w:val="000000"/>
          <w:sz w:val="20"/>
          <w:szCs w:val="20"/>
        </w:rPr>
        <w:t>ated financial statements. Our audit of internal control over financial reporting included obtaining an understanding of internal control over financial reporting, assessing the risk that a material weakness exists, and testing and evaluating the design an</w:t>
      </w:r>
      <w:r>
        <w:rPr>
          <w:rFonts w:ascii="Arial" w:eastAsia="Times New Roman" w:hAnsi="Arial" w:cs="Arial"/>
          <w:color w:val="000000"/>
          <w:sz w:val="20"/>
          <w:szCs w:val="20"/>
        </w:rPr>
        <w:t>d operating effectiveness of internal control based on the assessed risk. Our audits also included performing such other procedures as we considered necessary in the circumstances. We believe that our audits provide a reasonable basis for our opinions.</w:t>
      </w:r>
    </w:p>
    <w:p w:rsidR="00000000" w:rsidRDefault="002223F7">
      <w:pPr>
        <w:jc w:val="both"/>
        <w:divId w:val="1159035523"/>
        <w:rPr>
          <w:rFonts w:eastAsia="Times New Roman"/>
        </w:rPr>
      </w:pPr>
      <w:r>
        <w:rPr>
          <w:rFonts w:ascii="Arial" w:eastAsia="Times New Roman" w:hAnsi="Arial" w:cs="Arial"/>
          <w:color w:val="000000"/>
          <w:sz w:val="20"/>
          <w:szCs w:val="20"/>
        </w:rPr>
        <w:t xml:space="preserve">As </w:t>
      </w:r>
      <w:r>
        <w:rPr>
          <w:rFonts w:ascii="Arial" w:eastAsia="Times New Roman" w:hAnsi="Arial" w:cs="Arial"/>
          <w:color w:val="000000"/>
          <w:sz w:val="20"/>
          <w:szCs w:val="20"/>
        </w:rPr>
        <w:t>described in Management’s Report on Internal Control over Financial Reporting, management has excluded Flyers Energy Group, LLC from its assessment of internal control over financial reporting as of December 31, 2022, because it was acquired by the Company</w:t>
      </w:r>
      <w:r>
        <w:rPr>
          <w:rFonts w:ascii="Arial" w:eastAsia="Times New Roman" w:hAnsi="Arial" w:cs="Arial"/>
          <w:color w:val="000000"/>
          <w:sz w:val="20"/>
          <w:szCs w:val="20"/>
        </w:rPr>
        <w:t xml:space="preserve"> in a purchase business combination during 2022. We have also excluded Flyers Energy Group, LLC from our audit of internal control over financial reporting. Flyers Energy Group, LLC is a wholly-owned subsidiary whose total assets and total revenues exclude</w:t>
      </w:r>
      <w:r>
        <w:rPr>
          <w:rFonts w:ascii="Arial" w:eastAsia="Times New Roman" w:hAnsi="Arial" w:cs="Arial"/>
          <w:color w:val="000000"/>
          <w:sz w:val="20"/>
          <w:szCs w:val="20"/>
        </w:rPr>
        <w:t>d from management’s assessment and our audit of internal control over financial reporting represent approximately 11% and 6%, respectively, of the related consolidated financial statement amounts as of and for the year ended December 31, 2022.</w:t>
      </w:r>
    </w:p>
    <w:p w:rsidR="00000000" w:rsidRDefault="002223F7">
      <w:pPr>
        <w:jc w:val="both"/>
        <w:divId w:val="667249016"/>
        <w:rPr>
          <w:rFonts w:eastAsia="Times New Roman"/>
        </w:rPr>
      </w:pPr>
      <w:r>
        <w:rPr>
          <w:rFonts w:ascii="Arial" w:eastAsia="Times New Roman" w:hAnsi="Arial" w:cs="Arial"/>
          <w:b/>
          <w:bCs/>
          <w:i/>
          <w:iCs/>
          <w:color w:val="000000"/>
          <w:sz w:val="20"/>
          <w:szCs w:val="20"/>
        </w:rPr>
        <w:t>Definition a</w:t>
      </w:r>
      <w:r>
        <w:rPr>
          <w:rFonts w:ascii="Arial" w:eastAsia="Times New Roman" w:hAnsi="Arial" w:cs="Arial"/>
          <w:b/>
          <w:bCs/>
          <w:i/>
          <w:iCs/>
          <w:color w:val="000000"/>
          <w:sz w:val="20"/>
          <w:szCs w:val="20"/>
        </w:rPr>
        <w:t>nd Limitations of Internal Control over Financial Reporting</w:t>
      </w:r>
    </w:p>
    <w:p w:rsidR="00000000" w:rsidRDefault="002223F7">
      <w:pPr>
        <w:jc w:val="both"/>
        <w:divId w:val="1124348135"/>
        <w:rPr>
          <w:rFonts w:eastAsia="Times New Roman"/>
        </w:rPr>
      </w:pPr>
      <w:r>
        <w:rPr>
          <w:rFonts w:ascii="Arial" w:eastAsia="Times New Roman" w:hAnsi="Arial" w:cs="Arial"/>
          <w:color w:val="000000"/>
          <w:sz w:val="20"/>
          <w:szCs w:val="20"/>
        </w:rPr>
        <w:t>A company’s internal control over financial reporting is a process designed to provide reasonable assurance regarding the reliability of financial reporting and the preparation of financial statem</w:t>
      </w:r>
      <w:r>
        <w:rPr>
          <w:rFonts w:ascii="Arial" w:eastAsia="Times New Roman" w:hAnsi="Arial" w:cs="Arial"/>
          <w:color w:val="000000"/>
          <w:sz w:val="20"/>
          <w:szCs w:val="20"/>
        </w:rPr>
        <w:t xml:space="preserve">ents for external purposes in accordance with generally accepted accounting principles. A company’s internal control over financial reporting includes those policies and procedures that (i) pertain to the maintenance of records that, in reasonable detail, </w:t>
      </w:r>
      <w:r>
        <w:rPr>
          <w:rFonts w:ascii="Arial" w:eastAsia="Times New Roman" w:hAnsi="Arial" w:cs="Arial"/>
          <w:color w:val="000000"/>
          <w:sz w:val="20"/>
          <w:szCs w:val="20"/>
        </w:rPr>
        <w:t xml:space="preserve">accurately and fairly reflect the transactions and dispositions of the assets of the company; (ii) provide reasonable </w:t>
      </w:r>
    </w:p>
    <w:p w:rsidR="00000000" w:rsidRDefault="002223F7">
      <w:pPr>
        <w:jc w:val="center"/>
        <w:divId w:val="913930930"/>
        <w:rPr>
          <w:rFonts w:eastAsia="Times New Roman"/>
        </w:rPr>
      </w:pPr>
      <w:r>
        <w:rPr>
          <w:rFonts w:ascii="Arial" w:eastAsia="Times New Roman" w:hAnsi="Arial" w:cs="Arial"/>
          <w:color w:val="000000"/>
          <w:sz w:val="16"/>
          <w:szCs w:val="16"/>
        </w:rPr>
        <w:t>41</w:t>
      </w:r>
    </w:p>
    <w:p w:rsidR="00000000" w:rsidRDefault="002223F7">
      <w:pPr>
        <w:rPr>
          <w:rFonts w:eastAsia="Times New Roman"/>
        </w:rPr>
      </w:pPr>
      <w:r>
        <w:rPr>
          <w:rFonts w:eastAsia="Times New Roman"/>
        </w:rPr>
        <w:pict>
          <v:rect id="_x0000_i1072" style="width:0;height:1.5pt" o:hralign="center" o:hrstd="t" o:hr="t" fillcolor="#a0a0a0" stroked="f"/>
        </w:pict>
      </w:r>
    </w:p>
    <w:p w:rsidR="00000000" w:rsidRDefault="002223F7">
      <w:pPr>
        <w:jc w:val="both"/>
        <w:divId w:val="213274809"/>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1326015023"/>
        <w:rPr>
          <w:rFonts w:eastAsia="Times New Roman"/>
        </w:rPr>
      </w:pPr>
      <w:r>
        <w:rPr>
          <w:rFonts w:ascii="Arial" w:eastAsia="Times New Roman" w:hAnsi="Arial" w:cs="Arial"/>
          <w:color w:val="000000"/>
          <w:sz w:val="20"/>
          <w:szCs w:val="20"/>
        </w:rPr>
        <w:t>assurance that transactions are recorded as necessary to permit preparation of financi</w:t>
      </w:r>
      <w:r>
        <w:rPr>
          <w:rFonts w:ascii="Arial" w:eastAsia="Times New Roman" w:hAnsi="Arial" w:cs="Arial"/>
          <w:color w:val="000000"/>
          <w:sz w:val="20"/>
          <w:szCs w:val="20"/>
        </w:rPr>
        <w:t>al statements in accordance with generally accepted accounting principles, and that receipts and expenditures of the company are being made only in accordance with authorizations of management and directors of the company; and (iii) provide reasonable assu</w:t>
      </w:r>
      <w:r>
        <w:rPr>
          <w:rFonts w:ascii="Arial" w:eastAsia="Times New Roman" w:hAnsi="Arial" w:cs="Arial"/>
          <w:color w:val="000000"/>
          <w:sz w:val="20"/>
          <w:szCs w:val="20"/>
        </w:rPr>
        <w:t>rance regarding prevention or timely detection of unauthorized acquisition, use, or disposition of the company’s assets that could have a material effect on the financial statements.</w:t>
      </w:r>
    </w:p>
    <w:p w:rsidR="00000000" w:rsidRDefault="002223F7">
      <w:pPr>
        <w:jc w:val="both"/>
        <w:divId w:val="1278487057"/>
        <w:rPr>
          <w:rFonts w:eastAsia="Times New Roman"/>
        </w:rPr>
      </w:pPr>
      <w:r>
        <w:rPr>
          <w:rFonts w:ascii="Arial" w:eastAsia="Times New Roman" w:hAnsi="Arial" w:cs="Arial"/>
          <w:color w:val="000000"/>
          <w:sz w:val="20"/>
          <w:szCs w:val="20"/>
        </w:rPr>
        <w:t>Because of its inherent limitations, internal control over financial repo</w:t>
      </w:r>
      <w:r>
        <w:rPr>
          <w:rFonts w:ascii="Arial" w:eastAsia="Times New Roman" w:hAnsi="Arial" w:cs="Arial"/>
          <w:color w:val="000000"/>
          <w:sz w:val="20"/>
          <w:szCs w:val="20"/>
        </w:rPr>
        <w:t>rting may not prevent or detect misstatements. Also, projections of any evaluation of effectiveness to future periods are subject to the risk that controls may become inadequate because of changes in conditions, or that the degree of compliance with the po</w:t>
      </w:r>
      <w:r>
        <w:rPr>
          <w:rFonts w:ascii="Arial" w:eastAsia="Times New Roman" w:hAnsi="Arial" w:cs="Arial"/>
          <w:color w:val="000000"/>
          <w:sz w:val="20"/>
          <w:szCs w:val="20"/>
        </w:rPr>
        <w:t>licies or procedures may deteriorate.</w:t>
      </w:r>
    </w:p>
    <w:p w:rsidR="00000000" w:rsidRDefault="002223F7">
      <w:pPr>
        <w:jc w:val="both"/>
        <w:divId w:val="1543402798"/>
        <w:rPr>
          <w:rFonts w:eastAsia="Times New Roman"/>
        </w:rPr>
      </w:pPr>
      <w:r>
        <w:rPr>
          <w:rFonts w:ascii="Arial" w:eastAsia="Times New Roman" w:hAnsi="Arial" w:cs="Arial"/>
          <w:b/>
          <w:bCs/>
          <w:i/>
          <w:iCs/>
          <w:color w:val="000000"/>
          <w:sz w:val="20"/>
          <w:szCs w:val="20"/>
        </w:rPr>
        <w:t>Critical Audit Matters</w:t>
      </w:r>
    </w:p>
    <w:p w:rsidR="00000000" w:rsidRDefault="002223F7">
      <w:pPr>
        <w:jc w:val="both"/>
        <w:divId w:val="20518587"/>
        <w:rPr>
          <w:rFonts w:eastAsia="Times New Roman"/>
        </w:rPr>
      </w:pPr>
      <w:r>
        <w:rPr>
          <w:rFonts w:ascii="Arial" w:eastAsia="Times New Roman" w:hAnsi="Arial" w:cs="Arial"/>
          <w:color w:val="000000"/>
          <w:sz w:val="20"/>
          <w:szCs w:val="20"/>
        </w:rPr>
        <w:t>The critical audit matters communicated below are matters arising from the current period audit of the consolidated financial statements that were communicated or required to be communicated to t</w:t>
      </w:r>
      <w:r>
        <w:rPr>
          <w:rFonts w:ascii="Arial" w:eastAsia="Times New Roman" w:hAnsi="Arial" w:cs="Arial"/>
          <w:color w:val="000000"/>
          <w:sz w:val="20"/>
          <w:szCs w:val="20"/>
        </w:rPr>
        <w:t>he audit committee and that (i) relate to accounts or disclosures that are material to the consolidated financial statements and (ii) involved our especially challenging, subjective, or complex judgments. The communication of critical audit matters does no</w:t>
      </w:r>
      <w:r>
        <w:rPr>
          <w:rFonts w:ascii="Arial" w:eastAsia="Times New Roman" w:hAnsi="Arial" w:cs="Arial"/>
          <w:color w:val="000000"/>
          <w:sz w:val="20"/>
          <w:szCs w:val="20"/>
        </w:rPr>
        <w:t>t alter in any way our opinion on the consolidated financial statements, taken as a whole, and we are not, by communicating the critical audit matters below, providing separate opinions on the critical audit matters or on the accounts or disclosures to whi</w:t>
      </w:r>
      <w:r>
        <w:rPr>
          <w:rFonts w:ascii="Arial" w:eastAsia="Times New Roman" w:hAnsi="Arial" w:cs="Arial"/>
          <w:color w:val="000000"/>
          <w:sz w:val="20"/>
          <w:szCs w:val="20"/>
        </w:rPr>
        <w:t>ch they relate.</w:t>
      </w:r>
    </w:p>
    <w:p w:rsidR="00000000" w:rsidRDefault="002223F7">
      <w:pPr>
        <w:jc w:val="both"/>
        <w:divId w:val="630785329"/>
        <w:rPr>
          <w:rFonts w:eastAsia="Times New Roman"/>
        </w:rPr>
      </w:pPr>
      <w:r>
        <w:rPr>
          <w:rFonts w:ascii="Arial" w:eastAsia="Times New Roman" w:hAnsi="Arial" w:cs="Arial"/>
          <w:i/>
          <w:iCs/>
          <w:color w:val="000000"/>
          <w:sz w:val="20"/>
          <w:szCs w:val="20"/>
        </w:rPr>
        <w:t>Acquisition of Flyers Energy Group, LLC – Valuation of Customer Relationships</w:t>
      </w:r>
    </w:p>
    <w:p w:rsidR="00000000" w:rsidRDefault="002223F7">
      <w:pPr>
        <w:jc w:val="both"/>
        <w:divId w:val="914824333"/>
        <w:rPr>
          <w:rFonts w:eastAsia="Times New Roman"/>
        </w:rPr>
      </w:pPr>
      <w:r>
        <w:rPr>
          <w:rFonts w:ascii="Arial" w:eastAsia="Times New Roman" w:hAnsi="Arial" w:cs="Arial"/>
          <w:color w:val="000000"/>
          <w:sz w:val="20"/>
          <w:szCs w:val="20"/>
        </w:rPr>
        <w:t xml:space="preserve">As described in Notes 1 and 3 to the consolidated financial statements, the Company closed the acquisition of Flyers Energy Group, LLC for total consideration of </w:t>
      </w:r>
      <w:r>
        <w:rPr>
          <w:rFonts w:ascii="Arial" w:eastAsia="Times New Roman" w:hAnsi="Arial" w:cs="Arial"/>
          <w:color w:val="000000"/>
          <w:sz w:val="20"/>
          <w:szCs w:val="20"/>
        </w:rPr>
        <w:t>$795 million on January 3, 2022. The acquisition was accounted for as a business combination which resulted in the Company recording $191.8 million of identifiable intangible assets, of which a significant portion relates to customer relationships. The Com</w:t>
      </w:r>
      <w:r>
        <w:rPr>
          <w:rFonts w:ascii="Arial" w:eastAsia="Times New Roman" w:hAnsi="Arial" w:cs="Arial"/>
          <w:color w:val="000000"/>
          <w:sz w:val="20"/>
          <w:szCs w:val="20"/>
        </w:rPr>
        <w:t>pany accounts for business combinations under the acquisition method of accounting. Under the acquisition method, the purchase price is allocated to all identifiable assets acquired, all liabilities assumed and any noncontrolling interest at the fair value</w:t>
      </w:r>
      <w:r>
        <w:rPr>
          <w:rFonts w:ascii="Arial" w:eastAsia="Times New Roman" w:hAnsi="Arial" w:cs="Arial"/>
          <w:color w:val="000000"/>
          <w:sz w:val="20"/>
          <w:szCs w:val="20"/>
        </w:rPr>
        <w:t xml:space="preserve"> as of the acquisition date. The fair value of the customer relationships acquired is estimated using an income approach. Management applied significant judgment in estimating the fair value of the customer relationships acquired, which involved the use of</w:t>
      </w:r>
      <w:r>
        <w:rPr>
          <w:rFonts w:ascii="Arial" w:eastAsia="Times New Roman" w:hAnsi="Arial" w:cs="Arial"/>
          <w:color w:val="000000"/>
          <w:sz w:val="20"/>
          <w:szCs w:val="20"/>
        </w:rPr>
        <w:t xml:space="preserve"> significant estimates and assumptions with respect to the expected growth rates, profitability, customer attrition rates, and the discount rate.</w:t>
      </w:r>
    </w:p>
    <w:p w:rsidR="00000000" w:rsidRDefault="002223F7">
      <w:pPr>
        <w:jc w:val="both"/>
        <w:divId w:val="1492065466"/>
        <w:rPr>
          <w:rFonts w:eastAsia="Times New Roman"/>
        </w:rPr>
      </w:pPr>
      <w:r>
        <w:rPr>
          <w:rFonts w:ascii="Arial" w:eastAsia="Times New Roman" w:hAnsi="Arial" w:cs="Arial"/>
          <w:color w:val="000000"/>
          <w:sz w:val="20"/>
          <w:szCs w:val="20"/>
        </w:rPr>
        <w:t>The principal considerations for our determination that performing procedures relating to the valuation of cus</w:t>
      </w:r>
      <w:r>
        <w:rPr>
          <w:rFonts w:ascii="Arial" w:eastAsia="Times New Roman" w:hAnsi="Arial" w:cs="Arial"/>
          <w:color w:val="000000"/>
          <w:sz w:val="20"/>
          <w:szCs w:val="20"/>
        </w:rPr>
        <w:t>tomer relationships acquired in the acquisition of Flyers Energy Group, LLC is a critical audit matter are the significant judgment by management when developing the fair value of the customer relationships acquired, which in turn led to a high degree of a</w:t>
      </w:r>
      <w:r>
        <w:rPr>
          <w:rFonts w:ascii="Arial" w:eastAsia="Times New Roman" w:hAnsi="Arial" w:cs="Arial"/>
          <w:color w:val="000000"/>
          <w:sz w:val="20"/>
          <w:szCs w:val="20"/>
        </w:rPr>
        <w:t xml:space="preserve">uditor judgment, subjectivity, and effort in performing procedures and evaluating management’s significant assumptions related to expected growth rates, profitability, customer attrition rates, and the discount rate. In addition, the audit effort involved </w:t>
      </w:r>
      <w:r>
        <w:rPr>
          <w:rFonts w:ascii="Arial" w:eastAsia="Times New Roman" w:hAnsi="Arial" w:cs="Arial"/>
          <w:color w:val="000000"/>
          <w:sz w:val="20"/>
          <w:szCs w:val="20"/>
        </w:rPr>
        <w:t>the use of professionals with specialized skill and knowledge.</w:t>
      </w:r>
    </w:p>
    <w:p w:rsidR="00000000" w:rsidRDefault="002223F7">
      <w:pPr>
        <w:jc w:val="both"/>
        <w:divId w:val="753278889"/>
        <w:rPr>
          <w:rFonts w:eastAsia="Times New Roman"/>
        </w:rPr>
      </w:pPr>
      <w:r>
        <w:rPr>
          <w:rFonts w:ascii="Arial" w:eastAsia="Times New Roman" w:hAnsi="Arial" w:cs="Arial"/>
          <w:color w:val="000000"/>
          <w:sz w:val="20"/>
          <w:szCs w:val="20"/>
        </w:rPr>
        <w:t>Addressing the matter involved performing procedures and evaluating audit evidence in connection with forming our overall opinion on the consolidated financial statements. These procedures incl</w:t>
      </w:r>
      <w:r>
        <w:rPr>
          <w:rFonts w:ascii="Arial" w:eastAsia="Times New Roman" w:hAnsi="Arial" w:cs="Arial"/>
          <w:color w:val="000000"/>
          <w:sz w:val="20"/>
          <w:szCs w:val="20"/>
        </w:rPr>
        <w:t>uded testing the effectiveness of controls relating to the valuation of the customer relationships acquired. These procedures also included, among others, reading the purchase agreement, testing management’s process for developing the fair value of the cus</w:t>
      </w:r>
      <w:r>
        <w:rPr>
          <w:rFonts w:ascii="Arial" w:eastAsia="Times New Roman" w:hAnsi="Arial" w:cs="Arial"/>
          <w:color w:val="000000"/>
          <w:sz w:val="20"/>
          <w:szCs w:val="20"/>
        </w:rPr>
        <w:t>tomer relationships acquired, which included evaluating the appropriateness of the income approach; testing the completeness and accuracy of underlying data used in the income approach; and evaluating the reasonableness of the significant assumptions relat</w:t>
      </w:r>
      <w:r>
        <w:rPr>
          <w:rFonts w:ascii="Arial" w:eastAsia="Times New Roman" w:hAnsi="Arial" w:cs="Arial"/>
          <w:color w:val="000000"/>
          <w:sz w:val="20"/>
          <w:szCs w:val="20"/>
        </w:rPr>
        <w:t>ed to expected growth rates, profitability, customer attrition rates, and the discount rate. Evaluating management’s assumptions related to expected growth rates and profitability involved evaluating whether the assumptions were reasonable by considering (</w:t>
      </w:r>
      <w:r>
        <w:rPr>
          <w:rFonts w:ascii="Arial" w:eastAsia="Times New Roman" w:hAnsi="Arial" w:cs="Arial"/>
          <w:color w:val="000000"/>
          <w:sz w:val="20"/>
          <w:szCs w:val="20"/>
        </w:rPr>
        <w:t>i) the past performance of the acquired business and (ii) the consistency with economic and industry forecasts. Professionals with specialized skill and knowledge were used to assist in evaluating the appropriateness of the income approach and evaluating t</w:t>
      </w:r>
      <w:r>
        <w:rPr>
          <w:rFonts w:ascii="Arial" w:eastAsia="Times New Roman" w:hAnsi="Arial" w:cs="Arial"/>
          <w:color w:val="000000"/>
          <w:sz w:val="20"/>
          <w:szCs w:val="20"/>
        </w:rPr>
        <w:t>he reasonableness of the discount rate and customer attrition rate assumptions.</w:t>
      </w:r>
    </w:p>
    <w:p w:rsidR="00000000" w:rsidRDefault="002223F7">
      <w:pPr>
        <w:jc w:val="both"/>
        <w:divId w:val="859199950"/>
        <w:rPr>
          <w:rFonts w:eastAsia="Times New Roman"/>
        </w:rPr>
      </w:pPr>
      <w:r>
        <w:rPr>
          <w:rFonts w:ascii="Arial" w:eastAsia="Times New Roman" w:hAnsi="Arial" w:cs="Arial"/>
          <w:i/>
          <w:iCs/>
          <w:color w:val="000000"/>
          <w:sz w:val="20"/>
          <w:szCs w:val="20"/>
        </w:rPr>
        <w:t>Goodwill Impairment Assessment – Aviation and Land Reporting Units</w:t>
      </w:r>
    </w:p>
    <w:p w:rsidR="00000000" w:rsidRDefault="002223F7">
      <w:pPr>
        <w:jc w:val="both"/>
        <w:divId w:val="1736663257"/>
        <w:rPr>
          <w:rFonts w:eastAsia="Times New Roman"/>
        </w:rPr>
      </w:pPr>
      <w:r>
        <w:rPr>
          <w:rFonts w:ascii="Arial" w:eastAsia="Times New Roman" w:hAnsi="Arial" w:cs="Arial"/>
          <w:color w:val="000000"/>
          <w:sz w:val="20"/>
          <w:szCs w:val="20"/>
        </w:rPr>
        <w:t>As described in Notes 1 and 6 to the consolidated financial statements, the Company’s consolidated goodwill b</w:t>
      </w:r>
      <w:r>
        <w:rPr>
          <w:rFonts w:ascii="Arial" w:eastAsia="Times New Roman" w:hAnsi="Arial" w:cs="Arial"/>
          <w:color w:val="000000"/>
          <w:sz w:val="20"/>
          <w:szCs w:val="20"/>
        </w:rPr>
        <w:t>alance was $1,233 million as of December 31, 2022, which is allocated among the Aviation and Land reporting units. Goodwill is evaluated for impairment at the reporting unit level as of December 31 of each year, or more frequently if events or circumstance</w:t>
      </w:r>
      <w:r>
        <w:rPr>
          <w:rFonts w:ascii="Arial" w:eastAsia="Times New Roman" w:hAnsi="Arial" w:cs="Arial"/>
          <w:color w:val="000000"/>
          <w:sz w:val="20"/>
          <w:szCs w:val="20"/>
        </w:rPr>
        <w:t>s indicate that the carrying value of the goodwill may be impaired. To perform the quantitative impairment test, management compares the fair value of each reporting unit to its respective carrying amount, including goodwill. In calculating fair value, man</w:t>
      </w:r>
      <w:r>
        <w:rPr>
          <w:rFonts w:ascii="Arial" w:eastAsia="Times New Roman" w:hAnsi="Arial" w:cs="Arial"/>
          <w:color w:val="000000"/>
          <w:sz w:val="20"/>
          <w:szCs w:val="20"/>
        </w:rPr>
        <w:t xml:space="preserve">agement uses a combination of both an income and market approach. As disclosed by management, under the income approach, management calculates the fair </w:t>
      </w:r>
    </w:p>
    <w:p w:rsidR="00000000" w:rsidRDefault="002223F7">
      <w:pPr>
        <w:jc w:val="center"/>
        <w:divId w:val="473986730"/>
        <w:rPr>
          <w:rFonts w:eastAsia="Times New Roman"/>
        </w:rPr>
      </w:pPr>
      <w:r>
        <w:rPr>
          <w:rFonts w:ascii="Arial" w:eastAsia="Times New Roman" w:hAnsi="Arial" w:cs="Arial"/>
          <w:color w:val="000000"/>
          <w:sz w:val="16"/>
          <w:szCs w:val="16"/>
        </w:rPr>
        <w:t>42</w:t>
      </w:r>
    </w:p>
    <w:p w:rsidR="00000000" w:rsidRDefault="002223F7">
      <w:pPr>
        <w:rPr>
          <w:rFonts w:eastAsia="Times New Roman"/>
        </w:rPr>
      </w:pPr>
      <w:r>
        <w:rPr>
          <w:rFonts w:eastAsia="Times New Roman"/>
        </w:rPr>
        <w:pict>
          <v:rect id="_x0000_i1073" style="width:0;height:1.5pt" o:hralign="center" o:hrstd="t" o:hr="t" fillcolor="#a0a0a0" stroked="f"/>
        </w:pict>
      </w:r>
    </w:p>
    <w:p w:rsidR="00000000" w:rsidRDefault="002223F7">
      <w:pPr>
        <w:jc w:val="both"/>
        <w:divId w:val="2006590234"/>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597179675"/>
        <w:rPr>
          <w:rFonts w:eastAsia="Times New Roman"/>
        </w:rPr>
      </w:pPr>
      <w:r>
        <w:rPr>
          <w:rFonts w:ascii="Arial" w:eastAsia="Times New Roman" w:hAnsi="Arial" w:cs="Arial"/>
          <w:color w:val="000000"/>
          <w:sz w:val="20"/>
          <w:szCs w:val="20"/>
        </w:rPr>
        <w:t xml:space="preserve">value of each reporting unit based on the present value of estimated future cash flows, which include assumptions related to expected growth rates, profitability, and a discount rate that corresponds to a weighted-average cost of capital. Under the market </w:t>
      </w:r>
      <w:r>
        <w:rPr>
          <w:rFonts w:ascii="Arial" w:eastAsia="Times New Roman" w:hAnsi="Arial" w:cs="Arial"/>
          <w:color w:val="000000"/>
          <w:sz w:val="20"/>
          <w:szCs w:val="20"/>
        </w:rPr>
        <w:t>approach, management uses a selection of global companies that correspond to each reporting unit to derive a market-based multiple.</w:t>
      </w:r>
    </w:p>
    <w:p w:rsidR="00000000" w:rsidRDefault="002223F7">
      <w:pPr>
        <w:jc w:val="both"/>
        <w:divId w:val="1116367793"/>
        <w:rPr>
          <w:rFonts w:eastAsia="Times New Roman"/>
        </w:rPr>
      </w:pPr>
      <w:r>
        <w:rPr>
          <w:rFonts w:ascii="Arial" w:eastAsia="Times New Roman" w:hAnsi="Arial" w:cs="Arial"/>
          <w:color w:val="000000"/>
          <w:sz w:val="20"/>
          <w:szCs w:val="20"/>
        </w:rPr>
        <w:t>The principal considerations for our determination that performing procedures relating to the goodwill impairment assessment</w:t>
      </w:r>
      <w:r>
        <w:rPr>
          <w:rFonts w:ascii="Arial" w:eastAsia="Times New Roman" w:hAnsi="Arial" w:cs="Arial"/>
          <w:color w:val="000000"/>
          <w:sz w:val="20"/>
          <w:szCs w:val="20"/>
        </w:rPr>
        <w:t xml:space="preserve"> of the Aviation and Land reporting units is a critical audit matter are the significant judgment by management when developing the fair value of the Aviation and Land reporting units, which in turn led to a high degree of auditor judgment, subjectivity, a</w:t>
      </w:r>
      <w:r>
        <w:rPr>
          <w:rFonts w:ascii="Arial" w:eastAsia="Times New Roman" w:hAnsi="Arial" w:cs="Arial"/>
          <w:color w:val="000000"/>
          <w:sz w:val="20"/>
          <w:szCs w:val="20"/>
        </w:rPr>
        <w:t>nd effort in performing procedures and evaluating management’s significant assumptions related to expected growth rates, profitability, and the discount rates. In addition, the audit effort involved the use of professionals with specialized skill and knowl</w:t>
      </w:r>
      <w:r>
        <w:rPr>
          <w:rFonts w:ascii="Arial" w:eastAsia="Times New Roman" w:hAnsi="Arial" w:cs="Arial"/>
          <w:color w:val="000000"/>
          <w:sz w:val="20"/>
          <w:szCs w:val="20"/>
        </w:rPr>
        <w:t xml:space="preserve">edge. </w:t>
      </w:r>
    </w:p>
    <w:p w:rsidR="00000000" w:rsidRDefault="002223F7">
      <w:pPr>
        <w:jc w:val="both"/>
        <w:divId w:val="446315829"/>
        <w:rPr>
          <w:rFonts w:eastAsia="Times New Roman"/>
        </w:rPr>
      </w:pPr>
      <w:r>
        <w:rPr>
          <w:rFonts w:ascii="Arial" w:eastAsia="Times New Roman" w:hAnsi="Arial" w:cs="Arial"/>
          <w:color w:val="000000"/>
          <w:sz w:val="20"/>
          <w:szCs w:val="20"/>
        </w:rPr>
        <w:t>Addressing the matter involved performing procedures and evaluating audit evidence in connection with forming our overall opinion on the consolidated financial statements. These procedures included testing the effectiveness of controls relating to m</w:t>
      </w:r>
      <w:r>
        <w:rPr>
          <w:rFonts w:ascii="Arial" w:eastAsia="Times New Roman" w:hAnsi="Arial" w:cs="Arial"/>
          <w:color w:val="000000"/>
          <w:sz w:val="20"/>
          <w:szCs w:val="20"/>
        </w:rPr>
        <w:t>anagement’s goodwill impairment assessment, including controls over the determination of the reporting units and significant assumptions used in the estimated future cash flows. These procedures also included, among others, testing management’s process for</w:t>
      </w:r>
      <w:r>
        <w:rPr>
          <w:rFonts w:ascii="Arial" w:eastAsia="Times New Roman" w:hAnsi="Arial" w:cs="Arial"/>
          <w:color w:val="000000"/>
          <w:sz w:val="20"/>
          <w:szCs w:val="20"/>
        </w:rPr>
        <w:t xml:space="preserve"> developing the fair value of the Aviation and Land reporting units, which included evaluating the appropriateness of the income and market approaches; testing the completeness and accuracy of underlying data used in the income and market approaches; and e</w:t>
      </w:r>
      <w:r>
        <w:rPr>
          <w:rFonts w:ascii="Arial" w:eastAsia="Times New Roman" w:hAnsi="Arial" w:cs="Arial"/>
          <w:color w:val="000000"/>
          <w:sz w:val="20"/>
          <w:szCs w:val="20"/>
        </w:rPr>
        <w:t>valuating the reasonableness of the significant assumptions related to expected growth rates, profitability, and the discount rates. Evaluating management’s assumptions related to expected growth rates and profitability involved evaluating whether the assu</w:t>
      </w:r>
      <w:r>
        <w:rPr>
          <w:rFonts w:ascii="Arial" w:eastAsia="Times New Roman" w:hAnsi="Arial" w:cs="Arial"/>
          <w:color w:val="000000"/>
          <w:sz w:val="20"/>
          <w:szCs w:val="20"/>
        </w:rPr>
        <w:t xml:space="preserve">mptions used were reasonable considering (i) the current and past performance of the Aviation and Land reporting units; (ii) the consistency with external market and industry data; and (iii) whether these assumptions were consistent with evidence obtained </w:t>
      </w:r>
      <w:r>
        <w:rPr>
          <w:rFonts w:ascii="Arial" w:eastAsia="Times New Roman" w:hAnsi="Arial" w:cs="Arial"/>
          <w:color w:val="000000"/>
          <w:sz w:val="20"/>
          <w:szCs w:val="20"/>
        </w:rPr>
        <w:t>in other areas of the audit. Professionals with specialized skill and knowledge were used to assist in evaluating the appropriateness of the income and market approaches and evaluating the reasonableness of the discount rate assumptions.</w:t>
      </w:r>
    </w:p>
    <w:p w:rsidR="00000000" w:rsidRDefault="002223F7">
      <w:pPr>
        <w:jc w:val="both"/>
        <w:divId w:val="672531683"/>
        <w:rPr>
          <w:rFonts w:eastAsia="Times New Roman"/>
        </w:rPr>
      </w:pPr>
    </w:p>
    <w:p w:rsidR="00000000" w:rsidRDefault="002223F7">
      <w:pPr>
        <w:jc w:val="both"/>
        <w:divId w:val="20597864"/>
        <w:rPr>
          <w:rFonts w:eastAsia="Times New Roman"/>
        </w:rPr>
      </w:pPr>
      <w:r>
        <w:rPr>
          <w:rFonts w:ascii="Arial" w:eastAsia="Times New Roman" w:hAnsi="Arial" w:cs="Arial"/>
          <w:color w:val="000000"/>
          <w:sz w:val="20"/>
          <w:szCs w:val="20"/>
        </w:rPr>
        <w:t>/s/ Pricewaterho</w:t>
      </w:r>
      <w:r>
        <w:rPr>
          <w:rFonts w:ascii="Arial" w:eastAsia="Times New Roman" w:hAnsi="Arial" w:cs="Arial"/>
          <w:color w:val="000000"/>
          <w:sz w:val="20"/>
          <w:szCs w:val="20"/>
        </w:rPr>
        <w:t>useCoopers LLP</w:t>
      </w:r>
    </w:p>
    <w:p w:rsidR="00000000" w:rsidRDefault="002223F7">
      <w:pPr>
        <w:jc w:val="both"/>
        <w:rPr>
          <w:rFonts w:eastAsia="Times New Roman"/>
        </w:rPr>
      </w:pPr>
      <w:r>
        <w:rPr>
          <w:rFonts w:ascii="Arial" w:eastAsia="Times New Roman" w:hAnsi="Arial" w:cs="Arial"/>
          <w:color w:val="000000"/>
          <w:sz w:val="20"/>
          <w:szCs w:val="20"/>
        </w:rPr>
        <w:t>Hallandale Beach, Florida</w:t>
      </w:r>
    </w:p>
    <w:p w:rsidR="00000000" w:rsidRDefault="002223F7">
      <w:pPr>
        <w:jc w:val="both"/>
        <w:rPr>
          <w:rFonts w:eastAsia="Times New Roman"/>
        </w:rPr>
      </w:pPr>
      <w:r>
        <w:rPr>
          <w:rFonts w:ascii="Arial" w:eastAsia="Times New Roman" w:hAnsi="Arial" w:cs="Arial"/>
          <w:color w:val="000000"/>
          <w:sz w:val="20"/>
          <w:szCs w:val="20"/>
        </w:rPr>
        <w:t>February 24, 2023</w:t>
      </w:r>
    </w:p>
    <w:p w:rsidR="00000000" w:rsidRDefault="002223F7">
      <w:pPr>
        <w:jc w:val="both"/>
        <w:rPr>
          <w:rFonts w:eastAsia="Times New Roman"/>
        </w:rPr>
      </w:pPr>
    </w:p>
    <w:p w:rsidR="00000000" w:rsidRDefault="002223F7">
      <w:pPr>
        <w:jc w:val="both"/>
        <w:rPr>
          <w:rFonts w:eastAsia="Times New Roman"/>
        </w:rPr>
      </w:pPr>
      <w:r>
        <w:rPr>
          <w:rFonts w:ascii="Arial" w:eastAsia="Times New Roman" w:hAnsi="Arial" w:cs="Arial"/>
          <w:color w:val="000000"/>
          <w:sz w:val="20"/>
          <w:szCs w:val="20"/>
        </w:rPr>
        <w:t>We have served as the Company’s auditor since 2002.</w:t>
      </w:r>
    </w:p>
    <w:p w:rsidR="00000000" w:rsidRDefault="002223F7">
      <w:pPr>
        <w:jc w:val="center"/>
        <w:divId w:val="1295713675"/>
        <w:rPr>
          <w:rFonts w:eastAsia="Times New Roman"/>
        </w:rPr>
      </w:pPr>
      <w:r>
        <w:rPr>
          <w:rFonts w:ascii="Arial" w:eastAsia="Times New Roman" w:hAnsi="Arial" w:cs="Arial"/>
          <w:color w:val="000000"/>
          <w:sz w:val="16"/>
          <w:szCs w:val="16"/>
        </w:rPr>
        <w:t>43</w:t>
      </w:r>
    </w:p>
    <w:p w:rsidR="00000000" w:rsidRDefault="002223F7">
      <w:pPr>
        <w:rPr>
          <w:rFonts w:eastAsia="Times New Roman"/>
        </w:rPr>
      </w:pPr>
      <w:r>
        <w:rPr>
          <w:rFonts w:eastAsia="Times New Roman"/>
        </w:rPr>
        <w:pict>
          <v:rect id="_x0000_i1074" style="width:0;height:1.5pt" o:hralign="center" o:hrstd="t" o:hr="t" fillcolor="#a0a0a0" stroked="f"/>
        </w:pict>
      </w:r>
    </w:p>
    <w:p w:rsidR="00000000" w:rsidRDefault="002223F7">
      <w:pPr>
        <w:jc w:val="both"/>
        <w:divId w:val="1503621595"/>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divId w:val="33820627"/>
        <w:rPr>
          <w:rFonts w:eastAsia="Times New Roman"/>
        </w:rPr>
      </w:pPr>
      <w:r>
        <w:rPr>
          <w:rFonts w:ascii="Arial" w:eastAsia="Times New Roman" w:hAnsi="Arial" w:cs="Arial"/>
          <w:b/>
          <w:bCs/>
          <w:color w:val="000000"/>
        </w:rPr>
        <w:t xml:space="preserve">WORLD FUEL SERVICES CORPORATION </w:t>
      </w:r>
    </w:p>
    <w:p w:rsidR="00000000" w:rsidRDefault="002223F7">
      <w:pPr>
        <w:divId w:val="384066725"/>
        <w:rPr>
          <w:rFonts w:eastAsia="Times New Roman"/>
        </w:rPr>
      </w:pPr>
      <w:r>
        <w:rPr>
          <w:rFonts w:ascii="Arial" w:eastAsia="Times New Roman" w:hAnsi="Arial" w:cs="Arial"/>
          <w:b/>
          <w:bCs/>
          <w:color w:val="000000"/>
        </w:rPr>
        <w:t>CONSOLIDATED BALANCE SHEETS</w:t>
      </w:r>
    </w:p>
    <w:p w:rsidR="00000000" w:rsidRDefault="002223F7">
      <w:pPr>
        <w:jc w:val="both"/>
        <w:divId w:val="566379525"/>
        <w:rPr>
          <w:rFonts w:eastAsia="Times New Roman"/>
        </w:rPr>
      </w:pPr>
      <w:r>
        <w:rPr>
          <w:rFonts w:ascii="Arial" w:eastAsia="Times New Roman" w:hAnsi="Arial" w:cs="Arial"/>
          <w:color w:val="000000"/>
          <w:sz w:val="20"/>
          <w:szCs w:val="20"/>
        </w:rPr>
        <w:t>(In millions, except per share data)</w:t>
      </w:r>
    </w:p>
    <w:tbl>
      <w:tblPr>
        <w:tblW w:w="5000" w:type="pct"/>
        <w:tblCellMar>
          <w:top w:w="15" w:type="dxa"/>
          <w:left w:w="15" w:type="dxa"/>
          <w:bottom w:w="15" w:type="dxa"/>
          <w:right w:w="15" w:type="dxa"/>
        </w:tblCellMar>
        <w:tblLook w:val="04A0" w:firstRow="1" w:lastRow="0" w:firstColumn="1" w:lastColumn="0" w:noHBand="0" w:noVBand="1"/>
      </w:tblPr>
      <w:tblGrid>
        <w:gridCol w:w="40"/>
        <w:gridCol w:w="4847"/>
        <w:gridCol w:w="39"/>
        <w:gridCol w:w="133"/>
        <w:gridCol w:w="1475"/>
        <w:gridCol w:w="36"/>
        <w:gridCol w:w="36"/>
        <w:gridCol w:w="36"/>
        <w:gridCol w:w="36"/>
        <w:gridCol w:w="133"/>
        <w:gridCol w:w="1459"/>
        <w:gridCol w:w="36"/>
      </w:tblGrid>
      <w:tr w:rsidR="00000000">
        <w:trPr>
          <w:divId w:val="391999537"/>
        </w:trPr>
        <w:tc>
          <w:tcPr>
            <w:tcW w:w="50" w:type="pct"/>
            <w:vAlign w:val="center"/>
            <w:hideMark/>
          </w:tcPr>
          <w:p w:rsidR="00000000" w:rsidRDefault="002223F7">
            <w:pPr>
              <w:jc w:val="both"/>
              <w:rPr>
                <w:rFonts w:eastAsia="Times New Roman"/>
              </w:rPr>
            </w:pPr>
          </w:p>
        </w:tc>
        <w:tc>
          <w:tcPr>
            <w:tcW w:w="294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91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91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391999537"/>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December 31, 2022</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December 31, 2021</w:t>
            </w:r>
          </w:p>
        </w:tc>
      </w:tr>
      <w:tr w:rsidR="00000000">
        <w:trPr>
          <w:divId w:val="39199953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39199953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391999537"/>
        </w:trPr>
        <w:tc>
          <w:tcPr>
            <w:tcW w:w="0" w:type="auto"/>
            <w:gridSpan w:val="3"/>
            <w:shd w:val="clear" w:color="auto" w:fill="CCEE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298.4 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652.2 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39199953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divId w:val="577135869"/>
              <w:rPr>
                <w:rFonts w:eastAsia="Times New Roman"/>
              </w:rPr>
            </w:pPr>
            <w:r>
              <w:rPr>
                <w:rFonts w:ascii="Arial" w:eastAsia="Times New Roman" w:hAnsi="Arial" w:cs="Arial"/>
                <w:color w:val="000000"/>
                <w:sz w:val="20"/>
                <w:szCs w:val="20"/>
              </w:rPr>
              <w:t>Accounts receivable, net of allowance for credit losses of $14.1 million and $26.1 million as of December 31, 2022 and 2021, respectively</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3,294.1 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2,355.3 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391999537"/>
        </w:trPr>
        <w:tc>
          <w:tcPr>
            <w:tcW w:w="0" w:type="auto"/>
            <w:gridSpan w:val="3"/>
            <w:shd w:val="clear" w:color="auto" w:fill="CCEE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779.9 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477.9 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391999537"/>
        </w:trPr>
        <w:tc>
          <w:tcPr>
            <w:tcW w:w="0" w:type="auto"/>
            <w:gridSpan w:val="3"/>
            <w:shd w:val="clear" w:color="auto" w:fill="FFFF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Prepaid expenses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83.6 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59.2 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391999537"/>
        </w:trPr>
        <w:tc>
          <w:tcPr>
            <w:tcW w:w="0" w:type="auto"/>
            <w:gridSpan w:val="3"/>
            <w:shd w:val="clear" w:color="auto" w:fill="CCEE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Short-term derivative assets, net</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302.1 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169.2 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391999537"/>
        </w:trPr>
        <w:tc>
          <w:tcPr>
            <w:tcW w:w="0" w:type="auto"/>
            <w:gridSpan w:val="3"/>
            <w:shd w:val="clear" w:color="auto" w:fill="FFFF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Other current assets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479.9 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305.9 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391999537"/>
        </w:trPr>
        <w:tc>
          <w:tcPr>
            <w:tcW w:w="0" w:type="auto"/>
            <w:gridSpan w:val="3"/>
            <w:shd w:val="clear" w:color="auto" w:fill="CCEEFF"/>
            <w:tcMar>
              <w:top w:w="30" w:type="dxa"/>
              <w:left w:w="26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5,238.1 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4,019.7 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39199953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Property and equipment, net</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484.2 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348.9 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39199953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Goodwill</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1,233.0 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861.9 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39199953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Identifiable intangible assets, net</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336.2 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189.1 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39199953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Other non-current assets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873.2 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522.8 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391999537"/>
        </w:trPr>
        <w:tc>
          <w:tcPr>
            <w:tcW w:w="0" w:type="auto"/>
            <w:gridSpan w:val="3"/>
            <w:shd w:val="clear" w:color="auto" w:fill="FFFF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8,164.6 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5,942.4 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39199953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Liabilities: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39199953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391999537"/>
        </w:trPr>
        <w:tc>
          <w:tcPr>
            <w:tcW w:w="0" w:type="auto"/>
            <w:gridSpan w:val="3"/>
            <w:shd w:val="clear" w:color="auto" w:fill="CCEE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Current maturities of long-term debt</w:t>
            </w: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15.8 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30.6 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391999537"/>
        </w:trPr>
        <w:tc>
          <w:tcPr>
            <w:tcW w:w="0" w:type="auto"/>
            <w:gridSpan w:val="3"/>
            <w:shd w:val="clear" w:color="auto" w:fill="FFFF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Accounts payable</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3,529.5 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2,399.6 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391999537"/>
        </w:trPr>
        <w:tc>
          <w:tcPr>
            <w:tcW w:w="0" w:type="auto"/>
            <w:gridSpan w:val="3"/>
            <w:shd w:val="clear" w:color="auto" w:fill="CCEE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Short-term derivative liabilities, net</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325.2 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168.4 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391999537"/>
        </w:trPr>
        <w:tc>
          <w:tcPr>
            <w:tcW w:w="0" w:type="auto"/>
            <w:gridSpan w:val="3"/>
            <w:shd w:val="clear" w:color="auto" w:fill="FFFF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Customer deposits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268.9 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205.5 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391999537"/>
        </w:trPr>
        <w:tc>
          <w:tcPr>
            <w:tcW w:w="0" w:type="auto"/>
            <w:gridSpan w:val="3"/>
            <w:shd w:val="clear" w:color="auto" w:fill="CCEE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Accrued expenses and other current liabilities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469.3 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292.7 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391999537"/>
        </w:trPr>
        <w:tc>
          <w:tcPr>
            <w:tcW w:w="0" w:type="auto"/>
            <w:gridSpan w:val="3"/>
            <w:shd w:val="clear" w:color="auto" w:fill="FFFFFF"/>
            <w:tcMar>
              <w:top w:w="30" w:type="dxa"/>
              <w:left w:w="26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4,608.6 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3,096.7 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39199953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Long-term debt</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829.9 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478.1 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39199953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Non-current income tax liabilities, net</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212.7 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213.9 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39199953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Other long-term liabilities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522.5 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236.8 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391999537"/>
        </w:trPr>
        <w:tc>
          <w:tcPr>
            <w:tcW w:w="0" w:type="auto"/>
            <w:gridSpan w:val="3"/>
            <w:shd w:val="clear" w:color="auto" w:fill="FFFF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6,173.8 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4,025.6 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39199953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Commitments and contingencies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39199953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Equity:</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39199953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World Fuel shareholders' equity:</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39199953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divId w:val="1580561228"/>
              <w:rPr>
                <w:rFonts w:eastAsia="Times New Roman"/>
              </w:rPr>
            </w:pPr>
            <w:r>
              <w:rPr>
                <w:rFonts w:ascii="Arial" w:eastAsia="Times New Roman" w:hAnsi="Arial" w:cs="Arial"/>
                <w:color w:val="000000"/>
                <w:sz w:val="20"/>
                <w:szCs w:val="20"/>
              </w:rPr>
              <w:t xml:space="preserve">Preferred stock, $1.00 par value; 0.1 </w:t>
            </w:r>
            <w:r>
              <w:rPr>
                <w:rFonts w:ascii="Arial" w:eastAsia="Times New Roman" w:hAnsi="Arial" w:cs="Arial"/>
                <w:color w:val="000000"/>
                <w:sz w:val="20"/>
                <w:szCs w:val="20"/>
              </w:rPr>
              <w:t>shares authorized, none issued</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39199953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divId w:val="1604412247"/>
              <w:rPr>
                <w:rFonts w:eastAsia="Times New Roman"/>
              </w:rPr>
            </w:pPr>
            <w:r>
              <w:rPr>
                <w:rFonts w:ascii="Arial" w:eastAsia="Times New Roman" w:hAnsi="Arial" w:cs="Arial"/>
                <w:color w:val="000000"/>
                <w:sz w:val="20"/>
                <w:szCs w:val="20"/>
              </w:rPr>
              <w:t>Common stock, $0.01 par value; 100.0 shares authorized, 62.0 and 61.7 issued and outstanding as of December 31, 2022 and 2021, respectively</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391999537"/>
        </w:trPr>
        <w:tc>
          <w:tcPr>
            <w:tcW w:w="0" w:type="auto"/>
            <w:gridSpan w:val="3"/>
            <w:shd w:val="clear" w:color="auto" w:fill="FFFF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Capital in excess of par value</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182.4 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168.1 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391999537"/>
        </w:trPr>
        <w:tc>
          <w:tcPr>
            <w:tcW w:w="0" w:type="auto"/>
            <w:gridSpan w:val="3"/>
            <w:shd w:val="clear" w:color="auto" w:fill="CCEE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Retained earnings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1,962.5 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1,880.6 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391999537"/>
        </w:trPr>
        <w:tc>
          <w:tcPr>
            <w:tcW w:w="0" w:type="auto"/>
            <w:gridSpan w:val="3"/>
            <w:shd w:val="clear" w:color="auto" w:fill="FFFF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Accumulated 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(160.6)</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(136.7)</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391999537"/>
        </w:trPr>
        <w:tc>
          <w:tcPr>
            <w:tcW w:w="0" w:type="auto"/>
            <w:gridSpan w:val="3"/>
            <w:shd w:val="clear" w:color="auto" w:fill="CCEEFF"/>
            <w:tcMar>
              <w:top w:w="30" w:type="dxa"/>
              <w:left w:w="26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World Fuel shareholders'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1,984.9 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1,912.7 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39199953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Noncontrolling interest</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391999537"/>
        </w:trPr>
        <w:tc>
          <w:tcPr>
            <w:tcW w:w="0" w:type="auto"/>
            <w:gridSpan w:val="3"/>
            <w:shd w:val="clear" w:color="auto" w:fill="CCEE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1,990.7 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1,916.8 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391999537"/>
        </w:trPr>
        <w:tc>
          <w:tcPr>
            <w:tcW w:w="0" w:type="auto"/>
            <w:gridSpan w:val="3"/>
            <w:shd w:val="clear" w:color="auto" w:fill="FFFFFF"/>
            <w:tcMar>
              <w:top w:w="30" w:type="dxa"/>
              <w:left w:w="26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liabilities and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8,164.6 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5,942.4 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jc w:val="center"/>
        <w:divId w:val="1099911392"/>
        <w:rPr>
          <w:rFonts w:eastAsia="Times New Roman"/>
        </w:rPr>
      </w:pPr>
      <w:r>
        <w:rPr>
          <w:rFonts w:ascii="Arial" w:eastAsia="Times New Roman" w:hAnsi="Arial" w:cs="Arial"/>
          <w:color w:val="000000"/>
          <w:sz w:val="16"/>
          <w:szCs w:val="16"/>
        </w:rPr>
        <w:t>The accompanying Notes are an integral part of these Consolidated Financial Statements.</w:t>
      </w:r>
    </w:p>
    <w:p w:rsidR="00000000" w:rsidRDefault="002223F7">
      <w:pPr>
        <w:jc w:val="center"/>
        <w:divId w:val="859507902"/>
        <w:rPr>
          <w:rFonts w:eastAsia="Times New Roman"/>
        </w:rPr>
      </w:pPr>
      <w:r>
        <w:rPr>
          <w:rFonts w:ascii="Arial" w:eastAsia="Times New Roman" w:hAnsi="Arial" w:cs="Arial"/>
          <w:color w:val="000000"/>
          <w:sz w:val="16"/>
          <w:szCs w:val="16"/>
        </w:rPr>
        <w:t>44</w:t>
      </w:r>
    </w:p>
    <w:p w:rsidR="00000000" w:rsidRDefault="002223F7">
      <w:pPr>
        <w:rPr>
          <w:rFonts w:eastAsia="Times New Roman"/>
        </w:rPr>
      </w:pPr>
      <w:r>
        <w:rPr>
          <w:rFonts w:eastAsia="Times New Roman"/>
        </w:rPr>
        <w:pict>
          <v:rect id="_x0000_i1075" style="width:0;height:1.5pt" o:hralign="center" o:hrstd="t" o:hr="t" fillcolor="#a0a0a0" stroked="f"/>
        </w:pict>
      </w:r>
    </w:p>
    <w:p w:rsidR="00000000" w:rsidRDefault="002223F7">
      <w:pPr>
        <w:jc w:val="both"/>
        <w:divId w:val="1171289685"/>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rPr>
          <w:rFonts w:eastAsia="Times New Roman"/>
        </w:rPr>
      </w:pPr>
      <w:r>
        <w:rPr>
          <w:rFonts w:ascii="Arial" w:eastAsia="Times New Roman" w:hAnsi="Arial" w:cs="Arial"/>
          <w:b/>
          <w:bCs/>
          <w:color w:val="000000"/>
        </w:rPr>
        <w:t xml:space="preserve">WORLD FUEL SERVICES CORPORATION </w:t>
      </w:r>
    </w:p>
    <w:p w:rsidR="00000000" w:rsidRDefault="002223F7">
      <w:pPr>
        <w:jc w:val="both"/>
        <w:rPr>
          <w:rFonts w:eastAsia="Times New Roman"/>
        </w:rPr>
      </w:pPr>
      <w:r>
        <w:rPr>
          <w:rFonts w:ascii="Arial" w:eastAsia="Times New Roman" w:hAnsi="Arial" w:cs="Arial"/>
          <w:b/>
          <w:bCs/>
          <w:color w:val="000000"/>
        </w:rPr>
        <w:t>CONSOLIDATED STATEMENTS OF INCOME AND</w:t>
      </w:r>
    </w:p>
    <w:p w:rsidR="00000000" w:rsidRDefault="002223F7">
      <w:pPr>
        <w:jc w:val="both"/>
        <w:rPr>
          <w:rFonts w:eastAsia="Times New Roman"/>
        </w:rPr>
      </w:pPr>
      <w:r>
        <w:rPr>
          <w:rFonts w:ascii="Arial" w:eastAsia="Times New Roman" w:hAnsi="Arial" w:cs="Arial"/>
          <w:b/>
          <w:bCs/>
          <w:color w:val="000000"/>
        </w:rPr>
        <w:t>COMPREHENSIVE INCOME</w:t>
      </w:r>
    </w:p>
    <w:p w:rsidR="00000000" w:rsidRDefault="002223F7">
      <w:pPr>
        <w:jc w:val="both"/>
        <w:rPr>
          <w:rFonts w:eastAsia="Times New Roman"/>
        </w:rPr>
      </w:pPr>
      <w:r>
        <w:rPr>
          <w:rFonts w:ascii="Arial" w:eastAsia="Times New Roman" w:hAnsi="Arial" w:cs="Arial"/>
          <w:color w:val="000000"/>
          <w:sz w:val="20"/>
          <w:szCs w:val="20"/>
        </w:rPr>
        <w:t>(In millions, except earnings per share data)</w:t>
      </w:r>
    </w:p>
    <w:tbl>
      <w:tblPr>
        <w:tblW w:w="5000" w:type="pct"/>
        <w:tblCellMar>
          <w:top w:w="15" w:type="dxa"/>
          <w:left w:w="15" w:type="dxa"/>
          <w:bottom w:w="15" w:type="dxa"/>
          <w:right w:w="15" w:type="dxa"/>
        </w:tblCellMar>
        <w:tblLook w:val="04A0" w:firstRow="1" w:lastRow="0" w:firstColumn="1" w:lastColumn="0" w:noHBand="0" w:noVBand="1"/>
      </w:tblPr>
      <w:tblGrid>
        <w:gridCol w:w="40"/>
        <w:gridCol w:w="4665"/>
        <w:gridCol w:w="39"/>
        <w:gridCol w:w="133"/>
        <w:gridCol w:w="922"/>
        <w:gridCol w:w="37"/>
        <w:gridCol w:w="37"/>
        <w:gridCol w:w="72"/>
        <w:gridCol w:w="37"/>
        <w:gridCol w:w="133"/>
        <w:gridCol w:w="922"/>
        <w:gridCol w:w="37"/>
        <w:gridCol w:w="36"/>
        <w:gridCol w:w="71"/>
        <w:gridCol w:w="36"/>
        <w:gridCol w:w="132"/>
        <w:gridCol w:w="921"/>
        <w:gridCol w:w="36"/>
      </w:tblGrid>
      <w:tr w:rsidR="00000000">
        <w:trPr>
          <w:divId w:val="404377769"/>
        </w:trPr>
        <w:tc>
          <w:tcPr>
            <w:tcW w:w="50" w:type="pct"/>
            <w:vAlign w:val="center"/>
            <w:hideMark/>
          </w:tcPr>
          <w:p w:rsidR="00000000" w:rsidRDefault="002223F7">
            <w:pPr>
              <w:jc w:val="both"/>
              <w:rPr>
                <w:rFonts w:eastAsia="Times New Roman"/>
              </w:rPr>
            </w:pPr>
          </w:p>
        </w:tc>
        <w:tc>
          <w:tcPr>
            <w:tcW w:w="3088"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2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2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2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404377769"/>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For the Year Ended December 31,</w:t>
            </w:r>
          </w:p>
        </w:tc>
      </w:tr>
      <w:tr w:rsidR="00000000">
        <w:trPr>
          <w:divId w:val="404377769"/>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2020</w:t>
            </w:r>
          </w:p>
        </w:tc>
      </w:tr>
      <w:tr w:rsidR="00000000">
        <w:trPr>
          <w:divId w:val="404377769"/>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59,043.1 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31,337.0 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20,358.3 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04377769"/>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Cost of revenue</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57,954.1 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30,548.8 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19,506.5 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04377769"/>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Gross profit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1,089.1 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788.2 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851.8 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04377769"/>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Operating expenses: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404377769"/>
        </w:trPr>
        <w:tc>
          <w:tcPr>
            <w:tcW w:w="0" w:type="auto"/>
            <w:gridSpan w:val="3"/>
            <w:shd w:val="clear" w:color="auto" w:fill="CCEE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Compensation and employee benefits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507.4 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386.7 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366.9 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04377769"/>
        </w:trPr>
        <w:tc>
          <w:tcPr>
            <w:tcW w:w="0" w:type="auto"/>
            <w:gridSpan w:val="3"/>
            <w:shd w:val="clear" w:color="auto" w:fill="FFFF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General and administrative</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308.7 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247.6 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311.1 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04377769"/>
        </w:trPr>
        <w:tc>
          <w:tcPr>
            <w:tcW w:w="0" w:type="auto"/>
            <w:gridSpan w:val="3"/>
            <w:shd w:val="clear" w:color="auto" w:fill="CCEE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Asset impairments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25.6 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04377769"/>
        </w:trPr>
        <w:tc>
          <w:tcPr>
            <w:tcW w:w="0" w:type="auto"/>
            <w:gridSpan w:val="3"/>
            <w:shd w:val="clear" w:color="auto" w:fill="FFFF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Restructuring charges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(0.8)</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10.3 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04377769"/>
        </w:trPr>
        <w:tc>
          <w:tcPr>
            <w:tcW w:w="0" w:type="auto"/>
            <w:gridSpan w:val="3"/>
            <w:shd w:val="clear" w:color="auto" w:fill="CCEEFF"/>
            <w:tcMar>
              <w:top w:w="30" w:type="dxa"/>
              <w:left w:w="26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operating expenses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815.8 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645.6 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714.0 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04377769"/>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Income from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273.2 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137.9 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04377769"/>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Non-operating income (expenses), net: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404377769"/>
        </w:trPr>
        <w:tc>
          <w:tcPr>
            <w:tcW w:w="0" w:type="auto"/>
            <w:gridSpan w:val="3"/>
            <w:shd w:val="clear" w:color="auto" w:fill="FFFF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Interest expense and other financing costs, net</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(110.6)</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(40.2)</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(44.9)</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04377769"/>
        </w:trPr>
        <w:tc>
          <w:tcPr>
            <w:tcW w:w="0" w:type="auto"/>
            <w:gridSpan w:val="3"/>
            <w:shd w:val="clear" w:color="auto" w:fill="CCEE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Other income (expense), net</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(17.5)</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68.8 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04377769"/>
        </w:trPr>
        <w:tc>
          <w:tcPr>
            <w:tcW w:w="0" w:type="auto"/>
            <w:gridSpan w:val="3"/>
            <w:shd w:val="clear" w:color="auto" w:fill="FFFFFF"/>
            <w:tcMar>
              <w:top w:w="30" w:type="dxa"/>
              <w:left w:w="26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non-operating income (expense), net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(128.1)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(42.5)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04377769"/>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Income (loss)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161.7 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04377769"/>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Provision for income taxes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29.2 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25.8 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52.1 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04377769"/>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Net income (loss) including noncontrolling interest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04377769"/>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Net income (loss) attributable to noncontrolling interest</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04377769"/>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Net income (loss) attributable to World Fuel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04377769"/>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Basic earnings (loss) per common share</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1.83 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1.72 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04377769"/>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Basic weighted average common shares</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62.3 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62.9 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63.7 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04377769"/>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Diluted earnings (loss) per common share</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1.82 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1.71 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04377769"/>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Diluted weighted average common shares</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62.7 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63.3 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64.0 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04377769"/>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Comprehensive income: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404377769"/>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Net income (loss) including noncontrolling interest</w:t>
            </w: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115.9 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74.2 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109.6 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04377769"/>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Other comprehensive income (loss):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404377769"/>
        </w:trPr>
        <w:tc>
          <w:tcPr>
            <w:tcW w:w="0" w:type="auto"/>
            <w:gridSpan w:val="3"/>
            <w:shd w:val="clear" w:color="auto" w:fill="CCEE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Foreign currency translation adjustments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(45.5)</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(13.7)</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13.8 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04377769"/>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divId w:val="361903227"/>
              <w:rPr>
                <w:rFonts w:eastAsia="Times New Roman"/>
              </w:rPr>
            </w:pPr>
            <w:r>
              <w:rPr>
                <w:rFonts w:ascii="Arial" w:eastAsia="Times New Roman" w:hAnsi="Arial" w:cs="Arial"/>
                <w:color w:val="000000"/>
                <w:sz w:val="20"/>
                <w:szCs w:val="20"/>
              </w:rPr>
              <w:t>Cash flow hedges, net of income tax expense (benefit) of $7.6, $3.3, and $0.0 for 2022, 2021, and 2020, respectively</w:t>
            </w:r>
          </w:p>
        </w:tc>
        <w:tc>
          <w:tcPr>
            <w:tcW w:w="0" w:type="auto"/>
            <w:gridSpan w:val="2"/>
            <w:shd w:val="clear" w:color="auto" w:fill="FFFFFF"/>
            <w:tcMar>
              <w:top w:w="30" w:type="dxa"/>
              <w:left w:w="20" w:type="dxa"/>
              <w:bottom w:w="30" w:type="dxa"/>
              <w:right w:w="0" w:type="dxa"/>
            </w:tcMar>
            <w:hideMark/>
          </w:tcPr>
          <w:p w:rsidR="00000000" w:rsidRDefault="002223F7">
            <w:pPr>
              <w:spacing w:after="100"/>
              <w:jc w:val="right"/>
              <w:rPr>
                <w:rFonts w:eastAsia="Times New Roman"/>
              </w:rPr>
            </w:pPr>
            <w:r>
              <w:rPr>
                <w:rFonts w:ascii="Arial" w:eastAsia="Times New Roman" w:hAnsi="Arial" w:cs="Arial"/>
                <w:color w:val="000000"/>
                <w:sz w:val="20"/>
                <w:szCs w:val="20"/>
              </w:rPr>
              <w:t>21.6 </w:t>
            </w:r>
          </w:p>
        </w:tc>
        <w:tc>
          <w:tcPr>
            <w:tcW w:w="0" w:type="auto"/>
            <w:shd w:val="clear" w:color="auto" w:fill="FFFFFF"/>
            <w:tcMar>
              <w:top w:w="30" w:type="dxa"/>
              <w:left w:w="0" w:type="dxa"/>
              <w:bottom w:w="30" w:type="dxa"/>
              <w:right w:w="20" w:type="dxa"/>
            </w:tcMar>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2223F7">
            <w:pPr>
              <w:spacing w:after="100"/>
              <w:jc w:val="right"/>
              <w:rPr>
                <w:rFonts w:eastAsia="Times New Roman"/>
              </w:rPr>
            </w:pPr>
            <w:r>
              <w:rPr>
                <w:rFonts w:ascii="Arial" w:eastAsia="Times New Roman" w:hAnsi="Arial" w:cs="Arial"/>
                <w:color w:val="000000"/>
                <w:sz w:val="20"/>
                <w:szCs w:val="20"/>
              </w:rPr>
              <w:t>9.6 </w:t>
            </w:r>
          </w:p>
        </w:tc>
        <w:tc>
          <w:tcPr>
            <w:tcW w:w="0" w:type="auto"/>
            <w:shd w:val="clear" w:color="auto" w:fill="FFFFFF"/>
            <w:tcMar>
              <w:top w:w="30" w:type="dxa"/>
              <w:left w:w="0" w:type="dxa"/>
              <w:bottom w:w="30" w:type="dxa"/>
              <w:right w:w="20" w:type="dxa"/>
            </w:tcMar>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2223F7">
            <w:pPr>
              <w:spacing w:after="100"/>
              <w:jc w:val="right"/>
              <w:rPr>
                <w:rFonts w:eastAsia="Times New Roman"/>
              </w:rPr>
            </w:pPr>
            <w:r>
              <w:rPr>
                <w:rFonts w:ascii="Arial" w:eastAsia="Times New Roman" w:hAnsi="Arial" w:cs="Arial"/>
                <w:color w:val="000000"/>
                <w:sz w:val="20"/>
                <w:szCs w:val="20"/>
              </w:rPr>
              <w:t>(0.1)</w:t>
            </w:r>
          </w:p>
        </w:tc>
        <w:tc>
          <w:tcPr>
            <w:tcW w:w="0" w:type="auto"/>
            <w:shd w:val="clear" w:color="auto" w:fill="FFFFFF"/>
            <w:tcMar>
              <w:top w:w="30" w:type="dxa"/>
              <w:left w:w="0" w:type="dxa"/>
              <w:bottom w:w="30" w:type="dxa"/>
              <w:right w:w="20" w:type="dxa"/>
            </w:tcMar>
            <w:hideMark/>
          </w:tcPr>
          <w:p w:rsidR="00000000" w:rsidRDefault="002223F7">
            <w:pPr>
              <w:spacing w:after="100"/>
              <w:jc w:val="right"/>
              <w:rPr>
                <w:rFonts w:eastAsia="Times New Roman"/>
              </w:rPr>
            </w:pPr>
          </w:p>
        </w:tc>
      </w:tr>
      <w:tr w:rsidR="00000000">
        <w:trPr>
          <w:divId w:val="404377769"/>
        </w:trPr>
        <w:tc>
          <w:tcPr>
            <w:tcW w:w="0" w:type="auto"/>
            <w:gridSpan w:val="3"/>
            <w:shd w:val="clear" w:color="auto" w:fill="CCEEFF"/>
            <w:tcMar>
              <w:top w:w="30" w:type="dxa"/>
              <w:left w:w="26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other comprehensive income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04377769"/>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Comprehensive income (loss) including noncontrolling interest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91.9 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04377769"/>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Comprehensive income (loss) attributable to noncontrolling interest</w:t>
            </w:r>
          </w:p>
        </w:tc>
        <w:tc>
          <w:tcPr>
            <w:tcW w:w="0" w:type="auto"/>
            <w:gridSpan w:val="2"/>
            <w:shd w:val="clear" w:color="auto" w:fill="CCEEFF"/>
            <w:tcMar>
              <w:top w:w="30" w:type="dxa"/>
              <w:left w:w="20" w:type="dxa"/>
              <w:bottom w:w="30" w:type="dxa"/>
              <w:right w:w="0" w:type="dxa"/>
            </w:tcMar>
            <w:hideMark/>
          </w:tcPr>
          <w:p w:rsidR="00000000" w:rsidRDefault="002223F7">
            <w:pPr>
              <w:spacing w:after="100"/>
              <w:jc w:val="right"/>
              <w:rPr>
                <w:rFonts w:eastAsia="Times New Roman"/>
              </w:rPr>
            </w:pPr>
            <w:r>
              <w:rPr>
                <w:rFonts w:ascii="Arial" w:eastAsia="Times New Roman" w:hAnsi="Arial" w:cs="Arial"/>
                <w:color w:val="000000"/>
                <w:sz w:val="20"/>
                <w:szCs w:val="20"/>
              </w:rPr>
              <w:t>1.7 </w:t>
            </w:r>
          </w:p>
        </w:tc>
        <w:tc>
          <w:tcPr>
            <w:tcW w:w="0" w:type="auto"/>
            <w:shd w:val="clear" w:color="auto" w:fill="CCEEFF"/>
            <w:tcMar>
              <w:top w:w="30" w:type="dxa"/>
              <w:left w:w="0" w:type="dxa"/>
              <w:bottom w:w="30" w:type="dxa"/>
              <w:right w:w="20" w:type="dxa"/>
            </w:tcMar>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2223F7">
            <w:pPr>
              <w:spacing w:after="100"/>
              <w:jc w:val="right"/>
              <w:rPr>
                <w:rFonts w:eastAsia="Times New Roman"/>
              </w:rPr>
            </w:pPr>
            <w:r>
              <w:rPr>
                <w:rFonts w:ascii="Arial" w:eastAsia="Times New Roman" w:hAnsi="Arial" w:cs="Arial"/>
                <w:color w:val="000000"/>
                <w:sz w:val="20"/>
                <w:szCs w:val="20"/>
              </w:rPr>
              <w:t>0.5 </w:t>
            </w:r>
          </w:p>
        </w:tc>
        <w:tc>
          <w:tcPr>
            <w:tcW w:w="0" w:type="auto"/>
            <w:shd w:val="clear" w:color="auto" w:fill="CCEEFF"/>
            <w:tcMar>
              <w:top w:w="30" w:type="dxa"/>
              <w:left w:w="0" w:type="dxa"/>
              <w:bottom w:w="30" w:type="dxa"/>
              <w:right w:w="20" w:type="dxa"/>
            </w:tcMar>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hideMark/>
          </w:tcPr>
          <w:p w:rsidR="00000000" w:rsidRDefault="002223F7">
            <w:pPr>
              <w:spacing w:after="100"/>
              <w:jc w:val="right"/>
              <w:rPr>
                <w:rFonts w:eastAsia="Times New Roman"/>
              </w:rPr>
            </w:pPr>
          </w:p>
        </w:tc>
      </w:tr>
      <w:tr w:rsidR="00000000">
        <w:trPr>
          <w:divId w:val="404377769"/>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Comprehensive income (loss) attributable to World Fuel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90.2 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jc w:val="both"/>
        <w:divId w:val="243615237"/>
        <w:rPr>
          <w:rFonts w:eastAsia="Times New Roman"/>
        </w:rPr>
      </w:pPr>
    </w:p>
    <w:p w:rsidR="00000000" w:rsidRDefault="002223F7">
      <w:pPr>
        <w:jc w:val="center"/>
        <w:divId w:val="999238728"/>
        <w:rPr>
          <w:rFonts w:eastAsia="Times New Roman"/>
        </w:rPr>
      </w:pPr>
      <w:r>
        <w:rPr>
          <w:rFonts w:ascii="Arial" w:eastAsia="Times New Roman" w:hAnsi="Arial" w:cs="Arial"/>
          <w:color w:val="000000"/>
          <w:sz w:val="16"/>
          <w:szCs w:val="16"/>
        </w:rPr>
        <w:t>The accompanying Notes are an integral part of these Consolidated Financial Statements.</w:t>
      </w:r>
    </w:p>
    <w:p w:rsidR="00000000" w:rsidRDefault="002223F7">
      <w:pPr>
        <w:jc w:val="center"/>
        <w:divId w:val="1454979114"/>
        <w:rPr>
          <w:rFonts w:eastAsia="Times New Roman"/>
        </w:rPr>
      </w:pPr>
      <w:r>
        <w:rPr>
          <w:rFonts w:ascii="Arial" w:eastAsia="Times New Roman" w:hAnsi="Arial" w:cs="Arial"/>
          <w:color w:val="000000"/>
          <w:sz w:val="16"/>
          <w:szCs w:val="16"/>
        </w:rPr>
        <w:t>45</w:t>
      </w:r>
    </w:p>
    <w:p w:rsidR="00000000" w:rsidRDefault="002223F7">
      <w:pPr>
        <w:rPr>
          <w:rFonts w:eastAsia="Times New Roman"/>
        </w:rPr>
      </w:pPr>
      <w:r>
        <w:rPr>
          <w:rFonts w:eastAsia="Times New Roman"/>
        </w:rPr>
        <w:pict>
          <v:rect id="_x0000_i1076" style="width:0;height:1.5pt" o:hralign="center" o:hrstd="t" o:hr="t" fillcolor="#a0a0a0" stroked="f"/>
        </w:pict>
      </w:r>
    </w:p>
    <w:p w:rsidR="00000000" w:rsidRDefault="002223F7">
      <w:pPr>
        <w:jc w:val="both"/>
        <w:divId w:val="49109701"/>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rPr>
          <w:rFonts w:eastAsia="Times New Roman"/>
        </w:rPr>
      </w:pPr>
      <w:r>
        <w:rPr>
          <w:rFonts w:ascii="Arial" w:eastAsia="Times New Roman" w:hAnsi="Arial" w:cs="Arial"/>
          <w:b/>
          <w:bCs/>
          <w:color w:val="000000"/>
        </w:rPr>
        <w:t xml:space="preserve">WORLD FUEL SERVICES CORPORATION </w:t>
      </w:r>
    </w:p>
    <w:p w:rsidR="00000000" w:rsidRDefault="002223F7">
      <w:pPr>
        <w:jc w:val="both"/>
        <w:rPr>
          <w:rFonts w:eastAsia="Times New Roman"/>
        </w:rPr>
      </w:pPr>
      <w:r>
        <w:rPr>
          <w:rFonts w:ascii="Arial" w:eastAsia="Times New Roman" w:hAnsi="Arial" w:cs="Arial"/>
          <w:b/>
          <w:bCs/>
          <w:color w:val="000000"/>
        </w:rPr>
        <w:t>CONSOLIDATED STATEMENTS OF SHAREHOLDERS’ EQUITY</w:t>
      </w:r>
    </w:p>
    <w:p w:rsidR="00000000" w:rsidRDefault="002223F7">
      <w:pPr>
        <w:jc w:val="both"/>
        <w:rPr>
          <w:rFonts w:eastAsia="Times New Roman"/>
        </w:rPr>
      </w:pPr>
      <w:r>
        <w:rPr>
          <w:rFonts w:ascii="Arial" w:eastAsia="Times New Roman" w:hAnsi="Arial" w:cs="Arial"/>
          <w:color w:val="000000"/>
          <w:sz w:val="20"/>
          <w:szCs w:val="20"/>
        </w:rPr>
        <w:t>(In m</w:t>
      </w:r>
      <w:r>
        <w:rPr>
          <w:rFonts w:ascii="Arial" w:eastAsia="Times New Roman" w:hAnsi="Arial" w:cs="Arial"/>
          <w:color w:val="000000"/>
          <w:sz w:val="20"/>
          <w:szCs w:val="20"/>
        </w:rPr>
        <w:t>illions)</w:t>
      </w:r>
    </w:p>
    <w:tbl>
      <w:tblPr>
        <w:tblW w:w="5000" w:type="pct"/>
        <w:tblCellMar>
          <w:top w:w="15" w:type="dxa"/>
          <w:left w:w="15" w:type="dxa"/>
          <w:bottom w:w="15" w:type="dxa"/>
          <w:right w:w="15" w:type="dxa"/>
        </w:tblCellMar>
        <w:tblLook w:val="04A0" w:firstRow="1" w:lastRow="0" w:firstColumn="1" w:lastColumn="0" w:noHBand="0" w:noVBand="1"/>
      </w:tblPr>
      <w:tblGrid>
        <w:gridCol w:w="44"/>
        <w:gridCol w:w="1078"/>
        <w:gridCol w:w="40"/>
        <w:gridCol w:w="95"/>
        <w:gridCol w:w="470"/>
        <w:gridCol w:w="37"/>
        <w:gridCol w:w="37"/>
        <w:gridCol w:w="37"/>
        <w:gridCol w:w="36"/>
        <w:gridCol w:w="110"/>
        <w:gridCol w:w="540"/>
        <w:gridCol w:w="36"/>
        <w:gridCol w:w="36"/>
        <w:gridCol w:w="36"/>
        <w:gridCol w:w="36"/>
        <w:gridCol w:w="109"/>
        <w:gridCol w:w="445"/>
        <w:gridCol w:w="36"/>
        <w:gridCol w:w="36"/>
        <w:gridCol w:w="36"/>
        <w:gridCol w:w="36"/>
        <w:gridCol w:w="109"/>
        <w:gridCol w:w="579"/>
        <w:gridCol w:w="36"/>
        <w:gridCol w:w="36"/>
        <w:gridCol w:w="36"/>
        <w:gridCol w:w="36"/>
        <w:gridCol w:w="110"/>
        <w:gridCol w:w="1129"/>
        <w:gridCol w:w="36"/>
        <w:gridCol w:w="36"/>
        <w:gridCol w:w="36"/>
        <w:gridCol w:w="36"/>
        <w:gridCol w:w="110"/>
        <w:gridCol w:w="999"/>
        <w:gridCol w:w="36"/>
        <w:gridCol w:w="36"/>
        <w:gridCol w:w="36"/>
        <w:gridCol w:w="36"/>
        <w:gridCol w:w="110"/>
        <w:gridCol w:w="1067"/>
        <w:gridCol w:w="36"/>
        <w:gridCol w:w="36"/>
        <w:gridCol w:w="36"/>
        <w:gridCol w:w="36"/>
        <w:gridCol w:w="109"/>
        <w:gridCol w:w="579"/>
        <w:gridCol w:w="36"/>
      </w:tblGrid>
      <w:tr w:rsidR="00000000">
        <w:trPr>
          <w:divId w:val="765341862"/>
        </w:trPr>
        <w:tc>
          <w:tcPr>
            <w:tcW w:w="50" w:type="pct"/>
            <w:vAlign w:val="center"/>
            <w:hideMark/>
          </w:tcPr>
          <w:p w:rsidR="00000000" w:rsidRDefault="002223F7">
            <w:pPr>
              <w:jc w:val="both"/>
              <w:rPr>
                <w:rFonts w:eastAsia="Times New Roman"/>
              </w:rPr>
            </w:pPr>
          </w:p>
        </w:tc>
        <w:tc>
          <w:tcPr>
            <w:tcW w:w="125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248"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18"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283"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18"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333"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18"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31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18"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5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18"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02"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18"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3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18"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27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765341862"/>
          <w:trHeight w:val="480"/>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Common Stock</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Capital in Excess of Par Value</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Retained Earnings</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Accumulated Other Comprehensive Income (Loss)</w:t>
            </w:r>
          </w:p>
        </w:tc>
        <w:tc>
          <w:tcPr>
            <w:tcW w:w="0" w:type="auto"/>
            <w:gridSpan w:val="3"/>
            <w:vMerge w:val="restart"/>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Total World Fuel Shareholders’ Equity</w:t>
            </w:r>
          </w:p>
        </w:tc>
        <w:tc>
          <w:tcPr>
            <w:tcW w:w="0" w:type="auto"/>
            <w:gridSpan w:val="3"/>
            <w:vMerge w:val="restart"/>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Noncontrolling Interest Equity</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Total Equity</w:t>
            </w:r>
          </w:p>
        </w:tc>
      </w:tr>
      <w:tr w:rsidR="00000000">
        <w:trPr>
          <w:divId w:val="765341862"/>
          <w:trHeight w:val="280"/>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vMerge/>
            <w:vAlign w:val="center"/>
            <w:hideMark/>
          </w:tcPr>
          <w:p w:rsidR="00000000" w:rsidRDefault="002223F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vMerge/>
            <w:vAlign w:val="center"/>
            <w:hideMark/>
          </w:tcPr>
          <w:p w:rsidR="00000000" w:rsidRDefault="002223F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vMerge/>
            <w:vAlign w:val="center"/>
            <w:hideMark/>
          </w:tcPr>
          <w:p w:rsidR="00000000" w:rsidRDefault="002223F7">
            <w:pPr>
              <w:spacing w:after="100"/>
              <w:rPr>
                <w:rFonts w:eastAsia="Times New Roman"/>
              </w:rPr>
            </w:pPr>
          </w:p>
        </w:tc>
        <w:tc>
          <w:tcPr>
            <w:tcW w:w="0" w:type="auto"/>
            <w:gridSpan w:val="3"/>
            <w:vMerge/>
            <w:vAlign w:val="center"/>
            <w:hideMark/>
          </w:tcPr>
          <w:p w:rsidR="00000000" w:rsidRDefault="002223F7">
            <w:pPr>
              <w:spacing w:after="100"/>
              <w:rPr>
                <w:rFonts w:eastAsia="Times New Roman"/>
              </w:rPr>
            </w:pPr>
          </w:p>
        </w:tc>
        <w:tc>
          <w:tcPr>
            <w:tcW w:w="0" w:type="auto"/>
            <w:gridSpan w:val="3"/>
            <w:vMerge/>
            <w:vAlign w:val="center"/>
            <w:hideMark/>
          </w:tcPr>
          <w:p w:rsidR="00000000" w:rsidRDefault="002223F7">
            <w:pPr>
              <w:spacing w:after="100"/>
              <w:rPr>
                <w:rFonts w:eastAsia="Times New Roman"/>
              </w:rPr>
            </w:pPr>
          </w:p>
        </w:tc>
        <w:tc>
          <w:tcPr>
            <w:tcW w:w="0" w:type="auto"/>
            <w:gridSpan w:val="3"/>
            <w:vMerge/>
            <w:vAlign w:val="center"/>
            <w:hideMark/>
          </w:tcPr>
          <w:p w:rsidR="00000000" w:rsidRDefault="002223F7">
            <w:pPr>
              <w:spacing w:after="100"/>
              <w:rPr>
                <w:rFonts w:eastAsia="Times New Roman"/>
              </w:rPr>
            </w:pPr>
          </w:p>
        </w:tc>
        <w:tc>
          <w:tcPr>
            <w:tcW w:w="0" w:type="auto"/>
            <w:gridSpan w:val="3"/>
            <w:vMerge/>
            <w:vAlign w:val="center"/>
            <w:hideMark/>
          </w:tcPr>
          <w:p w:rsidR="00000000" w:rsidRDefault="002223F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vMerge/>
            <w:vAlign w:val="center"/>
            <w:hideMark/>
          </w:tcPr>
          <w:p w:rsidR="00000000" w:rsidRDefault="002223F7">
            <w:pPr>
              <w:spacing w:after="100"/>
              <w:rPr>
                <w:rFonts w:eastAsia="Times New Roman"/>
              </w:rPr>
            </w:pPr>
          </w:p>
        </w:tc>
      </w:tr>
      <w:tr w:rsidR="002223F7">
        <w:trPr>
          <w:divId w:val="765341862"/>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Balance as of December 31,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65.2 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274.7 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1,761.3 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(146.3)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1,890.4 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1,893.9 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765341862"/>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Net income (loss)</w:t>
            </w:r>
          </w:p>
        </w:tc>
        <w:tc>
          <w:tcPr>
            <w:tcW w:w="0" w:type="auto"/>
            <w:gridSpan w:val="2"/>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109.6 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109.6 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0.1 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109.6 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765341862"/>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Cumulative effect of change in accounting principl</w:t>
            </w:r>
            <w:r>
              <w:rPr>
                <w:rFonts w:ascii="Arial" w:eastAsia="Times New Roman" w:hAnsi="Arial" w:cs="Arial"/>
                <w:color w:val="000000"/>
                <w:sz w:val="16"/>
                <w:szCs w:val="16"/>
              </w:rPr>
              <w:t>e</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(11.1)</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(11.1)</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(11.1)</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765341862"/>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Cash dividends declared</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(25.5)</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(25.5)</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(25.5)</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765341862"/>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Amortization of share-based payment awards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(1.1)</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(1.1)</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(1.1)</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765341862"/>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Issuance (cancellation) of common stock related to share-based payment awards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0.3 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765341862"/>
        </w:trPr>
        <w:tc>
          <w:tcPr>
            <w:tcW w:w="0" w:type="auto"/>
            <w:gridSpan w:val="3"/>
            <w:vAlign w:val="center"/>
            <w:hideMark/>
          </w:tcPr>
          <w:p w:rsidR="00000000" w:rsidRDefault="002223F7">
            <w:pPr>
              <w:spacing w:after="100"/>
              <w:jc w:val="right"/>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765341862"/>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Purchases of common stock tendered by employees to satisfy the required withholding taxes related to share-based payment awards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(3.1)</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(3.1)</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(3.1)</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765341862"/>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Purchases of common stock</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(2.6)</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68.3)</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(68.3)</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(68.3)</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765341862"/>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13.7 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13.7 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13.7 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765341862"/>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Other</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2.4 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3.7 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3.7 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765341862"/>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Balance as of December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62.9 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204.6 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1,836.7 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(132.6)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1,909.3 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1,912.9 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765341862"/>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Net income (loss)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73.7 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73.7 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0.5 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74.2 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765341862"/>
        </w:trPr>
        <w:tc>
          <w:tcPr>
            <w:tcW w:w="0" w:type="auto"/>
            <w:gridSpan w:val="3"/>
            <w:vAlign w:val="center"/>
            <w:hideMark/>
          </w:tcPr>
          <w:p w:rsidR="00000000" w:rsidRDefault="002223F7">
            <w:pPr>
              <w:spacing w:after="100"/>
              <w:jc w:val="right"/>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765341862"/>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Cash dividends declared</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(30.0)</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(30.0)</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(30.0)</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765341862"/>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Amortization of share-based payment awards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19.6 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19.6 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19.6 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765341862"/>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Issuance (cancellation) of common stock related to share-based payment awards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0.4 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0.2 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0.3 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0.3 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765341862"/>
        </w:trPr>
        <w:tc>
          <w:tcPr>
            <w:tcW w:w="0" w:type="auto"/>
            <w:gridSpan w:val="3"/>
            <w:vAlign w:val="center"/>
            <w:hideMark/>
          </w:tcPr>
          <w:p w:rsidR="00000000" w:rsidRDefault="002223F7">
            <w:pPr>
              <w:spacing w:after="100"/>
              <w:jc w:val="right"/>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765341862"/>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Purchases of common stock tendered by employees to satisfy the required withholding taxes related to share-based payment awards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(5.8)</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(5.8)</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(5.8)</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765341862"/>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Purchases of common stock</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(1.7)</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50.5)</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(50.5)</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(50.5)</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765341862"/>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(4.1)</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(4.1)</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(4.1)</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765341862"/>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Other</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0.2 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0.2 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0.2 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765341862"/>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Balance as of December 31, 2021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61.7 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168.1 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1,880.6 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(136.7)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1,912.7 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1,916.8 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765341862"/>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Net income (loss)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114.1 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114.1 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115.9 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765341862"/>
        </w:trPr>
        <w:tc>
          <w:tcPr>
            <w:tcW w:w="0" w:type="auto"/>
            <w:gridSpan w:val="3"/>
            <w:vAlign w:val="center"/>
            <w:hideMark/>
          </w:tcPr>
          <w:p w:rsidR="00000000" w:rsidRDefault="002223F7">
            <w:pPr>
              <w:spacing w:after="100"/>
              <w:jc w:val="right"/>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765341862"/>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Cash dividends declared</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(32.2)</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(32.2)</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(32.2)</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765341862"/>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Amortization of share-based payment awards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17.6 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17.6 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17.6 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765341862"/>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Issuance (cancellation) of common stock related to share-based payment awards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0.4 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765341862"/>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Issuance of common stock for acquisition of a business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1.8 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50.0 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50.0 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50.0 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765341862"/>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Purchases of common stock tendered by employees to satisfy the required withholding taxes related to share-based payment awards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0.2 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(4.6)</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(4.6)</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(4.6)</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765341862"/>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Purchases of common stock</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(2.0)</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48.7)</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(48.7)</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(48.7)</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765341862"/>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(24.0)</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(24.0)</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(24.0)</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765341862"/>
        </w:trPr>
        <w:tc>
          <w:tcPr>
            <w:tcW w:w="0" w:type="auto"/>
            <w:gridSpan w:val="3"/>
            <w:vAlign w:val="center"/>
            <w:hideMark/>
          </w:tcPr>
          <w:p w:rsidR="00000000" w:rsidRDefault="002223F7">
            <w:pPr>
              <w:spacing w:after="100"/>
              <w:jc w:val="right"/>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2223F7">
        <w:trPr>
          <w:divId w:val="765341862"/>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Balance as of December 31, 2022</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62.0 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182.4 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1,962.5 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(160.6)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1,984.9 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1,990.7 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jc w:val="center"/>
        <w:divId w:val="1871259833"/>
        <w:rPr>
          <w:rFonts w:eastAsia="Times New Roman"/>
        </w:rPr>
      </w:pPr>
      <w:r>
        <w:rPr>
          <w:rFonts w:ascii="Arial" w:eastAsia="Times New Roman" w:hAnsi="Arial" w:cs="Arial"/>
          <w:color w:val="000000"/>
          <w:sz w:val="16"/>
          <w:szCs w:val="16"/>
        </w:rPr>
        <w:t>The accompa</w:t>
      </w:r>
      <w:r>
        <w:rPr>
          <w:rFonts w:ascii="Arial" w:eastAsia="Times New Roman" w:hAnsi="Arial" w:cs="Arial"/>
          <w:color w:val="000000"/>
          <w:sz w:val="16"/>
          <w:szCs w:val="16"/>
        </w:rPr>
        <w:t>nying Notes are an integral part of these Consolidated Financial Statements.</w:t>
      </w:r>
    </w:p>
    <w:p w:rsidR="00000000" w:rsidRDefault="002223F7">
      <w:pPr>
        <w:jc w:val="center"/>
        <w:divId w:val="1472358892"/>
        <w:rPr>
          <w:rFonts w:eastAsia="Times New Roman"/>
        </w:rPr>
      </w:pPr>
      <w:r>
        <w:rPr>
          <w:rFonts w:ascii="Arial" w:eastAsia="Times New Roman" w:hAnsi="Arial" w:cs="Arial"/>
          <w:color w:val="000000"/>
          <w:sz w:val="16"/>
          <w:szCs w:val="16"/>
        </w:rPr>
        <w:t>46</w:t>
      </w:r>
    </w:p>
    <w:p w:rsidR="00000000" w:rsidRDefault="002223F7">
      <w:pPr>
        <w:rPr>
          <w:rFonts w:eastAsia="Times New Roman"/>
        </w:rPr>
      </w:pPr>
      <w:r>
        <w:rPr>
          <w:rFonts w:eastAsia="Times New Roman"/>
        </w:rPr>
        <w:pict>
          <v:rect id="_x0000_i1077" style="width:0;height:1.5pt" o:hralign="center" o:hrstd="t" o:hr="t" fillcolor="#a0a0a0" stroked="f"/>
        </w:pict>
      </w:r>
    </w:p>
    <w:p w:rsidR="00000000" w:rsidRDefault="002223F7">
      <w:pPr>
        <w:jc w:val="both"/>
        <w:divId w:val="133986184"/>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rPr>
          <w:rFonts w:eastAsia="Times New Roman"/>
        </w:rPr>
      </w:pPr>
      <w:r>
        <w:rPr>
          <w:rFonts w:ascii="Arial" w:eastAsia="Times New Roman" w:hAnsi="Arial" w:cs="Arial"/>
          <w:b/>
          <w:bCs/>
          <w:color w:val="000000"/>
        </w:rPr>
        <w:t xml:space="preserve">WORLD </w:t>
      </w:r>
      <w:r>
        <w:rPr>
          <w:rFonts w:ascii="Arial" w:eastAsia="Times New Roman" w:hAnsi="Arial" w:cs="Arial"/>
          <w:b/>
          <w:bCs/>
          <w:color w:val="000000"/>
        </w:rPr>
        <w:t>FUEL SERVICES CORPORATION</w:t>
      </w:r>
    </w:p>
    <w:p w:rsidR="00000000" w:rsidRDefault="002223F7">
      <w:pPr>
        <w:jc w:val="both"/>
        <w:rPr>
          <w:rFonts w:eastAsia="Times New Roman"/>
        </w:rPr>
      </w:pPr>
      <w:r>
        <w:rPr>
          <w:rFonts w:ascii="Arial" w:eastAsia="Times New Roman" w:hAnsi="Arial" w:cs="Arial"/>
          <w:b/>
          <w:bCs/>
          <w:color w:val="000000"/>
        </w:rPr>
        <w:t>CONSOLIDATED STATEMENTS OF CASH FLOWS </w:t>
      </w:r>
    </w:p>
    <w:tbl>
      <w:tblPr>
        <w:tblW w:w="5000" w:type="pct"/>
        <w:tblCellMar>
          <w:top w:w="15" w:type="dxa"/>
          <w:left w:w="15" w:type="dxa"/>
          <w:bottom w:w="15" w:type="dxa"/>
          <w:right w:w="15" w:type="dxa"/>
        </w:tblCellMar>
        <w:tblLook w:val="04A0" w:firstRow="1" w:lastRow="0" w:firstColumn="1" w:lastColumn="0" w:noHBand="0" w:noVBand="1"/>
      </w:tblPr>
      <w:tblGrid>
        <w:gridCol w:w="39"/>
        <w:gridCol w:w="4613"/>
        <w:gridCol w:w="38"/>
        <w:gridCol w:w="133"/>
        <w:gridCol w:w="941"/>
        <w:gridCol w:w="37"/>
        <w:gridCol w:w="37"/>
        <w:gridCol w:w="53"/>
        <w:gridCol w:w="36"/>
        <w:gridCol w:w="132"/>
        <w:gridCol w:w="940"/>
        <w:gridCol w:w="36"/>
        <w:gridCol w:w="36"/>
        <w:gridCol w:w="53"/>
        <w:gridCol w:w="36"/>
        <w:gridCol w:w="132"/>
        <w:gridCol w:w="942"/>
        <w:gridCol w:w="36"/>
        <w:gridCol w:w="36"/>
      </w:tblGrid>
      <w:tr w:rsidR="00000000">
        <w:trPr>
          <w:divId w:val="588194190"/>
        </w:trPr>
        <w:tc>
          <w:tcPr>
            <w:tcW w:w="50" w:type="pct"/>
            <w:vAlign w:val="center"/>
            <w:hideMark/>
          </w:tcPr>
          <w:p w:rsidR="00000000" w:rsidRDefault="002223F7">
            <w:pPr>
              <w:jc w:val="both"/>
              <w:rPr>
                <w:rFonts w:eastAsia="Times New Roman"/>
              </w:rPr>
            </w:pPr>
          </w:p>
        </w:tc>
        <w:tc>
          <w:tcPr>
            <w:tcW w:w="294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80"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33"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80"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33"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8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r>
      <w:tr w:rsidR="00000000">
        <w:trPr>
          <w:divId w:val="588194190"/>
        </w:trPr>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(In millions)</w:t>
            </w:r>
          </w:p>
        </w:tc>
        <w:tc>
          <w:tcPr>
            <w:tcW w:w="0" w:type="auto"/>
            <w:gridSpan w:val="15"/>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For the Year Ended December 31,</w:t>
            </w:r>
          </w:p>
        </w:tc>
        <w:tc>
          <w:tcPr>
            <w:tcW w:w="0" w:type="auto"/>
            <w:vAlign w:val="center"/>
            <w:hideMark/>
          </w:tcPr>
          <w:p w:rsidR="00000000" w:rsidRDefault="002223F7">
            <w:pPr>
              <w:spacing w:after="100"/>
              <w:jc w:val="center"/>
              <w:rPr>
                <w:rFonts w:eastAsia="Times New Roman"/>
              </w:rPr>
            </w:pPr>
          </w:p>
        </w:tc>
      </w:tr>
      <w:tr w:rsidR="00000000">
        <w:trPr>
          <w:divId w:val="588194190"/>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2020</w:t>
            </w:r>
          </w:p>
        </w:tc>
        <w:tc>
          <w:tcPr>
            <w:tcW w:w="0" w:type="auto"/>
            <w:vAlign w:val="center"/>
            <w:hideMark/>
          </w:tcPr>
          <w:p w:rsidR="00000000" w:rsidRDefault="002223F7">
            <w:pPr>
              <w:spacing w:after="100"/>
              <w:jc w:val="center"/>
              <w:rPr>
                <w:rFonts w:eastAsia="Times New Roman"/>
              </w:rPr>
            </w:pPr>
          </w:p>
        </w:tc>
      </w:tr>
      <w:tr w:rsidR="00000000">
        <w:trPr>
          <w:divId w:val="58819419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r>
      <w:tr w:rsidR="00000000">
        <w:trPr>
          <w:divId w:val="58819419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Net income (loss) including noncontrolling interest</w:t>
            </w: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115.9 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74.2 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109.6 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r>
      <w:tr w:rsidR="00000000">
        <w:trPr>
          <w:divId w:val="588194190"/>
        </w:trPr>
        <w:tc>
          <w:tcPr>
            <w:tcW w:w="0" w:type="auto"/>
            <w:gridSpan w:val="3"/>
            <w:shd w:val="clear" w:color="auto" w:fill="CCEEFF"/>
            <w:tcMar>
              <w:top w:w="30" w:type="dxa"/>
              <w:left w:w="20" w:type="dxa"/>
              <w:bottom w:w="30" w:type="dxa"/>
              <w:right w:w="20" w:type="dxa"/>
            </w:tcMar>
            <w:vAlign w:val="center"/>
            <w:hideMark/>
          </w:tcPr>
          <w:p w:rsidR="00000000" w:rsidRDefault="002223F7">
            <w:pPr>
              <w:spacing w:after="100"/>
              <w:rPr>
                <w:rFonts w:eastAsia="Times New Roman"/>
              </w:rPr>
            </w:pPr>
            <w:r>
              <w:rPr>
                <w:rFonts w:ascii="Arial" w:eastAsia="Times New Roman" w:hAnsi="Arial" w:cs="Arial"/>
                <w:color w:val="000000"/>
                <w:sz w:val="20"/>
                <w:szCs w:val="20"/>
              </w:rPr>
              <w:t>Adjustments to reconcile net income including noncontrolling interest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r>
      <w:tr w:rsidR="00000000">
        <w:trPr>
          <w:divId w:val="58819419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Unrealized (gain) loss on derivatives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179.9 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(23.2)</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r>
      <w:tr w:rsidR="00000000">
        <w:trPr>
          <w:divId w:val="58819419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107.8 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81.0 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85.8 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r>
      <w:tr w:rsidR="00000000">
        <w:trPr>
          <w:divId w:val="58819419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Provision for credit losses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6.3 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63.7 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r>
      <w:tr w:rsidR="00000000">
        <w:trPr>
          <w:divId w:val="58819419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Share-based payment award compensation costs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17.6 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19.6 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(0.9)</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r>
      <w:tr w:rsidR="00000000">
        <w:trPr>
          <w:divId w:val="58819419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Deferred income tax expense (benefit)</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(18.5)</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(7.6)</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(14.4)</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r>
      <w:tr w:rsidR="00000000">
        <w:trPr>
          <w:divId w:val="58819419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 xml:space="preserve">Unrealized foreign currency (gains) losses, net </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21.7 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(7.8)</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r>
      <w:tr w:rsidR="00000000">
        <w:trPr>
          <w:divId w:val="58819419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Loss (gain) on sale of business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(80.0)</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r>
      <w:tr w:rsidR="00000000">
        <w:trPr>
          <w:divId w:val="58819419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(0.8)</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25.3 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r>
      <w:tr w:rsidR="00000000">
        <w:trPr>
          <w:divId w:val="588194190"/>
        </w:trPr>
        <w:tc>
          <w:tcPr>
            <w:tcW w:w="0" w:type="auto"/>
            <w:gridSpan w:val="3"/>
            <w:shd w:val="clear" w:color="auto" w:fill="FFFFFF"/>
            <w:tcMar>
              <w:top w:w="30" w:type="dxa"/>
              <w:left w:w="20" w:type="dxa"/>
              <w:bottom w:w="30" w:type="dxa"/>
              <w:right w:w="20" w:type="dxa"/>
            </w:tcMar>
            <w:vAlign w:val="center"/>
            <w:hideMark/>
          </w:tcPr>
          <w:p w:rsidR="00000000" w:rsidRDefault="002223F7">
            <w:pPr>
              <w:spacing w:after="100"/>
              <w:rPr>
                <w:rFonts w:eastAsia="Times New Roman"/>
              </w:rPr>
            </w:pPr>
            <w:r>
              <w:rPr>
                <w:rFonts w:ascii="Arial" w:eastAsia="Times New Roman" w:hAnsi="Arial" w:cs="Arial"/>
                <w:color w:val="000000"/>
                <w:sz w:val="20"/>
                <w:szCs w:val="20"/>
              </w:rPr>
              <w:t>Changes in assets and liabilities, net of acquisitions and divestitures:</w:t>
            </w:r>
          </w:p>
        </w:tc>
        <w:tc>
          <w:tcPr>
            <w:tcW w:w="0" w:type="auto"/>
            <w:gridSpan w:val="3"/>
            <w:shd w:val="clear" w:color="auto" w:fill="FFFFFF"/>
            <w:tcMar>
              <w:top w:w="30" w:type="dxa"/>
              <w:left w:w="20" w:type="dxa"/>
              <w:bottom w:w="30" w:type="dxa"/>
              <w:right w:w="20" w:type="dxa"/>
            </w:tcMar>
            <w:vAlign w:val="center"/>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2223F7">
            <w:pPr>
              <w:spacing w:after="100"/>
              <w:rPr>
                <w:rFonts w:eastAsia="Times New Roman"/>
              </w:rPr>
            </w:pPr>
            <w:r>
              <w:rPr>
                <w:rFonts w:ascii="Arial" w:eastAsia="Times New Roman" w:hAnsi="Arial" w:cs="Arial"/>
                <w:color w:val="000000"/>
                <w:sz w:val="20"/>
                <w:szCs w:val="20"/>
              </w:rPr>
              <w:t> </w:t>
            </w:r>
          </w:p>
        </w:tc>
        <w:tc>
          <w:tcPr>
            <w:tcW w:w="0" w:type="auto"/>
            <w:vAlign w:val="center"/>
            <w:hideMark/>
          </w:tcPr>
          <w:p w:rsidR="00000000" w:rsidRDefault="002223F7">
            <w:pPr>
              <w:spacing w:after="100"/>
              <w:rPr>
                <w:rFonts w:eastAsia="Times New Roman"/>
              </w:rPr>
            </w:pPr>
          </w:p>
        </w:tc>
      </w:tr>
      <w:tr w:rsidR="00000000">
        <w:trPr>
          <w:divId w:val="58819419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Accounts receivable, net</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(870.7)</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(1,132.6)</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1,300.3 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r>
      <w:tr w:rsidR="00000000">
        <w:trPr>
          <w:divId w:val="58819419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Inventories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(252.1)</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(135.2)</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251.0 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r>
      <w:tr w:rsidR="00000000">
        <w:trPr>
          <w:divId w:val="58819419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Prepaid expenses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(25.2)</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(10.5)</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28.1 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r>
      <w:tr w:rsidR="00000000">
        <w:trPr>
          <w:divId w:val="58819419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Short-term derivative assets, net</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(351.2)</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(89.5)</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(6.9)</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r>
      <w:tr w:rsidR="00000000">
        <w:trPr>
          <w:divId w:val="58819419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Other current assets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(121.8)</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(32.1)</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63.2 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r>
      <w:tr w:rsidR="00000000">
        <w:trPr>
          <w:divId w:val="58819419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Cash collateral with counterparties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(252.9)</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22.9 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44.2 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r>
      <w:tr w:rsidR="00000000">
        <w:trPr>
          <w:divId w:val="58819419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Other non-current assets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(133.9)</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(89.9)</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(8.7)</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r>
      <w:tr w:rsidR="00000000">
        <w:trPr>
          <w:divId w:val="58819419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Accounts payable</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1,060.7 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1,143.8 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(1,223.9)</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r>
      <w:tr w:rsidR="00000000">
        <w:trPr>
          <w:divId w:val="58819419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Customer deposits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67.3 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52.0 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23.6 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r>
      <w:tr w:rsidR="00000000">
        <w:trPr>
          <w:divId w:val="58819419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Short-term derivative liabilities, net</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370.6 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114.8 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r>
      <w:tr w:rsidR="00000000">
        <w:trPr>
          <w:divId w:val="58819419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Accrued expenses and other current liabilities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78.2 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64.2 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(87.9)</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r>
      <w:tr w:rsidR="00000000">
        <w:trPr>
          <w:divId w:val="58819419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Non-current income tax, net and other long-term liabilities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130.6 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79.0 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54.3 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r>
      <w:tr w:rsidR="00000000">
        <w:trPr>
          <w:divId w:val="588194190"/>
        </w:trPr>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r>
      <w:tr w:rsidR="00000000">
        <w:trPr>
          <w:divId w:val="58819419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Net cash provided by (used in)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138.5 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173.2 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604.1 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r>
      <w:tr w:rsidR="00000000">
        <w:trPr>
          <w:divId w:val="58819419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Cash flows from investing activities: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 </w:t>
            </w:r>
          </w:p>
        </w:tc>
        <w:tc>
          <w:tcPr>
            <w:tcW w:w="0" w:type="auto"/>
            <w:vAlign w:val="center"/>
            <w:hideMark/>
          </w:tcPr>
          <w:p w:rsidR="00000000" w:rsidRDefault="002223F7">
            <w:pPr>
              <w:spacing w:after="100"/>
              <w:rPr>
                <w:rFonts w:eastAsia="Times New Roman"/>
              </w:rPr>
            </w:pPr>
          </w:p>
        </w:tc>
      </w:tr>
      <w:tr w:rsidR="00000000">
        <w:trPr>
          <w:divId w:val="588194190"/>
        </w:trPr>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r>
      <w:tr w:rsidR="00000000">
        <w:trPr>
          <w:divId w:val="58819419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Acquisition of business, net of cash acquired</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(643.9)</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(37.1)</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(128.6)</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r>
      <w:tr w:rsidR="00000000">
        <w:trPr>
          <w:divId w:val="58819419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Proceeds from sale of business, net of divested cash</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25.0 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259.6 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r>
      <w:tr w:rsidR="00000000">
        <w:trPr>
          <w:divId w:val="58819419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Capital expenditures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(78.6)</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(39.2)</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(51.3)</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r>
      <w:tr w:rsidR="00000000">
        <w:trPr>
          <w:divId w:val="58819419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Other investing activities, net</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(2.5)</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(7.1)</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(6.9)</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r>
      <w:tr w:rsidR="00000000">
        <w:trPr>
          <w:divId w:val="58819419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Net cash provided by (used in)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(724.9)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(58.3)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r>
      <w:tr w:rsidR="00000000">
        <w:trPr>
          <w:divId w:val="58819419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Cash flows from financing activities: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 </w:t>
            </w:r>
          </w:p>
        </w:tc>
        <w:tc>
          <w:tcPr>
            <w:tcW w:w="0" w:type="auto"/>
            <w:vAlign w:val="center"/>
            <w:hideMark/>
          </w:tcPr>
          <w:p w:rsidR="00000000" w:rsidRDefault="002223F7">
            <w:pPr>
              <w:spacing w:after="100"/>
              <w:rPr>
                <w:rFonts w:eastAsia="Times New Roman"/>
              </w:rPr>
            </w:pPr>
          </w:p>
        </w:tc>
      </w:tr>
      <w:tr w:rsidR="00000000">
        <w:trPr>
          <w:divId w:val="58819419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Borrowings of debt</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6,944.9 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2,095.4 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r>
      <w:tr w:rsidR="00000000">
        <w:trPr>
          <w:divId w:val="58819419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Repayments of debt</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(6,611.2)</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24.2)</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(2,207.4)</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r>
      <w:tr w:rsidR="00000000">
        <w:trPr>
          <w:divId w:val="58819419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Dividends paid on common stock</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(31.0)</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(28.7)</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(25.6)</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r>
      <w:tr w:rsidR="00000000">
        <w:trPr>
          <w:divId w:val="58819419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Repurchases of common stock</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(48.7)</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(50.5)</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(68.3)</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r>
      <w:tr w:rsidR="00000000">
        <w:trPr>
          <w:divId w:val="58819419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Other financing activities, net</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(16.6)</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(10.5)</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(7.1)</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r>
      <w:tr w:rsidR="00000000">
        <w:trPr>
          <w:divId w:val="58819419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Net cash provided by (used in)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237.3 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(213.0)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r>
      <w:tr w:rsidR="00000000">
        <w:trPr>
          <w:divId w:val="58819419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Effect of exchange rate changes on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r>
      <w:tr w:rsidR="00000000">
        <w:trPr>
          <w:divId w:val="58819419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Net increase (decrease) in cash and cash equivalents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(353.8)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472.7 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r>
      <w:tr w:rsidR="00000000">
        <w:trPr>
          <w:divId w:val="58819419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Cash and cash equivalents, as of the beginning of the period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652.2 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658.8 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186.1 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r>
      <w:tr w:rsidR="00000000">
        <w:trPr>
          <w:divId w:val="58819419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Cash and cash equivalents, as of the end of the period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298.4 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652.2 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658.8 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r>
    </w:tbl>
    <w:p w:rsidR="00000000" w:rsidRDefault="002223F7">
      <w:pPr>
        <w:divId w:val="1718820108"/>
        <w:rPr>
          <w:rFonts w:eastAsia="Times New Roman"/>
        </w:rPr>
      </w:pPr>
    </w:p>
    <w:p w:rsidR="00000000" w:rsidRDefault="002223F7">
      <w:pPr>
        <w:jc w:val="center"/>
        <w:divId w:val="1610895603"/>
        <w:rPr>
          <w:rFonts w:eastAsia="Times New Roman"/>
        </w:rPr>
      </w:pPr>
      <w:r>
        <w:rPr>
          <w:rFonts w:ascii="Arial" w:eastAsia="Times New Roman" w:hAnsi="Arial" w:cs="Arial"/>
          <w:color w:val="000000"/>
          <w:sz w:val="16"/>
          <w:szCs w:val="16"/>
        </w:rPr>
        <w:t>The accompanying Notes are an integral part of these Consolidated Financial Statements.</w:t>
      </w:r>
    </w:p>
    <w:p w:rsidR="00000000" w:rsidRDefault="002223F7">
      <w:pPr>
        <w:jc w:val="center"/>
        <w:divId w:val="532036342"/>
        <w:rPr>
          <w:rFonts w:eastAsia="Times New Roman"/>
        </w:rPr>
      </w:pPr>
      <w:r>
        <w:rPr>
          <w:rFonts w:ascii="Arial" w:eastAsia="Times New Roman" w:hAnsi="Arial" w:cs="Arial"/>
          <w:color w:val="000000"/>
          <w:sz w:val="16"/>
          <w:szCs w:val="16"/>
        </w:rPr>
        <w:t>47</w:t>
      </w:r>
    </w:p>
    <w:p w:rsidR="00000000" w:rsidRDefault="002223F7">
      <w:pPr>
        <w:rPr>
          <w:rFonts w:eastAsia="Times New Roman"/>
        </w:rPr>
      </w:pPr>
      <w:r>
        <w:rPr>
          <w:rFonts w:eastAsia="Times New Roman"/>
        </w:rPr>
        <w:pict>
          <v:rect id="_x0000_i1078" style="width:0;height:1.5pt" o:hralign="center" o:hrstd="t" o:hr="t" fillcolor="#a0a0a0" stroked="f"/>
        </w:pict>
      </w:r>
    </w:p>
    <w:p w:rsidR="00000000" w:rsidRDefault="002223F7">
      <w:pPr>
        <w:jc w:val="both"/>
        <w:divId w:val="1724519371"/>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rPr>
          <w:rFonts w:eastAsia="Times New Roman"/>
        </w:rPr>
      </w:pPr>
      <w:r>
        <w:rPr>
          <w:rFonts w:ascii="Arial" w:eastAsia="Times New Roman" w:hAnsi="Arial" w:cs="Arial"/>
          <w:b/>
          <w:bCs/>
          <w:color w:val="000000"/>
        </w:rPr>
        <w:t>WORLD FUEL SERVICES CORPORATION</w:t>
      </w:r>
    </w:p>
    <w:p w:rsidR="00000000" w:rsidRDefault="002223F7">
      <w:pPr>
        <w:jc w:val="both"/>
        <w:rPr>
          <w:rFonts w:eastAsia="Times New Roman"/>
        </w:rPr>
      </w:pPr>
      <w:r>
        <w:rPr>
          <w:rFonts w:ascii="Arial" w:eastAsia="Times New Roman" w:hAnsi="Arial" w:cs="Arial"/>
          <w:b/>
          <w:bCs/>
          <w:color w:val="000000"/>
        </w:rPr>
        <w:t>CONSOLIDATED STATEMENTS OF CASH FLOWS</w:t>
      </w:r>
      <w:r>
        <w:rPr>
          <w:rFonts w:ascii="Arial" w:eastAsia="Times New Roman" w:hAnsi="Arial" w:cs="Arial"/>
          <w:color w:val="000000"/>
        </w:rPr>
        <w:t> </w:t>
      </w:r>
      <w:r>
        <w:rPr>
          <w:rFonts w:ascii="Arial" w:eastAsia="Times New Roman" w:hAnsi="Arial" w:cs="Arial"/>
          <w:b/>
          <w:bCs/>
          <w:color w:val="000000"/>
        </w:rPr>
        <w:t>– (CONTINUED) </w:t>
      </w:r>
    </w:p>
    <w:p w:rsidR="00000000" w:rsidRDefault="002223F7">
      <w:pPr>
        <w:jc w:val="both"/>
        <w:rPr>
          <w:rFonts w:eastAsia="Times New Roman"/>
        </w:rPr>
      </w:pPr>
      <w:r>
        <w:rPr>
          <w:rFonts w:ascii="Arial" w:eastAsia="Times New Roman" w:hAnsi="Arial" w:cs="Arial"/>
          <w:color w:val="000000"/>
          <w:sz w:val="20"/>
          <w:szCs w:val="20"/>
        </w:rPr>
        <w:t>(In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650"/>
        <w:gridCol w:w="36"/>
        <w:gridCol w:w="133"/>
        <w:gridCol w:w="934"/>
        <w:gridCol w:w="37"/>
        <w:gridCol w:w="37"/>
        <w:gridCol w:w="66"/>
        <w:gridCol w:w="36"/>
        <w:gridCol w:w="132"/>
        <w:gridCol w:w="933"/>
        <w:gridCol w:w="36"/>
        <w:gridCol w:w="36"/>
        <w:gridCol w:w="65"/>
        <w:gridCol w:w="36"/>
        <w:gridCol w:w="132"/>
        <w:gridCol w:w="934"/>
        <w:gridCol w:w="36"/>
      </w:tblGrid>
      <w:tr w:rsidR="00000000">
        <w:trPr>
          <w:divId w:val="1654328910"/>
        </w:trPr>
        <w:tc>
          <w:tcPr>
            <w:tcW w:w="50" w:type="pct"/>
            <w:vAlign w:val="center"/>
            <w:hideMark/>
          </w:tcPr>
          <w:p w:rsidR="00000000" w:rsidRDefault="002223F7">
            <w:pPr>
              <w:jc w:val="both"/>
              <w:rPr>
                <w:rFonts w:eastAsia="Times New Roman"/>
              </w:rPr>
            </w:pPr>
          </w:p>
        </w:tc>
        <w:tc>
          <w:tcPr>
            <w:tcW w:w="293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80"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80"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8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1654328910"/>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For the Year Ended </w:t>
            </w:r>
            <w:r>
              <w:rPr>
                <w:rFonts w:ascii="Arial" w:eastAsia="Times New Roman" w:hAnsi="Arial" w:cs="Arial"/>
                <w:b/>
                <w:bCs/>
                <w:color w:val="000000"/>
                <w:sz w:val="20"/>
                <w:szCs w:val="20"/>
              </w:rPr>
              <w:t>December 31,</w:t>
            </w:r>
          </w:p>
        </w:tc>
      </w:tr>
      <w:tr w:rsidR="00000000">
        <w:trPr>
          <w:divId w:val="1654328910"/>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2020</w:t>
            </w:r>
          </w:p>
        </w:tc>
      </w:tr>
      <w:tr w:rsidR="00000000">
        <w:trPr>
          <w:divId w:val="1654328910"/>
        </w:trPr>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20"/>
                <w:szCs w:val="20"/>
              </w:rPr>
              <w:t>Supplemental Disclosures of Cash Flow Information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65432891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Cash paid during the year for:</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654328910"/>
        </w:trPr>
        <w:tc>
          <w:tcPr>
            <w:tcW w:w="0" w:type="auto"/>
            <w:gridSpan w:val="3"/>
            <w:shd w:val="clear" w:color="auto" w:fill="FFFFFF"/>
            <w:tcMar>
              <w:top w:w="30" w:type="dxa"/>
              <w:left w:w="26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Interest, net of capitalized interest</w:t>
            </w: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113.4 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44.4 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45.1 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654328910"/>
        </w:trPr>
        <w:tc>
          <w:tcPr>
            <w:tcW w:w="0" w:type="auto"/>
            <w:gridSpan w:val="3"/>
            <w:shd w:val="clear" w:color="auto" w:fill="CCEEFF"/>
            <w:tcMar>
              <w:top w:w="30" w:type="dxa"/>
              <w:left w:w="26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Income taxes</w:t>
            </w: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66.6 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39.0 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68.5 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divId w:val="1444038284"/>
        <w:rPr>
          <w:rFonts w:eastAsia="Times New Roman"/>
        </w:rPr>
      </w:pPr>
    </w:p>
    <w:p w:rsidR="00000000" w:rsidRDefault="002223F7">
      <w:pPr>
        <w:jc w:val="center"/>
        <w:divId w:val="415518246"/>
        <w:rPr>
          <w:rFonts w:eastAsia="Times New Roman"/>
        </w:rPr>
      </w:pPr>
      <w:r>
        <w:rPr>
          <w:rFonts w:ascii="Arial" w:eastAsia="Times New Roman" w:hAnsi="Arial" w:cs="Arial"/>
          <w:color w:val="000000"/>
          <w:sz w:val="16"/>
          <w:szCs w:val="16"/>
        </w:rPr>
        <w:t>The accompanying Notes are an integral part of these Consolidated Financial Statements.</w:t>
      </w:r>
    </w:p>
    <w:p w:rsidR="00000000" w:rsidRDefault="002223F7">
      <w:pPr>
        <w:jc w:val="center"/>
        <w:divId w:val="838231564"/>
        <w:rPr>
          <w:rFonts w:eastAsia="Times New Roman"/>
        </w:rPr>
      </w:pPr>
      <w:r>
        <w:rPr>
          <w:rFonts w:ascii="Arial" w:eastAsia="Times New Roman" w:hAnsi="Arial" w:cs="Arial"/>
          <w:color w:val="000000"/>
          <w:sz w:val="16"/>
          <w:szCs w:val="16"/>
        </w:rPr>
        <w:t>48</w:t>
      </w:r>
    </w:p>
    <w:p w:rsidR="00000000" w:rsidRDefault="002223F7">
      <w:pPr>
        <w:rPr>
          <w:rFonts w:eastAsia="Times New Roman"/>
        </w:rPr>
      </w:pPr>
      <w:r>
        <w:rPr>
          <w:rFonts w:eastAsia="Times New Roman"/>
        </w:rPr>
        <w:pict>
          <v:rect id="_x0000_i1079" style="width:0;height:1.5pt" o:hralign="center" o:hrstd="t" o:hr="t" fillcolor="#a0a0a0" stroked="f"/>
        </w:pict>
      </w:r>
    </w:p>
    <w:p w:rsidR="00000000" w:rsidRDefault="002223F7">
      <w:pPr>
        <w:jc w:val="both"/>
        <w:divId w:val="1373728547"/>
        <w:rPr>
          <w:rFonts w:eastAsia="Times New Roman"/>
        </w:rPr>
      </w:pPr>
      <w:hyperlink w:anchor="ic88e567e3f8642dcb6f41d9ec77f1b73_7" w:history="1">
        <w:r>
          <w:rPr>
            <w:rStyle w:val="a3"/>
            <w:rFonts w:ascii="Arial" w:eastAsia="Times New Roman" w:hAnsi="Arial" w:cs="Arial"/>
            <w:sz w:val="20"/>
            <w:szCs w:val="20"/>
          </w:rPr>
          <w:t>Ta</w:t>
        </w:r>
        <w:r>
          <w:rPr>
            <w:rStyle w:val="a3"/>
            <w:rFonts w:ascii="Arial" w:eastAsia="Times New Roman" w:hAnsi="Arial" w:cs="Arial"/>
            <w:sz w:val="20"/>
            <w:szCs w:val="20"/>
          </w:rPr>
          <w:t xml:space="preserve">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1022127110"/>
        <w:rPr>
          <w:rFonts w:eastAsia="Times New Roman"/>
        </w:rPr>
      </w:pPr>
      <w:r>
        <w:rPr>
          <w:rFonts w:ascii="Arial" w:eastAsia="Times New Roman" w:hAnsi="Arial" w:cs="Arial"/>
          <w:b/>
          <w:bCs/>
          <w:color w:val="000000"/>
        </w:rPr>
        <w:t>WORLD FUEL SERVICES CORPORATION NOTES TO THE CONSOLIDATED FINANCIAL STATEMENTS</w:t>
      </w:r>
    </w:p>
    <w:p w:rsidR="00000000" w:rsidRDefault="002223F7">
      <w:pPr>
        <w:divId w:val="1031031751"/>
        <w:rPr>
          <w:rFonts w:eastAsia="Times New Roman"/>
        </w:rPr>
      </w:pPr>
      <w:r>
        <w:rPr>
          <w:rFonts w:ascii="Arial" w:eastAsia="Times New Roman" w:hAnsi="Arial" w:cs="Arial"/>
          <w:b/>
          <w:bCs/>
          <w:color w:val="000000"/>
          <w:sz w:val="20"/>
          <w:szCs w:val="20"/>
        </w:rPr>
        <w:t>1. Basis of Presentation, New Accounting Standards, and Significant Accounting Policies</w:t>
      </w:r>
    </w:p>
    <w:p w:rsidR="00000000" w:rsidRDefault="002223F7">
      <w:pPr>
        <w:jc w:val="both"/>
        <w:divId w:val="850535318"/>
        <w:rPr>
          <w:rFonts w:eastAsia="Times New Roman"/>
        </w:rPr>
      </w:pPr>
      <w:r>
        <w:rPr>
          <w:rFonts w:ascii="Arial" w:eastAsia="Times New Roman" w:hAnsi="Arial" w:cs="Arial"/>
          <w:color w:val="000000"/>
          <w:sz w:val="20"/>
          <w:szCs w:val="20"/>
        </w:rPr>
        <w:t>World Fuel Services Corporation (the "Company") was incorporated in Florida in July 1984 and along with its consolidated subsidiaries is referred to collectively in this Annual Report on Form 10</w:t>
      </w:r>
      <w:r>
        <w:rPr>
          <w:rFonts w:ascii="Arial" w:eastAsia="Times New Roman" w:hAnsi="Arial" w:cs="Arial"/>
          <w:color w:val="000000"/>
          <w:sz w:val="20"/>
          <w:szCs w:val="20"/>
        </w:rPr>
        <w:noBreakHyphen/>
        <w:t>K ("2022 10</w:t>
      </w:r>
      <w:r>
        <w:rPr>
          <w:rFonts w:ascii="Arial" w:eastAsia="Times New Roman" w:hAnsi="Arial" w:cs="Arial"/>
          <w:color w:val="000000"/>
          <w:sz w:val="20"/>
          <w:szCs w:val="20"/>
        </w:rPr>
        <w:noBreakHyphen/>
        <w:t>K Report") as "World Fuel," "we," "our" and "us."</w:t>
      </w:r>
    </w:p>
    <w:p w:rsidR="00000000" w:rsidRDefault="002223F7">
      <w:pPr>
        <w:jc w:val="both"/>
        <w:divId w:val="1300723416"/>
        <w:rPr>
          <w:rFonts w:eastAsia="Times New Roman"/>
        </w:rPr>
      </w:pPr>
      <w:r>
        <w:rPr>
          <w:rFonts w:ascii="Arial" w:eastAsia="Times New Roman" w:hAnsi="Arial" w:cs="Arial"/>
          <w:color w:val="000000"/>
          <w:sz w:val="20"/>
          <w:szCs w:val="20"/>
        </w:rPr>
        <w:t xml:space="preserve">We are a leading global energy management company, offering a broad suite of energy advisory, management and fulfillment services, digital and other technology solutions, as well as sustainability products and services across the energy product spectrum. </w:t>
      </w:r>
      <w:r>
        <w:rPr>
          <w:rFonts w:ascii="Arial" w:eastAsia="Times New Roman" w:hAnsi="Arial" w:cs="Arial"/>
          <w:color w:val="000000"/>
          <w:sz w:val="20"/>
          <w:szCs w:val="20"/>
        </w:rPr>
        <w:t>We are principally involved in providing energy procurement and related products and services to commercial and industrial customers in the aviation, land, and marine transportation industries. We have also expanded our product and service offerings to inc</w:t>
      </w:r>
      <w:r>
        <w:rPr>
          <w:rFonts w:ascii="Arial" w:eastAsia="Times New Roman" w:hAnsi="Arial" w:cs="Arial"/>
          <w:color w:val="000000"/>
          <w:sz w:val="20"/>
          <w:szCs w:val="20"/>
        </w:rPr>
        <w:t xml:space="preserve">lude energy advisory services, sustainability and renewable energy solutions, as well as supply fulfillment for natural gas and power. </w:t>
      </w:r>
    </w:p>
    <w:p w:rsidR="00000000" w:rsidRDefault="002223F7">
      <w:pPr>
        <w:divId w:val="1950045076"/>
        <w:rPr>
          <w:rFonts w:eastAsia="Times New Roman"/>
        </w:rPr>
      </w:pPr>
      <w:r>
        <w:rPr>
          <w:rFonts w:ascii="Arial" w:eastAsia="Times New Roman" w:hAnsi="Arial" w:cs="Arial"/>
          <w:b/>
          <w:bCs/>
          <w:color w:val="000000"/>
          <w:sz w:val="20"/>
          <w:szCs w:val="20"/>
        </w:rPr>
        <w:t>A. Basis of Presentation</w:t>
      </w:r>
    </w:p>
    <w:p w:rsidR="00000000" w:rsidRDefault="002223F7">
      <w:pPr>
        <w:jc w:val="both"/>
        <w:divId w:val="1443401"/>
        <w:rPr>
          <w:rFonts w:eastAsia="Times New Roman"/>
        </w:rPr>
      </w:pPr>
      <w:r>
        <w:rPr>
          <w:rFonts w:ascii="Arial" w:eastAsia="Times New Roman" w:hAnsi="Arial" w:cs="Arial"/>
          <w:color w:val="000000"/>
          <w:sz w:val="20"/>
          <w:szCs w:val="20"/>
        </w:rPr>
        <w:t>The Consolidated Financial Statements and related Notes include our parent company and subsidia</w:t>
      </w:r>
      <w:r>
        <w:rPr>
          <w:rFonts w:ascii="Arial" w:eastAsia="Times New Roman" w:hAnsi="Arial" w:cs="Arial"/>
          <w:color w:val="000000"/>
          <w:sz w:val="20"/>
          <w:szCs w:val="20"/>
        </w:rPr>
        <w:t>ries where we exercise control and include the operations of acquired businesses after the completion of their acquisition. The decision of whether or not to consolidate an entity requires consideration of majority voting interests, as well as effective ec</w:t>
      </w:r>
      <w:r>
        <w:rPr>
          <w:rFonts w:ascii="Arial" w:eastAsia="Times New Roman" w:hAnsi="Arial" w:cs="Arial"/>
          <w:color w:val="000000"/>
          <w:sz w:val="20"/>
          <w:szCs w:val="20"/>
        </w:rPr>
        <w:t>onomic or other control over the entity. The Consolidated Financial Statements are prepared in accordance with accounting principles generally accepted in the United States of America ("U.S. GAAP"). Our fiscal year-end is as of and for the year ended Decem</w:t>
      </w:r>
      <w:r>
        <w:rPr>
          <w:rFonts w:ascii="Arial" w:eastAsia="Times New Roman" w:hAnsi="Arial" w:cs="Arial"/>
          <w:color w:val="000000"/>
          <w:sz w:val="20"/>
          <w:szCs w:val="20"/>
        </w:rPr>
        <w:t>ber 31 for each year presented. All intercompany transactions among our consolidated subsidiaries have been eliminated.</w:t>
      </w:r>
    </w:p>
    <w:p w:rsidR="00000000" w:rsidRDefault="002223F7">
      <w:pPr>
        <w:jc w:val="both"/>
        <w:divId w:val="603418779"/>
        <w:rPr>
          <w:rFonts w:eastAsia="Times New Roman"/>
        </w:rPr>
      </w:pPr>
      <w:r>
        <w:rPr>
          <w:rFonts w:ascii="Arial" w:eastAsia="Times New Roman" w:hAnsi="Arial" w:cs="Arial"/>
          <w:color w:val="000000"/>
          <w:sz w:val="20"/>
          <w:szCs w:val="20"/>
        </w:rPr>
        <w:t>Certain amounts in the Consolidated Financial Statements and accompanying Notes may not add due to rounding. All percentages have been c</w:t>
      </w:r>
      <w:r>
        <w:rPr>
          <w:rFonts w:ascii="Arial" w:eastAsia="Times New Roman" w:hAnsi="Arial" w:cs="Arial"/>
          <w:color w:val="000000"/>
          <w:sz w:val="20"/>
          <w:szCs w:val="20"/>
        </w:rPr>
        <w:t>alculated using unrounded amounts. Certain prior period amounts have been reclassified to conform to the current presentation.</w:t>
      </w:r>
    </w:p>
    <w:p w:rsidR="00000000" w:rsidRDefault="002223F7">
      <w:pPr>
        <w:divId w:val="533613204"/>
        <w:rPr>
          <w:rFonts w:eastAsia="Times New Roman"/>
        </w:rPr>
      </w:pPr>
      <w:r>
        <w:rPr>
          <w:rFonts w:ascii="Arial" w:eastAsia="Times New Roman" w:hAnsi="Arial" w:cs="Arial"/>
          <w:b/>
          <w:bCs/>
          <w:color w:val="000000"/>
          <w:sz w:val="20"/>
          <w:szCs w:val="20"/>
        </w:rPr>
        <w:t>B. New Accounting Standards</w:t>
      </w:r>
    </w:p>
    <w:p w:rsidR="00000000" w:rsidRDefault="002223F7">
      <w:pPr>
        <w:divId w:val="643394924"/>
        <w:rPr>
          <w:rFonts w:eastAsia="Times New Roman"/>
        </w:rPr>
      </w:pPr>
      <w:r>
        <w:rPr>
          <w:rFonts w:ascii="Arial" w:eastAsia="Times New Roman" w:hAnsi="Arial" w:cs="Arial"/>
          <w:color w:val="000000"/>
          <w:sz w:val="20"/>
          <w:szCs w:val="20"/>
          <w:u w:val="single"/>
        </w:rPr>
        <w:t>Adoption of New Accounting Standards</w:t>
      </w:r>
    </w:p>
    <w:p w:rsidR="00000000" w:rsidRDefault="002223F7">
      <w:pPr>
        <w:jc w:val="both"/>
        <w:divId w:val="2119447452"/>
        <w:rPr>
          <w:rFonts w:eastAsia="Times New Roman"/>
        </w:rPr>
      </w:pPr>
      <w:r>
        <w:rPr>
          <w:rFonts w:ascii="Arial" w:eastAsia="Times New Roman" w:hAnsi="Arial" w:cs="Arial"/>
          <w:color w:val="000000"/>
          <w:sz w:val="20"/>
          <w:szCs w:val="20"/>
        </w:rPr>
        <w:t>During the year ended December </w:t>
      </w:r>
      <w:r>
        <w:rPr>
          <w:rFonts w:ascii="Arial" w:eastAsia="Times New Roman" w:hAnsi="Arial" w:cs="Arial"/>
          <w:color w:val="000000"/>
          <w:sz w:val="20"/>
          <w:szCs w:val="20"/>
        </w:rPr>
        <w:t>31, 2022, there have been no accounting standards that, upon adoption, had a material impact on the Company's Consolidated Financial Statements or processes.</w:t>
      </w:r>
    </w:p>
    <w:p w:rsidR="00000000" w:rsidRDefault="002223F7">
      <w:pPr>
        <w:divId w:val="187836872"/>
        <w:rPr>
          <w:rFonts w:eastAsia="Times New Roman"/>
        </w:rPr>
      </w:pPr>
      <w:r>
        <w:rPr>
          <w:rFonts w:ascii="Arial" w:eastAsia="Times New Roman" w:hAnsi="Arial" w:cs="Arial"/>
          <w:color w:val="000000"/>
          <w:sz w:val="20"/>
          <w:szCs w:val="20"/>
          <w:u w:val="single"/>
        </w:rPr>
        <w:t>Accounting Standards Issued But Not Yet Adopted</w:t>
      </w:r>
    </w:p>
    <w:p w:rsidR="00000000" w:rsidRDefault="002223F7">
      <w:pPr>
        <w:jc w:val="both"/>
        <w:divId w:val="2114352428"/>
        <w:rPr>
          <w:rFonts w:eastAsia="Times New Roman"/>
        </w:rPr>
      </w:pPr>
      <w:r>
        <w:rPr>
          <w:rFonts w:ascii="Arial" w:eastAsia="Times New Roman" w:hAnsi="Arial" w:cs="Arial"/>
          <w:i/>
          <w:iCs/>
          <w:color w:val="000000"/>
          <w:sz w:val="20"/>
          <w:szCs w:val="20"/>
        </w:rPr>
        <w:t>Disclosure of Supplier Finance Program Obligations</w:t>
      </w:r>
      <w:r>
        <w:rPr>
          <w:rFonts w:ascii="Arial" w:eastAsia="Times New Roman" w:hAnsi="Arial" w:cs="Arial"/>
          <w:i/>
          <w:iCs/>
          <w:color w:val="000000"/>
          <w:sz w:val="20"/>
          <w:szCs w:val="20"/>
        </w:rPr>
        <w:t>.</w:t>
      </w:r>
      <w:r>
        <w:rPr>
          <w:rFonts w:ascii="Arial" w:eastAsia="Times New Roman" w:hAnsi="Arial" w:cs="Arial"/>
          <w:color w:val="000000"/>
          <w:sz w:val="20"/>
          <w:szCs w:val="20"/>
        </w:rPr>
        <w:t xml:space="preserve"> In September 2022, ASU 2022-04 was issued to require the buyer in a supplier finance program to disclose the key terms of the program, outstanding confirmed amounts as of the end of the period, a rollforward of such amounts during each annual period, and</w:t>
      </w:r>
      <w:r>
        <w:rPr>
          <w:rFonts w:ascii="Arial" w:eastAsia="Times New Roman" w:hAnsi="Arial" w:cs="Arial"/>
          <w:color w:val="000000"/>
          <w:sz w:val="20"/>
          <w:szCs w:val="20"/>
        </w:rPr>
        <w:t xml:space="preserve"> a description of where in the financial statements outstanding amounts are presented. The amendments do not affect the recognition, measurement or financial statement presentation of supplier finance program obligations. The amendments are effective for f</w:t>
      </w:r>
      <w:r>
        <w:rPr>
          <w:rFonts w:ascii="Arial" w:eastAsia="Times New Roman" w:hAnsi="Arial" w:cs="Arial"/>
          <w:color w:val="000000"/>
          <w:sz w:val="20"/>
          <w:szCs w:val="20"/>
        </w:rPr>
        <w:t>iscal years beginning after December 15, 2022, including interim periods within those fiscal years. Early adoption is permitted. The amendments should be applied retrospectively to each period in which a balance sheet is presented, except for the rollforwa</w:t>
      </w:r>
      <w:r>
        <w:rPr>
          <w:rFonts w:ascii="Arial" w:eastAsia="Times New Roman" w:hAnsi="Arial" w:cs="Arial"/>
          <w:color w:val="000000"/>
          <w:sz w:val="20"/>
          <w:szCs w:val="20"/>
        </w:rPr>
        <w:t>rd, which should be applied prospectively. We are currently evaluating the provisions in the amendment to conclude if they will have a material impact to our disclosures or processes.</w:t>
      </w:r>
    </w:p>
    <w:p w:rsidR="00000000" w:rsidRDefault="002223F7">
      <w:pPr>
        <w:jc w:val="both"/>
        <w:divId w:val="1012148986"/>
        <w:rPr>
          <w:rFonts w:eastAsia="Times New Roman"/>
        </w:rPr>
      </w:pPr>
      <w:r>
        <w:rPr>
          <w:rFonts w:ascii="Arial" w:eastAsia="Times New Roman" w:hAnsi="Arial" w:cs="Arial"/>
          <w:color w:val="000000"/>
          <w:sz w:val="20"/>
          <w:szCs w:val="20"/>
        </w:rPr>
        <w:t xml:space="preserve">There are no other recently issued accounting standards not yet adopted </w:t>
      </w:r>
      <w:r>
        <w:rPr>
          <w:rFonts w:ascii="Arial" w:eastAsia="Times New Roman" w:hAnsi="Arial" w:cs="Arial"/>
          <w:color w:val="000000"/>
          <w:sz w:val="20"/>
          <w:szCs w:val="20"/>
        </w:rPr>
        <w:t>by us that, upon adoption, are expected to have a material impact on the Company’s Consolidated Financial Statements or processes.</w:t>
      </w:r>
    </w:p>
    <w:p w:rsidR="00000000" w:rsidRDefault="002223F7">
      <w:pPr>
        <w:divId w:val="1266812646"/>
        <w:rPr>
          <w:rFonts w:eastAsia="Times New Roman"/>
        </w:rPr>
      </w:pPr>
      <w:r>
        <w:rPr>
          <w:rFonts w:ascii="Arial" w:eastAsia="Times New Roman" w:hAnsi="Arial" w:cs="Arial"/>
          <w:b/>
          <w:bCs/>
          <w:color w:val="000000"/>
          <w:sz w:val="20"/>
          <w:szCs w:val="20"/>
        </w:rPr>
        <w:t>C. Estimates and Assumptions</w:t>
      </w:r>
    </w:p>
    <w:p w:rsidR="00000000" w:rsidRDefault="002223F7">
      <w:pPr>
        <w:jc w:val="both"/>
        <w:divId w:val="672881367"/>
        <w:rPr>
          <w:rFonts w:eastAsia="Times New Roman"/>
        </w:rPr>
      </w:pPr>
      <w:r>
        <w:rPr>
          <w:rFonts w:ascii="Arial" w:eastAsia="Times New Roman" w:hAnsi="Arial" w:cs="Arial"/>
          <w:color w:val="000000"/>
          <w:sz w:val="20"/>
          <w:szCs w:val="20"/>
        </w:rPr>
        <w:t>The preparation of Consolidated Financial Statements in conformity with U.S. GAAP requires us to</w:t>
      </w:r>
      <w:r>
        <w:rPr>
          <w:rFonts w:ascii="Arial" w:eastAsia="Times New Roman" w:hAnsi="Arial" w:cs="Arial"/>
          <w:color w:val="000000"/>
          <w:sz w:val="20"/>
          <w:szCs w:val="20"/>
        </w:rPr>
        <w:t xml:space="preserve"> make certain estimates and assumptions that affect the reported amounts of assets and liabilities, disclosure of contingent assets and liabilities at the date of the financial statements and the reported amounts of revenue and expenses during the reportin</w:t>
      </w:r>
      <w:r>
        <w:rPr>
          <w:rFonts w:ascii="Arial" w:eastAsia="Times New Roman" w:hAnsi="Arial" w:cs="Arial"/>
          <w:color w:val="000000"/>
          <w:sz w:val="20"/>
          <w:szCs w:val="20"/>
        </w:rPr>
        <w:t>g period. Accordingly, actual results could materially differ from estimated amounts. We evaluate our estimated assumptions based on historical experience and on various other assumptions that are believed to be reasonable, the results of which form the ba</w:t>
      </w:r>
      <w:r>
        <w:rPr>
          <w:rFonts w:ascii="Arial" w:eastAsia="Times New Roman" w:hAnsi="Arial" w:cs="Arial"/>
          <w:color w:val="000000"/>
          <w:sz w:val="20"/>
          <w:szCs w:val="20"/>
        </w:rPr>
        <w:t>sis for making judgments about the carrying values of assets and liabilities.</w:t>
      </w:r>
    </w:p>
    <w:p w:rsidR="00000000" w:rsidRDefault="002223F7">
      <w:pPr>
        <w:jc w:val="center"/>
        <w:divId w:val="377240474"/>
        <w:rPr>
          <w:rFonts w:eastAsia="Times New Roman"/>
        </w:rPr>
      </w:pPr>
      <w:r>
        <w:rPr>
          <w:rFonts w:ascii="Arial" w:eastAsia="Times New Roman" w:hAnsi="Arial" w:cs="Arial"/>
          <w:color w:val="000000"/>
          <w:sz w:val="16"/>
          <w:szCs w:val="16"/>
        </w:rPr>
        <w:t>49</w:t>
      </w:r>
    </w:p>
    <w:p w:rsidR="00000000" w:rsidRDefault="002223F7">
      <w:pPr>
        <w:rPr>
          <w:rFonts w:eastAsia="Times New Roman"/>
        </w:rPr>
      </w:pPr>
      <w:r>
        <w:rPr>
          <w:rFonts w:eastAsia="Times New Roman"/>
        </w:rPr>
        <w:pict>
          <v:rect id="_x0000_i1080" style="width:0;height:1.5pt" o:hralign="center" o:hrstd="t" o:hr="t" fillcolor="#a0a0a0" stroked="f"/>
        </w:pict>
      </w:r>
    </w:p>
    <w:p w:rsidR="00000000" w:rsidRDefault="002223F7">
      <w:pPr>
        <w:jc w:val="both"/>
        <w:divId w:val="501702156"/>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divId w:val="334502158"/>
        <w:rPr>
          <w:rFonts w:eastAsia="Times New Roman"/>
        </w:rPr>
      </w:pPr>
      <w:r>
        <w:rPr>
          <w:rFonts w:ascii="Arial" w:eastAsia="Times New Roman" w:hAnsi="Arial" w:cs="Arial"/>
          <w:b/>
          <w:bCs/>
          <w:color w:val="000000"/>
          <w:sz w:val="20"/>
          <w:szCs w:val="20"/>
        </w:rPr>
        <w:t>D. Cash and Cash Equivalents</w:t>
      </w:r>
    </w:p>
    <w:p w:rsidR="00000000" w:rsidRDefault="002223F7">
      <w:pPr>
        <w:jc w:val="both"/>
        <w:divId w:val="749424783"/>
        <w:rPr>
          <w:rFonts w:eastAsia="Times New Roman"/>
        </w:rPr>
      </w:pPr>
      <w:r>
        <w:rPr>
          <w:rFonts w:ascii="Arial" w:eastAsia="Times New Roman" w:hAnsi="Arial" w:cs="Arial"/>
          <w:color w:val="000000"/>
          <w:sz w:val="20"/>
          <w:szCs w:val="20"/>
        </w:rPr>
        <w:t>Our cash equivalents consist principally of overnight investments, bank money market accounts and bank time deposits which have an original maturity date of less than 90 days. These securities are carried at cost, whic</w:t>
      </w:r>
      <w:r>
        <w:rPr>
          <w:rFonts w:ascii="Arial" w:eastAsia="Times New Roman" w:hAnsi="Arial" w:cs="Arial"/>
          <w:color w:val="000000"/>
          <w:sz w:val="20"/>
          <w:szCs w:val="20"/>
        </w:rPr>
        <w:t>h approximates market value.</w:t>
      </w:r>
    </w:p>
    <w:p w:rsidR="00000000" w:rsidRDefault="002223F7">
      <w:pPr>
        <w:divId w:val="515657315"/>
        <w:rPr>
          <w:rFonts w:eastAsia="Times New Roman"/>
        </w:rPr>
      </w:pPr>
      <w:r>
        <w:rPr>
          <w:rFonts w:ascii="Arial" w:eastAsia="Times New Roman" w:hAnsi="Arial" w:cs="Arial"/>
          <w:b/>
          <w:bCs/>
          <w:color w:val="000000"/>
          <w:sz w:val="20"/>
          <w:szCs w:val="20"/>
        </w:rPr>
        <w:t>E. Accounts Receivable and Allowance for Credit Losses</w:t>
      </w:r>
    </w:p>
    <w:p w:rsidR="00000000" w:rsidRDefault="002223F7">
      <w:pPr>
        <w:jc w:val="both"/>
        <w:divId w:val="1024286897"/>
        <w:rPr>
          <w:rFonts w:eastAsia="Times New Roman"/>
        </w:rPr>
      </w:pPr>
      <w:r>
        <w:rPr>
          <w:rFonts w:ascii="Arial" w:eastAsia="Times New Roman" w:hAnsi="Arial" w:cs="Arial"/>
          <w:color w:val="000000"/>
          <w:sz w:val="20"/>
          <w:szCs w:val="20"/>
        </w:rPr>
        <w:t>The Company adopted ASU 2016-13 effective January 1, 2020, and recognized $11.1 million as a reduction to the opening retained earnings balance as of the date of implementa</w:t>
      </w:r>
      <w:r>
        <w:rPr>
          <w:rFonts w:ascii="Arial" w:eastAsia="Times New Roman" w:hAnsi="Arial" w:cs="Arial"/>
          <w:color w:val="000000"/>
          <w:sz w:val="20"/>
          <w:szCs w:val="20"/>
        </w:rPr>
        <w:t>tion.</w:t>
      </w:r>
    </w:p>
    <w:p w:rsidR="00000000" w:rsidRDefault="002223F7">
      <w:pPr>
        <w:jc w:val="both"/>
        <w:divId w:val="2083868540"/>
        <w:rPr>
          <w:rFonts w:eastAsia="Times New Roman"/>
        </w:rPr>
      </w:pPr>
      <w:r>
        <w:rPr>
          <w:rFonts w:ascii="Arial" w:eastAsia="Times New Roman" w:hAnsi="Arial" w:cs="Arial"/>
          <w:color w:val="000000"/>
          <w:sz w:val="20"/>
          <w:szCs w:val="20"/>
        </w:rPr>
        <w:t>Accounts receivable are measured at amortized cost. The health of our accounts receivable is continuously monitored using a risk-based model, taking into consideration both the timeliness and predictability of collections from our customers. We maint</w:t>
      </w:r>
      <w:r>
        <w:rPr>
          <w:rFonts w:ascii="Arial" w:eastAsia="Times New Roman" w:hAnsi="Arial" w:cs="Arial"/>
          <w:color w:val="000000"/>
          <w:sz w:val="20"/>
          <w:szCs w:val="20"/>
        </w:rPr>
        <w:t>ain a provision for estimated credit losses based upon our historical experience with our customers, along with any specific customer collection issues that we have identified from current financial information and business prospects, as well as any politi</w:t>
      </w:r>
      <w:r>
        <w:rPr>
          <w:rFonts w:ascii="Arial" w:eastAsia="Times New Roman" w:hAnsi="Arial" w:cs="Arial"/>
          <w:color w:val="000000"/>
          <w:sz w:val="20"/>
          <w:szCs w:val="20"/>
        </w:rPr>
        <w:t xml:space="preserve">cal or economic conditions or other market factors, including certain assumptions based on reasonable forward-looking information from market sources. Principally based on these credit risk factors, portfolio segments are defined and an internally derived </w:t>
      </w:r>
      <w:r>
        <w:rPr>
          <w:rFonts w:ascii="Arial" w:eastAsia="Times New Roman" w:hAnsi="Arial" w:cs="Arial"/>
          <w:color w:val="000000"/>
          <w:sz w:val="20"/>
          <w:szCs w:val="20"/>
        </w:rPr>
        <w:t>risk-based credit loss reserve is established and applied to each portfolio segment. Customer account balances that are deemed to be at high risk of collectability are reserved at higher rates than customer account balances which we expect to collect witho</w:t>
      </w:r>
      <w:r>
        <w:rPr>
          <w:rFonts w:ascii="Arial" w:eastAsia="Times New Roman" w:hAnsi="Arial" w:cs="Arial"/>
          <w:color w:val="000000"/>
          <w:sz w:val="20"/>
          <w:szCs w:val="20"/>
        </w:rPr>
        <w:t>ut difficulty.</w:t>
      </w:r>
    </w:p>
    <w:p w:rsidR="00000000" w:rsidRDefault="002223F7">
      <w:pPr>
        <w:jc w:val="both"/>
        <w:divId w:val="1753350937"/>
        <w:rPr>
          <w:rFonts w:eastAsia="Times New Roman"/>
        </w:rPr>
      </w:pPr>
      <w:r>
        <w:rPr>
          <w:rFonts w:ascii="Arial" w:eastAsia="Times New Roman" w:hAnsi="Arial" w:cs="Arial"/>
          <w:color w:val="000000"/>
          <w:sz w:val="20"/>
          <w:szCs w:val="20"/>
        </w:rPr>
        <w:t>Individual receivables are written off when there is information indicating that the counterparty is in severe financial difficulty and the amounts are deemed uncollectible. An accounts receivable written off may still be subject to enforcem</w:t>
      </w:r>
      <w:r>
        <w:rPr>
          <w:rFonts w:ascii="Arial" w:eastAsia="Times New Roman" w:hAnsi="Arial" w:cs="Arial"/>
          <w:color w:val="000000"/>
          <w:sz w:val="20"/>
          <w:szCs w:val="20"/>
        </w:rPr>
        <w:t>ent activities under our recovery procedures, taking into account legal advice where appropriate. Any subsequent recoveries made are recognized as income in the Consolidated Statements of Income and Comprehensive Income.</w:t>
      </w:r>
    </w:p>
    <w:p w:rsidR="00000000" w:rsidRDefault="002223F7">
      <w:pPr>
        <w:divId w:val="1867599457"/>
        <w:rPr>
          <w:rFonts w:eastAsia="Times New Roman"/>
        </w:rPr>
      </w:pPr>
      <w:r>
        <w:rPr>
          <w:rFonts w:ascii="Arial" w:eastAsia="Times New Roman" w:hAnsi="Arial" w:cs="Arial"/>
          <w:b/>
          <w:bCs/>
          <w:color w:val="000000"/>
          <w:sz w:val="20"/>
          <w:szCs w:val="20"/>
        </w:rPr>
        <w:t>F. Inventories</w:t>
      </w:r>
    </w:p>
    <w:p w:rsidR="00000000" w:rsidRDefault="002223F7">
      <w:pPr>
        <w:jc w:val="both"/>
        <w:divId w:val="1865435414"/>
        <w:rPr>
          <w:rFonts w:eastAsia="Times New Roman"/>
        </w:rPr>
      </w:pPr>
      <w:r>
        <w:rPr>
          <w:rFonts w:ascii="Arial" w:eastAsia="Times New Roman" w:hAnsi="Arial" w:cs="Arial"/>
          <w:color w:val="000000"/>
          <w:sz w:val="20"/>
          <w:szCs w:val="20"/>
        </w:rPr>
        <w:t>Inventories are valu</w:t>
      </w:r>
      <w:r>
        <w:rPr>
          <w:rFonts w:ascii="Arial" w:eastAsia="Times New Roman" w:hAnsi="Arial" w:cs="Arial"/>
          <w:color w:val="000000"/>
          <w:sz w:val="20"/>
          <w:szCs w:val="20"/>
        </w:rPr>
        <w:t xml:space="preserve">ed primarily using weighted average cost and first-in-first-out in certain limited locations. Inventory is stated at the lower of average cost or net realizable value. When evidence exists that the net realizable value of inventory is lower than its cost, </w:t>
      </w:r>
      <w:r>
        <w:rPr>
          <w:rFonts w:ascii="Arial" w:eastAsia="Times New Roman" w:hAnsi="Arial" w:cs="Arial"/>
          <w:color w:val="000000"/>
          <w:sz w:val="20"/>
          <w:szCs w:val="20"/>
        </w:rPr>
        <w:t>the difference is recognized as a loss in the Consolidated Statements of Income and Comprehensive Income in the period in which it occurs. We utilize a variety of fuel indices and other indicators to calculate the net realizable value. The cost of inventor</w:t>
      </w:r>
      <w:r>
        <w:rPr>
          <w:rFonts w:ascii="Arial" w:eastAsia="Times New Roman" w:hAnsi="Arial" w:cs="Arial"/>
          <w:color w:val="000000"/>
          <w:sz w:val="20"/>
          <w:szCs w:val="20"/>
        </w:rPr>
        <w:t>y includes fuel purchase costs, any related transportation or distribution costs and changes in the estimated fair market values for inventories included in a fair value hedge relationship.</w:t>
      </w:r>
    </w:p>
    <w:p w:rsidR="00000000" w:rsidRDefault="002223F7">
      <w:pPr>
        <w:divId w:val="2147238774"/>
        <w:rPr>
          <w:rFonts w:eastAsia="Times New Roman"/>
        </w:rPr>
      </w:pPr>
      <w:r>
        <w:rPr>
          <w:rFonts w:ascii="Arial" w:eastAsia="Times New Roman" w:hAnsi="Arial" w:cs="Arial"/>
          <w:b/>
          <w:bCs/>
          <w:color w:val="000000"/>
          <w:sz w:val="20"/>
          <w:szCs w:val="20"/>
        </w:rPr>
        <w:t>G. Business Combinations</w:t>
      </w:r>
    </w:p>
    <w:p w:rsidR="00000000" w:rsidRDefault="002223F7">
      <w:pPr>
        <w:jc w:val="both"/>
        <w:divId w:val="837690468"/>
        <w:rPr>
          <w:rFonts w:eastAsia="Times New Roman"/>
        </w:rPr>
      </w:pPr>
      <w:r>
        <w:rPr>
          <w:rFonts w:ascii="Arial" w:eastAsia="Times New Roman" w:hAnsi="Arial" w:cs="Arial"/>
          <w:color w:val="000000"/>
          <w:sz w:val="20"/>
          <w:szCs w:val="20"/>
        </w:rPr>
        <w:t>A business combination occurs when an ent</w:t>
      </w:r>
      <w:r>
        <w:rPr>
          <w:rFonts w:ascii="Arial" w:eastAsia="Times New Roman" w:hAnsi="Arial" w:cs="Arial"/>
          <w:color w:val="000000"/>
          <w:sz w:val="20"/>
          <w:szCs w:val="20"/>
        </w:rPr>
        <w:t>ity obtains control of a business by acquiring its net assets, or some or all of its equity interests.</w:t>
      </w:r>
    </w:p>
    <w:p w:rsidR="00000000" w:rsidRDefault="002223F7">
      <w:pPr>
        <w:jc w:val="both"/>
        <w:divId w:val="469634920"/>
        <w:rPr>
          <w:rFonts w:eastAsia="Times New Roman"/>
        </w:rPr>
      </w:pPr>
      <w:r>
        <w:rPr>
          <w:rFonts w:ascii="Arial" w:eastAsia="Times New Roman" w:hAnsi="Arial" w:cs="Arial"/>
          <w:color w:val="000000"/>
          <w:sz w:val="20"/>
          <w:szCs w:val="20"/>
        </w:rPr>
        <w:t>Before applying the acquisition method, we determine whether a transaction meets the definition of a business combination. For a transaction to be accoun</w:t>
      </w:r>
      <w:r>
        <w:rPr>
          <w:rFonts w:ascii="Arial" w:eastAsia="Times New Roman" w:hAnsi="Arial" w:cs="Arial"/>
          <w:color w:val="000000"/>
          <w:sz w:val="20"/>
          <w:szCs w:val="20"/>
        </w:rPr>
        <w:t>ted for as a business combination, the entity or net assets acquired must meet the definition of a business as defined in ASC 805. Under the acquisition method, the purchase price is allocated to all identifiable assets acquired, all liabilities assumed an</w:t>
      </w:r>
      <w:r>
        <w:rPr>
          <w:rFonts w:ascii="Arial" w:eastAsia="Times New Roman" w:hAnsi="Arial" w:cs="Arial"/>
          <w:color w:val="000000"/>
          <w:sz w:val="20"/>
          <w:szCs w:val="20"/>
        </w:rPr>
        <w:t>d any noncontrolling interest at the fair value as of the acquisition date. Any residual difference with the consideration transferred is recognized as Goodwill. Goodwill arises because the purchase price paid reflects numerous factors, including the strat</w:t>
      </w:r>
      <w:r>
        <w:rPr>
          <w:rFonts w:ascii="Arial" w:eastAsia="Times New Roman" w:hAnsi="Arial" w:cs="Arial"/>
          <w:color w:val="000000"/>
          <w:sz w:val="20"/>
          <w:szCs w:val="20"/>
        </w:rPr>
        <w:t>egic value and expected synergies that the acquisition would bring to our existing operations. Acquisition-related costs incurred in connection with a business combination are expensed as incurred.</w:t>
      </w:r>
    </w:p>
    <w:p w:rsidR="00000000" w:rsidRDefault="002223F7">
      <w:pPr>
        <w:jc w:val="both"/>
        <w:divId w:val="350111921"/>
        <w:rPr>
          <w:rFonts w:eastAsia="Times New Roman"/>
        </w:rPr>
      </w:pPr>
      <w:r>
        <w:rPr>
          <w:rFonts w:ascii="Arial" w:eastAsia="Times New Roman" w:hAnsi="Arial" w:cs="Arial"/>
          <w:color w:val="000000"/>
          <w:sz w:val="20"/>
          <w:szCs w:val="20"/>
        </w:rPr>
        <w:t>If the assets acquired do not meet the definition of a bus</w:t>
      </w:r>
      <w:r>
        <w:rPr>
          <w:rFonts w:ascii="Arial" w:eastAsia="Times New Roman" w:hAnsi="Arial" w:cs="Arial"/>
          <w:color w:val="000000"/>
          <w:sz w:val="20"/>
          <w:szCs w:val="20"/>
        </w:rPr>
        <w:t>iness, we account for the transaction as an asset acquisition in which goodwill is not recognized, but rather any residual difference with the consideration transferred is allocated on a relative fair value basis to all qualifying identifiable net assets a</w:t>
      </w:r>
      <w:r>
        <w:rPr>
          <w:rFonts w:ascii="Arial" w:eastAsia="Times New Roman" w:hAnsi="Arial" w:cs="Arial"/>
          <w:color w:val="000000"/>
          <w:sz w:val="20"/>
          <w:szCs w:val="20"/>
        </w:rPr>
        <w:t>cquired.</w:t>
      </w:r>
    </w:p>
    <w:p w:rsidR="00000000" w:rsidRDefault="002223F7">
      <w:pPr>
        <w:divId w:val="1382896572"/>
        <w:rPr>
          <w:rFonts w:eastAsia="Times New Roman"/>
        </w:rPr>
      </w:pPr>
      <w:r>
        <w:rPr>
          <w:rFonts w:ascii="Arial" w:eastAsia="Times New Roman" w:hAnsi="Arial" w:cs="Arial"/>
          <w:b/>
          <w:bCs/>
          <w:color w:val="000000"/>
          <w:sz w:val="20"/>
          <w:szCs w:val="20"/>
        </w:rPr>
        <w:t xml:space="preserve">H. Fair Value </w:t>
      </w:r>
    </w:p>
    <w:p w:rsidR="00000000" w:rsidRDefault="002223F7">
      <w:pPr>
        <w:jc w:val="both"/>
        <w:divId w:val="1688556163"/>
        <w:rPr>
          <w:rFonts w:eastAsia="Times New Roman"/>
        </w:rPr>
      </w:pPr>
      <w:r>
        <w:rPr>
          <w:rFonts w:ascii="Arial" w:eastAsia="Times New Roman" w:hAnsi="Arial" w:cs="Arial"/>
          <w:color w:val="000000"/>
          <w:sz w:val="20"/>
          <w:szCs w:val="20"/>
        </w:rPr>
        <w:t>Fair value is the price to sell an asset or transfer a liability and therefore represents an exit price in the principal market (or in the absence of a principal market, the most advantageous market). It represents a market-based me</w:t>
      </w:r>
      <w:r>
        <w:rPr>
          <w:rFonts w:ascii="Arial" w:eastAsia="Times New Roman" w:hAnsi="Arial" w:cs="Arial"/>
          <w:color w:val="000000"/>
          <w:sz w:val="20"/>
          <w:szCs w:val="20"/>
        </w:rPr>
        <w:t>asurement that contemplates a hypothetical transaction between market participants at the measurement date.</w:t>
      </w:r>
    </w:p>
    <w:p w:rsidR="00000000" w:rsidRDefault="002223F7">
      <w:pPr>
        <w:jc w:val="both"/>
        <w:divId w:val="508569371"/>
        <w:rPr>
          <w:rFonts w:eastAsia="Times New Roman"/>
        </w:rPr>
      </w:pPr>
      <w:r>
        <w:rPr>
          <w:rFonts w:ascii="Arial" w:eastAsia="Times New Roman" w:hAnsi="Arial" w:cs="Arial"/>
          <w:color w:val="000000"/>
          <w:sz w:val="20"/>
          <w:szCs w:val="20"/>
        </w:rPr>
        <w:t>We calculate fair value using various methodologies, depending on the type of assets, including the income approach (e.g., based on the present valu</w:t>
      </w:r>
      <w:r>
        <w:rPr>
          <w:rFonts w:ascii="Arial" w:eastAsia="Times New Roman" w:hAnsi="Arial" w:cs="Arial"/>
          <w:color w:val="000000"/>
          <w:sz w:val="20"/>
          <w:szCs w:val="20"/>
        </w:rPr>
        <w:t>e of estimated future cash flows), the market approach, the cost approach, or a combination thereof. The unique characteristics of an asset or liability and the availability of observable prices affect the number of valuation approaches and/or techniques u</w:t>
      </w:r>
      <w:r>
        <w:rPr>
          <w:rFonts w:ascii="Arial" w:eastAsia="Times New Roman" w:hAnsi="Arial" w:cs="Arial"/>
          <w:color w:val="000000"/>
          <w:sz w:val="20"/>
          <w:szCs w:val="20"/>
        </w:rPr>
        <w:t xml:space="preserve">sed in a fair value analysis. We </w:t>
      </w:r>
    </w:p>
    <w:p w:rsidR="00000000" w:rsidRDefault="002223F7">
      <w:pPr>
        <w:jc w:val="center"/>
        <w:divId w:val="1043211167"/>
        <w:rPr>
          <w:rFonts w:eastAsia="Times New Roman"/>
        </w:rPr>
      </w:pPr>
      <w:r>
        <w:rPr>
          <w:rFonts w:ascii="Arial" w:eastAsia="Times New Roman" w:hAnsi="Arial" w:cs="Arial"/>
          <w:color w:val="000000"/>
          <w:sz w:val="16"/>
          <w:szCs w:val="16"/>
        </w:rPr>
        <w:t>50</w:t>
      </w:r>
    </w:p>
    <w:p w:rsidR="00000000" w:rsidRDefault="002223F7">
      <w:pPr>
        <w:rPr>
          <w:rFonts w:eastAsia="Times New Roman"/>
        </w:rPr>
      </w:pPr>
      <w:r>
        <w:rPr>
          <w:rFonts w:eastAsia="Times New Roman"/>
        </w:rPr>
        <w:pict>
          <v:rect id="_x0000_i1081" style="width:0;height:1.5pt" o:hralign="center" o:hrstd="t" o:hr="t" fillcolor="#a0a0a0" stroked="f"/>
        </w:pict>
      </w:r>
    </w:p>
    <w:p w:rsidR="00000000" w:rsidRDefault="002223F7">
      <w:pPr>
        <w:jc w:val="both"/>
        <w:divId w:val="2004625300"/>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328871151"/>
        <w:rPr>
          <w:rFonts w:eastAsia="Times New Roman"/>
        </w:rPr>
      </w:pPr>
      <w:r>
        <w:rPr>
          <w:rFonts w:ascii="Arial" w:eastAsia="Times New Roman" w:hAnsi="Arial" w:cs="Arial"/>
          <w:color w:val="000000"/>
          <w:sz w:val="20"/>
          <w:szCs w:val="20"/>
        </w:rPr>
        <w:t>measure fair value using observable and unobservable inputs. We give the highest priority to quoted prices (unadjusted) in active markets for identical assets or liabilities (Level 1 inputs) and the lowest priority to unobservable inputs (Level 3 inputs).</w:t>
      </w:r>
    </w:p>
    <w:p w:rsidR="00000000" w:rsidRDefault="002223F7">
      <w:pPr>
        <w:jc w:val="both"/>
        <w:divId w:val="1828982573"/>
        <w:rPr>
          <w:rFonts w:eastAsia="Times New Roman"/>
        </w:rPr>
      </w:pPr>
      <w:r>
        <w:rPr>
          <w:rFonts w:ascii="Arial" w:eastAsia="Times New Roman" w:hAnsi="Arial" w:cs="Arial"/>
          <w:color w:val="000000"/>
          <w:sz w:val="20"/>
          <w:szCs w:val="20"/>
        </w:rPr>
        <w:t>We apply the following fair value hierarchy:</w:t>
      </w:r>
    </w:p>
    <w:p w:rsidR="00000000" w:rsidRDefault="002223F7">
      <w:pPr>
        <w:ind w:hanging="360"/>
        <w:jc w:val="both"/>
        <w:divId w:val="1119834317"/>
        <w:rPr>
          <w:rFonts w:eastAsia="Times New Roman"/>
        </w:rPr>
      </w:pPr>
      <w:r>
        <w:rPr>
          <w:rFonts w:ascii="Arial" w:eastAsia="Times New Roman" w:hAnsi="Arial" w:cs="Arial"/>
          <w:color w:val="000000"/>
          <w:sz w:val="20"/>
          <w:szCs w:val="20"/>
        </w:rPr>
        <w:t>•Level 1 – Quoted prices (unadjusted) in active markets for identical assets and liabilities.</w:t>
      </w:r>
    </w:p>
    <w:p w:rsidR="00000000" w:rsidRDefault="002223F7">
      <w:pPr>
        <w:ind w:hanging="360"/>
        <w:jc w:val="both"/>
        <w:divId w:val="1844200535"/>
        <w:rPr>
          <w:rFonts w:eastAsia="Times New Roman"/>
        </w:rPr>
      </w:pPr>
      <w:r>
        <w:rPr>
          <w:rFonts w:ascii="Arial" w:eastAsia="Times New Roman" w:hAnsi="Arial" w:cs="Arial"/>
          <w:color w:val="000000"/>
          <w:sz w:val="20"/>
          <w:szCs w:val="20"/>
        </w:rPr>
        <w:t>•Level 2 – Quoted prices in non-active markets or in active markets for similar assets or liabilities, observable inp</w:t>
      </w:r>
      <w:r>
        <w:rPr>
          <w:rFonts w:ascii="Arial" w:eastAsia="Times New Roman" w:hAnsi="Arial" w:cs="Arial"/>
          <w:color w:val="000000"/>
          <w:sz w:val="20"/>
          <w:szCs w:val="20"/>
        </w:rPr>
        <w:t>uts other than quoted prices; and inputs that are not directly observable but are corroborated by observable market data.</w:t>
      </w:r>
    </w:p>
    <w:p w:rsidR="00000000" w:rsidRDefault="002223F7">
      <w:pPr>
        <w:ind w:hanging="360"/>
        <w:jc w:val="both"/>
        <w:divId w:val="1801919446"/>
        <w:rPr>
          <w:rFonts w:eastAsia="Times New Roman"/>
        </w:rPr>
      </w:pPr>
      <w:r>
        <w:rPr>
          <w:rFonts w:ascii="Arial" w:eastAsia="Times New Roman" w:hAnsi="Arial" w:cs="Arial"/>
          <w:color w:val="000000"/>
          <w:sz w:val="20"/>
          <w:szCs w:val="20"/>
        </w:rPr>
        <w:t>•Level 3 – Inputs that are unobservable.</w:t>
      </w:r>
    </w:p>
    <w:p w:rsidR="00000000" w:rsidRDefault="002223F7">
      <w:pPr>
        <w:jc w:val="both"/>
        <w:divId w:val="1945109440"/>
        <w:rPr>
          <w:rFonts w:eastAsia="Times New Roman"/>
        </w:rPr>
      </w:pPr>
      <w:r>
        <w:rPr>
          <w:rFonts w:ascii="Arial" w:eastAsia="Times New Roman" w:hAnsi="Arial" w:cs="Arial"/>
          <w:color w:val="000000"/>
          <w:sz w:val="20"/>
          <w:szCs w:val="20"/>
        </w:rPr>
        <w:t xml:space="preserve">For additional information pertaining to our fair value measurements, see Note 5. Fair Value </w:t>
      </w:r>
      <w:r>
        <w:rPr>
          <w:rFonts w:ascii="Arial" w:eastAsia="Times New Roman" w:hAnsi="Arial" w:cs="Arial"/>
          <w:color w:val="000000"/>
          <w:sz w:val="20"/>
          <w:szCs w:val="20"/>
        </w:rPr>
        <w:t>Measurements.</w:t>
      </w:r>
    </w:p>
    <w:p w:rsidR="00000000" w:rsidRDefault="002223F7">
      <w:pPr>
        <w:divId w:val="1801848766"/>
        <w:rPr>
          <w:rFonts w:eastAsia="Times New Roman"/>
        </w:rPr>
      </w:pPr>
      <w:r>
        <w:rPr>
          <w:rFonts w:ascii="Arial" w:eastAsia="Times New Roman" w:hAnsi="Arial" w:cs="Arial"/>
          <w:b/>
          <w:bCs/>
          <w:color w:val="000000"/>
          <w:sz w:val="20"/>
          <w:szCs w:val="20"/>
        </w:rPr>
        <w:t>I. Derivatives</w:t>
      </w:r>
    </w:p>
    <w:p w:rsidR="00000000" w:rsidRDefault="002223F7">
      <w:pPr>
        <w:jc w:val="both"/>
        <w:divId w:val="559874431"/>
        <w:rPr>
          <w:rFonts w:eastAsia="Times New Roman"/>
        </w:rPr>
      </w:pPr>
      <w:r>
        <w:rPr>
          <w:rFonts w:ascii="Arial" w:eastAsia="Times New Roman" w:hAnsi="Arial" w:cs="Arial"/>
          <w:color w:val="000000"/>
          <w:sz w:val="20"/>
          <w:szCs w:val="20"/>
        </w:rPr>
        <w:t>Our derivative contracts, except for those designated as normal purchase normal sale, are recognized at their estimated fair market value. The fair value of our derivatives is derived using observable and certain unobservable i</w:t>
      </w:r>
      <w:r>
        <w:rPr>
          <w:rFonts w:ascii="Arial" w:eastAsia="Times New Roman" w:hAnsi="Arial" w:cs="Arial"/>
          <w:color w:val="000000"/>
          <w:sz w:val="20"/>
          <w:szCs w:val="20"/>
        </w:rPr>
        <w:t>nputs, such as basis differentials, which are based on the difference between the historical prices of our prior transactions and underlying observable data; and incorporates the effect of nonperformance risk.</w:t>
      </w:r>
    </w:p>
    <w:p w:rsidR="00000000" w:rsidRDefault="002223F7">
      <w:pPr>
        <w:jc w:val="both"/>
        <w:divId w:val="1961378181"/>
        <w:rPr>
          <w:rFonts w:eastAsia="Times New Roman"/>
        </w:rPr>
      </w:pPr>
      <w:r>
        <w:rPr>
          <w:rFonts w:ascii="Arial" w:eastAsia="Times New Roman" w:hAnsi="Arial" w:cs="Arial"/>
          <w:color w:val="000000"/>
          <w:sz w:val="20"/>
          <w:szCs w:val="20"/>
        </w:rPr>
        <w:t>If the derivative instrument is not designated</w:t>
      </w:r>
      <w:r>
        <w:rPr>
          <w:rFonts w:ascii="Arial" w:eastAsia="Times New Roman" w:hAnsi="Arial" w:cs="Arial"/>
          <w:color w:val="000000"/>
          <w:sz w:val="20"/>
          <w:szCs w:val="20"/>
        </w:rPr>
        <w:t xml:space="preserve"> as a hedge, changes in the estimated fair market value are recognized as a component of Revenue, Cost of revenue or Other income (expense), net (based on the underlying transaction type) in the Consolidated Statements of Income and Comprehensive Income. D</w:t>
      </w:r>
      <w:r>
        <w:rPr>
          <w:rFonts w:ascii="Arial" w:eastAsia="Times New Roman" w:hAnsi="Arial" w:cs="Arial"/>
          <w:color w:val="000000"/>
          <w:sz w:val="20"/>
          <w:szCs w:val="20"/>
        </w:rPr>
        <w:t>erivatives that qualify for hedge accounting may be designated as either a fair value or cash flow hedge. At the inception, and on an ongoing basis, we assess the hedging relationship to determine its effectiveness in offsetting changes in cash flows or fa</w:t>
      </w:r>
      <w:r>
        <w:rPr>
          <w:rFonts w:ascii="Arial" w:eastAsia="Times New Roman" w:hAnsi="Arial" w:cs="Arial"/>
          <w:color w:val="000000"/>
          <w:sz w:val="20"/>
          <w:szCs w:val="20"/>
        </w:rPr>
        <w:t>ir value attributable to the hedged risk. For our fair value hedges, changes in the estimated fair market value of the hedging instrument and the hedged item are recognized in the same line item as the underlying transaction type in the Consolidated Statem</w:t>
      </w:r>
      <w:r>
        <w:rPr>
          <w:rFonts w:ascii="Arial" w:eastAsia="Times New Roman" w:hAnsi="Arial" w:cs="Arial"/>
          <w:color w:val="000000"/>
          <w:sz w:val="20"/>
          <w:szCs w:val="20"/>
        </w:rPr>
        <w:t>ents of Income and Comprehensive Income. For our cash flow hedges, the changes in the fair market value of the hedging instrument are initially recognized in other comprehensive income as a separate component of shareholders’ equity and subsequently reclas</w:t>
      </w:r>
      <w:r>
        <w:rPr>
          <w:rFonts w:ascii="Arial" w:eastAsia="Times New Roman" w:hAnsi="Arial" w:cs="Arial"/>
          <w:color w:val="000000"/>
          <w:sz w:val="20"/>
          <w:szCs w:val="20"/>
        </w:rPr>
        <w:t xml:space="preserve">sified into the same line item as the underlying forecasted transaction in the Consolidated Statements of Income and Comprehensive Income when both are settled or deemed probable of not occurring. </w:t>
      </w:r>
    </w:p>
    <w:p w:rsidR="00000000" w:rsidRDefault="002223F7">
      <w:pPr>
        <w:jc w:val="both"/>
        <w:divId w:val="797797625"/>
        <w:rPr>
          <w:rFonts w:eastAsia="Times New Roman"/>
        </w:rPr>
      </w:pPr>
      <w:r>
        <w:rPr>
          <w:rFonts w:ascii="Arial" w:eastAsia="Times New Roman" w:hAnsi="Arial" w:cs="Arial"/>
          <w:color w:val="000000"/>
          <w:sz w:val="20"/>
          <w:szCs w:val="20"/>
        </w:rPr>
        <w:t>Cash flows of derivatives that do not contain an other-tha</w:t>
      </w:r>
      <w:r>
        <w:rPr>
          <w:rFonts w:ascii="Arial" w:eastAsia="Times New Roman" w:hAnsi="Arial" w:cs="Arial"/>
          <w:color w:val="000000"/>
          <w:sz w:val="20"/>
          <w:szCs w:val="20"/>
        </w:rPr>
        <w:t>n-insignificant financing element and are designated in cash flow or fair value hedges are classified in the same category as the cash flow from the hedged items in our Consolidated Statement of Cash Flows. If for any reason hedge accounting is discontinue</w:t>
      </w:r>
      <w:r>
        <w:rPr>
          <w:rFonts w:ascii="Arial" w:eastAsia="Times New Roman" w:hAnsi="Arial" w:cs="Arial"/>
          <w:color w:val="000000"/>
          <w:sz w:val="20"/>
          <w:szCs w:val="20"/>
        </w:rPr>
        <w:t>d, then any cash flows subsequent to the date of discontinuance will be classified in a manner consistent with the nature of the instrument. Cash flows related to all other non-hedging derivatives are classified in accordance with the nature of the derivat</w:t>
      </w:r>
      <w:r>
        <w:rPr>
          <w:rFonts w:ascii="Arial" w:eastAsia="Times New Roman" w:hAnsi="Arial" w:cs="Arial"/>
          <w:color w:val="000000"/>
          <w:sz w:val="20"/>
          <w:szCs w:val="20"/>
        </w:rPr>
        <w:t>ive instrument and how it is used in the context of the entity’s business.</w:t>
      </w:r>
    </w:p>
    <w:p w:rsidR="00000000" w:rsidRDefault="002223F7">
      <w:pPr>
        <w:jc w:val="both"/>
        <w:divId w:val="1120733116"/>
        <w:rPr>
          <w:rFonts w:eastAsia="Times New Roman"/>
        </w:rPr>
      </w:pPr>
      <w:r>
        <w:rPr>
          <w:rFonts w:ascii="Arial" w:eastAsia="Times New Roman" w:hAnsi="Arial" w:cs="Arial"/>
          <w:color w:val="000000"/>
          <w:sz w:val="20"/>
          <w:szCs w:val="20"/>
        </w:rPr>
        <w:t>For more information on our derivatives, see Note 4. Derivative Instruments.</w:t>
      </w:r>
    </w:p>
    <w:p w:rsidR="00000000" w:rsidRDefault="002223F7">
      <w:pPr>
        <w:divId w:val="1037200498"/>
        <w:rPr>
          <w:rFonts w:eastAsia="Times New Roman"/>
        </w:rPr>
      </w:pPr>
      <w:r>
        <w:rPr>
          <w:rFonts w:ascii="Arial" w:eastAsia="Times New Roman" w:hAnsi="Arial" w:cs="Arial"/>
          <w:b/>
          <w:bCs/>
          <w:color w:val="000000"/>
          <w:sz w:val="20"/>
          <w:szCs w:val="20"/>
        </w:rPr>
        <w:t>J. Property and Equipment</w:t>
      </w:r>
    </w:p>
    <w:p w:rsidR="00000000" w:rsidRDefault="002223F7">
      <w:pPr>
        <w:jc w:val="both"/>
        <w:divId w:val="109201033"/>
        <w:rPr>
          <w:rFonts w:eastAsia="Times New Roman"/>
        </w:rPr>
      </w:pPr>
      <w:r>
        <w:rPr>
          <w:rFonts w:ascii="Arial" w:eastAsia="Times New Roman" w:hAnsi="Arial" w:cs="Arial"/>
          <w:color w:val="000000"/>
          <w:sz w:val="20"/>
          <w:szCs w:val="20"/>
        </w:rPr>
        <w:t>Property and equipment are carried at cost less accumulated depreciation and a</w:t>
      </w:r>
      <w:r>
        <w:rPr>
          <w:rFonts w:ascii="Arial" w:eastAsia="Times New Roman" w:hAnsi="Arial" w:cs="Arial"/>
          <w:color w:val="000000"/>
          <w:sz w:val="20"/>
          <w:szCs w:val="20"/>
        </w:rPr>
        <w:t>mortization. Depreciation and amortization are calculated primarily by using the straight-line method over the estimated useful lives of the assets. Costs of major additions and improvements are capitalized while expenditures for maintenance and repairs, w</w:t>
      </w:r>
      <w:r>
        <w:rPr>
          <w:rFonts w:ascii="Arial" w:eastAsia="Times New Roman" w:hAnsi="Arial" w:cs="Arial"/>
          <w:color w:val="000000"/>
          <w:sz w:val="20"/>
          <w:szCs w:val="20"/>
        </w:rPr>
        <w:t>hich do not extend the life of the asset, are expensed. Upon sale or disposition of property and equipment, the cost and related accumulated depreciation and amortization are eliminated from the accounts and any resulting gain or loss is credited or charge</w:t>
      </w:r>
      <w:r>
        <w:rPr>
          <w:rFonts w:ascii="Arial" w:eastAsia="Times New Roman" w:hAnsi="Arial" w:cs="Arial"/>
          <w:color w:val="000000"/>
          <w:sz w:val="20"/>
          <w:szCs w:val="20"/>
        </w:rPr>
        <w:t>d to income. Long-lived assets held and used by us (including property and equipment) are assessed for impairment whenever events or changes in circumstances indicate that the carrying amount of an asset may not be recoverable.</w:t>
      </w:r>
    </w:p>
    <w:p w:rsidR="00000000" w:rsidRDefault="002223F7">
      <w:pPr>
        <w:jc w:val="both"/>
        <w:divId w:val="395129226"/>
        <w:rPr>
          <w:rFonts w:eastAsia="Times New Roman"/>
        </w:rPr>
      </w:pPr>
      <w:r>
        <w:rPr>
          <w:rFonts w:ascii="Arial" w:eastAsia="Times New Roman" w:hAnsi="Arial" w:cs="Arial"/>
          <w:color w:val="000000"/>
          <w:sz w:val="20"/>
          <w:szCs w:val="20"/>
        </w:rPr>
        <w:t>Purchases of computer softwa</w:t>
      </w:r>
      <w:r>
        <w:rPr>
          <w:rFonts w:ascii="Arial" w:eastAsia="Times New Roman" w:hAnsi="Arial" w:cs="Arial"/>
          <w:color w:val="000000"/>
          <w:sz w:val="20"/>
          <w:szCs w:val="20"/>
        </w:rPr>
        <w:t>re and external costs and certain internal costs directly associated with developing significant computer software applications for internal use are capitalized within property and equipment, which also includes hosting arrangements when we have the contra</w:t>
      </w:r>
      <w:r>
        <w:rPr>
          <w:rFonts w:ascii="Arial" w:eastAsia="Times New Roman" w:hAnsi="Arial" w:cs="Arial"/>
          <w:color w:val="000000"/>
          <w:sz w:val="20"/>
          <w:szCs w:val="20"/>
        </w:rPr>
        <w:t>ctual right to take possession of the software at any time during the hosting period and it is feasible for us to either run the software in our own hardware or contract with another unrelated party to host the software. Amortization of such costs is calcu</w:t>
      </w:r>
      <w:r>
        <w:rPr>
          <w:rFonts w:ascii="Arial" w:eastAsia="Times New Roman" w:hAnsi="Arial" w:cs="Arial"/>
          <w:color w:val="000000"/>
          <w:sz w:val="20"/>
          <w:szCs w:val="20"/>
        </w:rPr>
        <w:t>lated primarily by using the straight-line method over the estimated useful life of the software.</w:t>
      </w:r>
    </w:p>
    <w:p w:rsidR="00000000" w:rsidRDefault="002223F7">
      <w:pPr>
        <w:jc w:val="center"/>
        <w:divId w:val="479152012"/>
        <w:rPr>
          <w:rFonts w:eastAsia="Times New Roman"/>
        </w:rPr>
      </w:pPr>
      <w:r>
        <w:rPr>
          <w:rFonts w:ascii="Arial" w:eastAsia="Times New Roman" w:hAnsi="Arial" w:cs="Arial"/>
          <w:color w:val="000000"/>
          <w:sz w:val="16"/>
          <w:szCs w:val="16"/>
        </w:rPr>
        <w:t>51</w:t>
      </w:r>
    </w:p>
    <w:p w:rsidR="00000000" w:rsidRDefault="002223F7">
      <w:pPr>
        <w:rPr>
          <w:rFonts w:eastAsia="Times New Roman"/>
        </w:rPr>
      </w:pPr>
      <w:r>
        <w:rPr>
          <w:rFonts w:eastAsia="Times New Roman"/>
        </w:rPr>
        <w:pict>
          <v:rect id="_x0000_i1082" style="width:0;height:1.5pt" o:hralign="center" o:hrstd="t" o:hr="t" fillcolor="#a0a0a0" stroked="f"/>
        </w:pict>
      </w:r>
    </w:p>
    <w:p w:rsidR="00000000" w:rsidRDefault="002223F7">
      <w:pPr>
        <w:jc w:val="both"/>
        <w:divId w:val="702245652"/>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divId w:val="1641184456"/>
        <w:rPr>
          <w:rFonts w:eastAsia="Times New Roman"/>
        </w:rPr>
      </w:pPr>
      <w:r>
        <w:rPr>
          <w:rFonts w:ascii="Arial" w:eastAsia="Times New Roman" w:hAnsi="Arial" w:cs="Arial"/>
          <w:b/>
          <w:bCs/>
          <w:color w:val="000000"/>
          <w:sz w:val="20"/>
          <w:szCs w:val="20"/>
        </w:rPr>
        <w:t>K. Goodwill</w:t>
      </w:r>
    </w:p>
    <w:p w:rsidR="00000000" w:rsidRDefault="002223F7">
      <w:pPr>
        <w:jc w:val="both"/>
        <w:divId w:val="562176506"/>
        <w:rPr>
          <w:rFonts w:eastAsia="Times New Roman"/>
        </w:rPr>
      </w:pPr>
      <w:r>
        <w:rPr>
          <w:rFonts w:ascii="Arial" w:eastAsia="Times New Roman" w:hAnsi="Arial" w:cs="Arial"/>
          <w:color w:val="000000"/>
          <w:sz w:val="20"/>
          <w:szCs w:val="20"/>
        </w:rPr>
        <w:t>Goodwill is evaluated for impairment at the reporting unit level as of December 31 of each year, or more frequently if events or circumstances indicate that the carrying value of goodwill may be impaired.</w:t>
      </w:r>
    </w:p>
    <w:p w:rsidR="00000000" w:rsidRDefault="002223F7">
      <w:pPr>
        <w:jc w:val="both"/>
        <w:divId w:val="2006474752"/>
        <w:rPr>
          <w:rFonts w:eastAsia="Times New Roman"/>
        </w:rPr>
      </w:pPr>
      <w:r>
        <w:rPr>
          <w:rFonts w:ascii="Arial" w:eastAsia="Times New Roman" w:hAnsi="Arial" w:cs="Arial"/>
          <w:color w:val="000000"/>
          <w:sz w:val="20"/>
          <w:szCs w:val="20"/>
        </w:rPr>
        <w:t>We have the option to p</w:t>
      </w:r>
      <w:r>
        <w:rPr>
          <w:rFonts w:ascii="Arial" w:eastAsia="Times New Roman" w:hAnsi="Arial" w:cs="Arial"/>
          <w:color w:val="000000"/>
          <w:sz w:val="20"/>
          <w:szCs w:val="20"/>
        </w:rPr>
        <w:t>erform a qualitative assessment of goodwill rather than completing the quantitative impairment test. Under this qualitative assessment, if we conclude it is not more likely than not that the fair value of the reporting unit is less than its carrying amount</w:t>
      </w:r>
      <w:r>
        <w:rPr>
          <w:rFonts w:ascii="Arial" w:eastAsia="Times New Roman" w:hAnsi="Arial" w:cs="Arial"/>
          <w:color w:val="000000"/>
          <w:sz w:val="20"/>
          <w:szCs w:val="20"/>
        </w:rPr>
        <w:t>, no further analysis is needed.</w:t>
      </w:r>
    </w:p>
    <w:p w:rsidR="00000000" w:rsidRDefault="002223F7">
      <w:pPr>
        <w:jc w:val="both"/>
        <w:divId w:val="201210509"/>
        <w:rPr>
          <w:rFonts w:eastAsia="Times New Roman"/>
        </w:rPr>
      </w:pPr>
      <w:r>
        <w:rPr>
          <w:rFonts w:ascii="Arial" w:eastAsia="Times New Roman" w:hAnsi="Arial" w:cs="Arial"/>
          <w:color w:val="000000"/>
          <w:sz w:val="20"/>
          <w:szCs w:val="20"/>
        </w:rPr>
        <w:t xml:space="preserve">To perform the quantitative impairment test, we compare the fair value of each reporting unit to its respective carrying amount, including goodwill. In calculating the fair value, we use a combination of both an income and </w:t>
      </w:r>
      <w:r>
        <w:rPr>
          <w:rFonts w:ascii="Arial" w:eastAsia="Times New Roman" w:hAnsi="Arial" w:cs="Arial"/>
          <w:color w:val="000000"/>
          <w:sz w:val="20"/>
          <w:szCs w:val="20"/>
        </w:rPr>
        <w:t xml:space="preserve">market approach. Under the market approach, we use a selection of global companies that correspond to each reporting unit to derive a market-based multiple. Under the income approach, we calculate the fair value of each reporting unit based on the present </w:t>
      </w:r>
      <w:r>
        <w:rPr>
          <w:rFonts w:ascii="Arial" w:eastAsia="Times New Roman" w:hAnsi="Arial" w:cs="Arial"/>
          <w:color w:val="000000"/>
          <w:sz w:val="20"/>
          <w:szCs w:val="20"/>
        </w:rPr>
        <w:t>value of estimated future cash flows. The estimated future cash flows are based on the best information available as of the testing date, including our annual operating plan that is approved by our Board of Directors. The estimated cash flows are discounte</w:t>
      </w:r>
      <w:r>
        <w:rPr>
          <w:rFonts w:ascii="Arial" w:eastAsia="Times New Roman" w:hAnsi="Arial" w:cs="Arial"/>
          <w:color w:val="000000"/>
          <w:sz w:val="20"/>
          <w:szCs w:val="20"/>
        </w:rPr>
        <w:t>d using rates that correspond to a weighted-average cost of capital consistent with those used internally for investment decisions. All our estimates are considered supportable assumptions that are based on a number of factors including industry experience</w:t>
      </w:r>
      <w:r>
        <w:rPr>
          <w:rFonts w:ascii="Arial" w:eastAsia="Times New Roman" w:hAnsi="Arial" w:cs="Arial"/>
          <w:color w:val="000000"/>
          <w:sz w:val="20"/>
          <w:szCs w:val="20"/>
        </w:rPr>
        <w:t>, internal benchmarks and the economic environment. We believe these assumptions are reasonable and are consistent with those we believe a market participant would use.</w:t>
      </w:r>
    </w:p>
    <w:p w:rsidR="00000000" w:rsidRDefault="002223F7">
      <w:pPr>
        <w:divId w:val="985739129"/>
        <w:rPr>
          <w:rFonts w:eastAsia="Times New Roman"/>
        </w:rPr>
      </w:pPr>
      <w:r>
        <w:rPr>
          <w:rFonts w:ascii="Arial" w:eastAsia="Times New Roman" w:hAnsi="Arial" w:cs="Arial"/>
          <w:b/>
          <w:bCs/>
          <w:color w:val="000000"/>
          <w:sz w:val="20"/>
          <w:szCs w:val="20"/>
        </w:rPr>
        <w:t>L. Identifiable Intangible Assets</w:t>
      </w:r>
    </w:p>
    <w:p w:rsidR="00000000" w:rsidRDefault="002223F7">
      <w:pPr>
        <w:jc w:val="both"/>
        <w:divId w:val="961155368"/>
        <w:rPr>
          <w:rFonts w:eastAsia="Times New Roman"/>
        </w:rPr>
      </w:pPr>
      <w:r>
        <w:rPr>
          <w:rFonts w:ascii="Arial" w:eastAsia="Times New Roman" w:hAnsi="Arial" w:cs="Arial"/>
          <w:color w:val="000000"/>
          <w:sz w:val="20"/>
          <w:szCs w:val="20"/>
        </w:rPr>
        <w:t>In connection with our acquisitions, we recognize ide</w:t>
      </w:r>
      <w:r>
        <w:rPr>
          <w:rFonts w:ascii="Arial" w:eastAsia="Times New Roman" w:hAnsi="Arial" w:cs="Arial"/>
          <w:color w:val="000000"/>
          <w:sz w:val="20"/>
          <w:szCs w:val="20"/>
        </w:rPr>
        <w:t>ntifiable intangible assets at fair value. After the initial recognition of the asset, the accounting treatment depends on the period over which the asset is expected to contribute directly or indirectly to the future cash flows of the company. Identifiabl</w:t>
      </w:r>
      <w:r>
        <w:rPr>
          <w:rFonts w:ascii="Arial" w:eastAsia="Times New Roman" w:hAnsi="Arial" w:cs="Arial"/>
          <w:color w:val="000000"/>
          <w:sz w:val="20"/>
          <w:szCs w:val="20"/>
        </w:rPr>
        <w:t>e intangible assets with finite useful lives are amortized over their estimated useful lives and are assessed for impairment at the asset group level whenever events or changes in circumstances indicate that the carrying amount of an asset may not be recov</w:t>
      </w:r>
      <w:r>
        <w:rPr>
          <w:rFonts w:ascii="Arial" w:eastAsia="Times New Roman" w:hAnsi="Arial" w:cs="Arial"/>
          <w:color w:val="000000"/>
          <w:sz w:val="20"/>
          <w:szCs w:val="20"/>
        </w:rPr>
        <w:t>erable. Intangible assets with indefinite useful life are not subject to amortization but are tested for impairment at least annually during the fourth quarter. This analysis generally involves the use of qualitative and quantitative information to conclud</w:t>
      </w:r>
      <w:r>
        <w:rPr>
          <w:rFonts w:ascii="Arial" w:eastAsia="Times New Roman" w:hAnsi="Arial" w:cs="Arial"/>
          <w:color w:val="000000"/>
          <w:sz w:val="20"/>
          <w:szCs w:val="20"/>
        </w:rPr>
        <w:t>e whether the fair value is greater than or equal to the carrying value.</w:t>
      </w:r>
    </w:p>
    <w:p w:rsidR="00000000" w:rsidRDefault="002223F7">
      <w:pPr>
        <w:divId w:val="1088888267"/>
        <w:rPr>
          <w:rFonts w:eastAsia="Times New Roman"/>
        </w:rPr>
      </w:pPr>
      <w:r>
        <w:rPr>
          <w:rFonts w:ascii="Arial" w:eastAsia="Times New Roman" w:hAnsi="Arial" w:cs="Arial"/>
          <w:b/>
          <w:bCs/>
          <w:color w:val="000000"/>
          <w:sz w:val="20"/>
          <w:szCs w:val="20"/>
        </w:rPr>
        <w:t>M. Investments</w:t>
      </w:r>
    </w:p>
    <w:p w:rsidR="00000000" w:rsidRDefault="002223F7">
      <w:pPr>
        <w:jc w:val="both"/>
        <w:divId w:val="299309709"/>
        <w:rPr>
          <w:rFonts w:eastAsia="Times New Roman"/>
        </w:rPr>
      </w:pPr>
      <w:r>
        <w:rPr>
          <w:rFonts w:ascii="Arial" w:eastAsia="Times New Roman" w:hAnsi="Arial" w:cs="Arial"/>
          <w:color w:val="000000"/>
          <w:sz w:val="20"/>
          <w:szCs w:val="20"/>
        </w:rPr>
        <w:t>We hold investments which are primarily accounted for under the equity method as we have the ability to exercise significant influence over the operating and financial policies of the investee, but do not have control.</w:t>
      </w:r>
    </w:p>
    <w:p w:rsidR="00000000" w:rsidRDefault="002223F7">
      <w:pPr>
        <w:jc w:val="both"/>
        <w:divId w:val="763306366"/>
        <w:rPr>
          <w:rFonts w:eastAsia="Times New Roman"/>
        </w:rPr>
      </w:pPr>
      <w:r>
        <w:rPr>
          <w:rFonts w:ascii="Arial" w:eastAsia="Times New Roman" w:hAnsi="Arial" w:cs="Arial"/>
          <w:color w:val="000000"/>
          <w:sz w:val="20"/>
          <w:szCs w:val="20"/>
        </w:rPr>
        <w:t>The carrying amount of an equity meth</w:t>
      </w:r>
      <w:r>
        <w:rPr>
          <w:rFonts w:ascii="Arial" w:eastAsia="Times New Roman" w:hAnsi="Arial" w:cs="Arial"/>
          <w:color w:val="000000"/>
          <w:sz w:val="20"/>
          <w:szCs w:val="20"/>
        </w:rPr>
        <w:t xml:space="preserve">od investment is increased to reflect our share of income and is reduced to reflect our share of losses of the investee, dividends received and other-than-temporary impairments. Investments accounted for under the equity method are assessed for impairment </w:t>
      </w:r>
      <w:r>
        <w:rPr>
          <w:rFonts w:ascii="Arial" w:eastAsia="Times New Roman" w:hAnsi="Arial" w:cs="Arial"/>
          <w:color w:val="000000"/>
          <w:sz w:val="20"/>
          <w:szCs w:val="20"/>
        </w:rPr>
        <w:t>whenever events or changes in circumstances indicate that the carrying amount of an investment may not be recoverable.</w:t>
      </w:r>
    </w:p>
    <w:p w:rsidR="00000000" w:rsidRDefault="002223F7">
      <w:pPr>
        <w:jc w:val="both"/>
        <w:divId w:val="1662613423"/>
        <w:rPr>
          <w:rFonts w:eastAsia="Times New Roman"/>
        </w:rPr>
      </w:pPr>
      <w:r>
        <w:rPr>
          <w:rFonts w:ascii="Arial" w:eastAsia="Times New Roman" w:hAnsi="Arial" w:cs="Arial"/>
          <w:color w:val="000000"/>
          <w:sz w:val="20"/>
          <w:szCs w:val="20"/>
        </w:rPr>
        <w:t>We assess our intent and/or ability to recover the carrying amount of the investment over a long period. However, if the fair value of the investment is less than its carrying amount, and the investment will not recover in the near term, then an other-than</w:t>
      </w:r>
      <w:r>
        <w:rPr>
          <w:rFonts w:ascii="Arial" w:eastAsia="Times New Roman" w:hAnsi="Arial" w:cs="Arial"/>
          <w:color w:val="000000"/>
          <w:sz w:val="20"/>
          <w:szCs w:val="20"/>
        </w:rPr>
        <w:t>-temporary impairment is recognized. Impairments of equity method investments are classified as Asset impairments within the Consolidated Statements of Income and Comprehensive Income.</w:t>
      </w:r>
    </w:p>
    <w:p w:rsidR="00000000" w:rsidRDefault="002223F7">
      <w:pPr>
        <w:divId w:val="564099196"/>
        <w:rPr>
          <w:rFonts w:eastAsia="Times New Roman"/>
        </w:rPr>
      </w:pPr>
      <w:r>
        <w:rPr>
          <w:rFonts w:ascii="Arial" w:eastAsia="Times New Roman" w:hAnsi="Arial" w:cs="Arial"/>
          <w:b/>
          <w:bCs/>
          <w:color w:val="000000"/>
          <w:sz w:val="20"/>
          <w:szCs w:val="20"/>
        </w:rPr>
        <w:t>N. Revenue Recognition</w:t>
      </w:r>
    </w:p>
    <w:p w:rsidR="00000000" w:rsidRDefault="002223F7">
      <w:pPr>
        <w:jc w:val="both"/>
        <w:divId w:val="1777553201"/>
        <w:rPr>
          <w:rFonts w:eastAsia="Times New Roman"/>
        </w:rPr>
      </w:pPr>
      <w:r>
        <w:rPr>
          <w:rFonts w:ascii="Arial" w:eastAsia="Times New Roman" w:hAnsi="Arial" w:cs="Arial"/>
          <w:color w:val="000000"/>
          <w:sz w:val="20"/>
          <w:szCs w:val="20"/>
        </w:rPr>
        <w:t>The majority of our consolidated revenues are ge</w:t>
      </w:r>
      <w:r>
        <w:rPr>
          <w:rFonts w:ascii="Arial" w:eastAsia="Times New Roman" w:hAnsi="Arial" w:cs="Arial"/>
          <w:color w:val="000000"/>
          <w:sz w:val="20"/>
          <w:szCs w:val="20"/>
        </w:rPr>
        <w:t>nerated through the sale of fuel and fuel-related products. We generally recognize fuel sales and services revenue on a gross basis as we have control of the products or services before they are delivered to our customers. In drawing this conclusion, we co</w:t>
      </w:r>
      <w:r>
        <w:rPr>
          <w:rFonts w:ascii="Arial" w:eastAsia="Times New Roman" w:hAnsi="Arial" w:cs="Arial"/>
          <w:color w:val="000000"/>
          <w:sz w:val="20"/>
          <w:szCs w:val="20"/>
        </w:rPr>
        <w:t>nsidered various factors, including inventory risk management, latitude in establishing the sales price, discretion in the supplier selection and that we are normally the primary obligor in our sales arrangements.</w:t>
      </w:r>
    </w:p>
    <w:p w:rsidR="00000000" w:rsidRDefault="002223F7">
      <w:pPr>
        <w:jc w:val="both"/>
        <w:divId w:val="702288740"/>
        <w:rPr>
          <w:rFonts w:eastAsia="Times New Roman"/>
        </w:rPr>
      </w:pPr>
      <w:r>
        <w:rPr>
          <w:rFonts w:ascii="Arial" w:eastAsia="Times New Roman" w:hAnsi="Arial" w:cs="Arial"/>
          <w:color w:val="000000"/>
          <w:sz w:val="20"/>
          <w:szCs w:val="20"/>
        </w:rPr>
        <w:t>Revenue from the sale of fuel is recognize</w:t>
      </w:r>
      <w:r>
        <w:rPr>
          <w:rFonts w:ascii="Arial" w:eastAsia="Times New Roman" w:hAnsi="Arial" w:cs="Arial"/>
          <w:color w:val="000000"/>
          <w:sz w:val="20"/>
          <w:szCs w:val="20"/>
        </w:rPr>
        <w:t>d when our customers obtain control of the fuel, which is typically upon delivery of each promised gallon or barrel to an agreed-upon delivery point. Revenue from services, including energy procurement advisory services and international trip planning supp</w:t>
      </w:r>
      <w:r>
        <w:rPr>
          <w:rFonts w:ascii="Arial" w:eastAsia="Times New Roman" w:hAnsi="Arial" w:cs="Arial"/>
          <w:color w:val="000000"/>
          <w:sz w:val="20"/>
          <w:szCs w:val="20"/>
        </w:rPr>
        <w:t>ort, are recognized over the contract period when services have been performed and we have the right to invoice for those services.</w:t>
      </w:r>
    </w:p>
    <w:p w:rsidR="00000000" w:rsidRDefault="002223F7">
      <w:pPr>
        <w:jc w:val="both"/>
        <w:divId w:val="1884100500"/>
        <w:rPr>
          <w:rFonts w:eastAsia="Times New Roman"/>
        </w:rPr>
      </w:pPr>
      <w:r>
        <w:rPr>
          <w:rFonts w:ascii="Arial" w:eastAsia="Times New Roman" w:hAnsi="Arial" w:cs="Arial"/>
          <w:color w:val="000000"/>
          <w:sz w:val="20"/>
          <w:szCs w:val="20"/>
        </w:rPr>
        <w:t>Shipping and handling related fees incurred before control of the goods or services are transferred to the customer, are con</w:t>
      </w:r>
      <w:r>
        <w:rPr>
          <w:rFonts w:ascii="Arial" w:eastAsia="Times New Roman" w:hAnsi="Arial" w:cs="Arial"/>
          <w:color w:val="000000"/>
          <w:sz w:val="20"/>
          <w:szCs w:val="20"/>
        </w:rPr>
        <w:t>sidered activities to fulfill the promise and not a separately promised service. When we coordinate shipping and handling activities after our customer obtains control of goods or services, we have elected to account for these shipping and handling costs a</w:t>
      </w:r>
      <w:r>
        <w:rPr>
          <w:rFonts w:ascii="Arial" w:eastAsia="Times New Roman" w:hAnsi="Arial" w:cs="Arial"/>
          <w:color w:val="000000"/>
          <w:sz w:val="20"/>
          <w:szCs w:val="20"/>
        </w:rPr>
        <w:t>s activities to fulfill the promise to transfer the goods.</w:t>
      </w:r>
    </w:p>
    <w:p w:rsidR="00000000" w:rsidRDefault="002223F7">
      <w:pPr>
        <w:jc w:val="center"/>
        <w:divId w:val="588394563"/>
        <w:rPr>
          <w:rFonts w:eastAsia="Times New Roman"/>
        </w:rPr>
      </w:pPr>
      <w:r>
        <w:rPr>
          <w:rFonts w:ascii="Arial" w:eastAsia="Times New Roman" w:hAnsi="Arial" w:cs="Arial"/>
          <w:color w:val="000000"/>
          <w:sz w:val="16"/>
          <w:szCs w:val="16"/>
        </w:rPr>
        <w:t>52</w:t>
      </w:r>
    </w:p>
    <w:p w:rsidR="00000000" w:rsidRDefault="002223F7">
      <w:pPr>
        <w:rPr>
          <w:rFonts w:eastAsia="Times New Roman"/>
        </w:rPr>
      </w:pPr>
      <w:r>
        <w:rPr>
          <w:rFonts w:eastAsia="Times New Roman"/>
        </w:rPr>
        <w:pict>
          <v:rect id="_x0000_i1083" style="width:0;height:1.5pt" o:hralign="center" o:hrstd="t" o:hr="t" fillcolor="#a0a0a0" stroked="f"/>
        </w:pict>
      </w:r>
    </w:p>
    <w:p w:rsidR="00000000" w:rsidRDefault="002223F7">
      <w:pPr>
        <w:jc w:val="both"/>
        <w:divId w:val="1040280243"/>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141234366"/>
        <w:rPr>
          <w:rFonts w:eastAsia="Times New Roman"/>
        </w:rPr>
      </w:pPr>
      <w:r>
        <w:rPr>
          <w:rFonts w:ascii="Arial" w:eastAsia="Times New Roman" w:hAnsi="Arial" w:cs="Arial"/>
          <w:color w:val="000000"/>
          <w:sz w:val="20"/>
          <w:szCs w:val="20"/>
        </w:rPr>
        <w:t>We have elected not to a</w:t>
      </w:r>
      <w:r>
        <w:rPr>
          <w:rFonts w:ascii="Arial" w:eastAsia="Times New Roman" w:hAnsi="Arial" w:cs="Arial"/>
          <w:color w:val="000000"/>
          <w:sz w:val="20"/>
          <w:szCs w:val="20"/>
        </w:rPr>
        <w:t>djust the contract consideration for the effect of a significant financing component for any contract in which the period between when the Company transfers the promises in the contract and when the customer pays is a year or less. In addition, we have ele</w:t>
      </w:r>
      <w:r>
        <w:rPr>
          <w:rFonts w:ascii="Arial" w:eastAsia="Times New Roman" w:hAnsi="Arial" w:cs="Arial"/>
          <w:color w:val="000000"/>
          <w:sz w:val="20"/>
          <w:szCs w:val="20"/>
        </w:rPr>
        <w:t>cted to exclude from the transaction price the amount of certain taxes assessed by a government authority that we collect (or recover) from our customer and remit in connection with our sales transactions, such as certain sales or excise taxes.</w:t>
      </w:r>
    </w:p>
    <w:p w:rsidR="00000000" w:rsidRDefault="002223F7">
      <w:pPr>
        <w:jc w:val="both"/>
        <w:divId w:val="1588265443"/>
        <w:rPr>
          <w:rFonts w:eastAsia="Times New Roman"/>
        </w:rPr>
      </w:pPr>
      <w:r>
        <w:rPr>
          <w:rFonts w:ascii="Arial" w:eastAsia="Times New Roman" w:hAnsi="Arial" w:cs="Arial"/>
          <w:color w:val="000000"/>
          <w:sz w:val="20"/>
          <w:szCs w:val="20"/>
        </w:rPr>
        <w:t>We have ele</w:t>
      </w:r>
      <w:r>
        <w:rPr>
          <w:rFonts w:ascii="Arial" w:eastAsia="Times New Roman" w:hAnsi="Arial" w:cs="Arial"/>
          <w:color w:val="000000"/>
          <w:sz w:val="20"/>
          <w:szCs w:val="20"/>
        </w:rPr>
        <w:t>cted to apply the optional exemption from estimating and disclosing the variable consideration from our remaining performance obligations when the transaction price is only estimated for disclosures purpose, including contracts in which the right to consid</w:t>
      </w:r>
      <w:r>
        <w:rPr>
          <w:rFonts w:ascii="Arial" w:eastAsia="Times New Roman" w:hAnsi="Arial" w:cs="Arial"/>
          <w:color w:val="000000"/>
          <w:sz w:val="20"/>
          <w:szCs w:val="20"/>
        </w:rPr>
        <w:t>eration corresponds directly with the value to the customer of the entity's performance to date. Also, we have elected to apply the exemption for contracts with fixed consideration an original expected duration of less than one year.</w:t>
      </w:r>
    </w:p>
    <w:p w:rsidR="00000000" w:rsidRDefault="002223F7">
      <w:pPr>
        <w:divId w:val="2036536016"/>
        <w:rPr>
          <w:rFonts w:eastAsia="Times New Roman"/>
        </w:rPr>
      </w:pPr>
      <w:r>
        <w:rPr>
          <w:rFonts w:ascii="Arial" w:eastAsia="Times New Roman" w:hAnsi="Arial" w:cs="Arial"/>
          <w:b/>
          <w:bCs/>
          <w:color w:val="000000"/>
          <w:sz w:val="20"/>
          <w:szCs w:val="20"/>
        </w:rPr>
        <w:t>O. Share-Based Payment</w:t>
      </w:r>
      <w:r>
        <w:rPr>
          <w:rFonts w:ascii="Arial" w:eastAsia="Times New Roman" w:hAnsi="Arial" w:cs="Arial"/>
          <w:b/>
          <w:bCs/>
          <w:color w:val="000000"/>
          <w:sz w:val="20"/>
          <w:szCs w:val="20"/>
        </w:rPr>
        <w:t xml:space="preserve"> Awards</w:t>
      </w:r>
    </w:p>
    <w:p w:rsidR="00000000" w:rsidRDefault="002223F7">
      <w:pPr>
        <w:jc w:val="both"/>
        <w:divId w:val="1268545450"/>
        <w:rPr>
          <w:rFonts w:eastAsia="Times New Roman"/>
        </w:rPr>
      </w:pPr>
      <w:r>
        <w:rPr>
          <w:rFonts w:ascii="Arial" w:eastAsia="Times New Roman" w:hAnsi="Arial" w:cs="Arial"/>
          <w:color w:val="000000"/>
          <w:sz w:val="20"/>
          <w:szCs w:val="20"/>
        </w:rPr>
        <w:t>We account for share-based payment awards on a fair value basis of the equity instrument issued. Under fair value accounting, the grant-date fair value of the share-based payment award is amortized as compensation expense, on a straight-line basis,</w:t>
      </w:r>
      <w:r>
        <w:rPr>
          <w:rFonts w:ascii="Arial" w:eastAsia="Times New Roman" w:hAnsi="Arial" w:cs="Arial"/>
          <w:color w:val="000000"/>
          <w:sz w:val="20"/>
          <w:szCs w:val="20"/>
        </w:rPr>
        <w:t xml:space="preserve"> over the service period (generally, the vesting period) for both graded and cliff vesting awards. We have elected to account for forfeitures as they occur.</w:t>
      </w:r>
    </w:p>
    <w:p w:rsidR="00000000" w:rsidRDefault="002223F7">
      <w:pPr>
        <w:divId w:val="1899437792"/>
        <w:rPr>
          <w:rFonts w:eastAsia="Times New Roman"/>
        </w:rPr>
      </w:pPr>
      <w:r>
        <w:rPr>
          <w:rFonts w:ascii="Arial" w:eastAsia="Times New Roman" w:hAnsi="Arial" w:cs="Arial"/>
          <w:b/>
          <w:bCs/>
          <w:color w:val="000000"/>
          <w:sz w:val="20"/>
          <w:szCs w:val="20"/>
        </w:rPr>
        <w:t>P. Foreign Currency</w:t>
      </w:r>
    </w:p>
    <w:p w:rsidR="00000000" w:rsidRDefault="002223F7">
      <w:pPr>
        <w:jc w:val="both"/>
        <w:divId w:val="369459174"/>
        <w:rPr>
          <w:rFonts w:eastAsia="Times New Roman"/>
        </w:rPr>
      </w:pPr>
      <w:r>
        <w:rPr>
          <w:rFonts w:ascii="Arial" w:eastAsia="Times New Roman" w:hAnsi="Arial" w:cs="Arial"/>
          <w:color w:val="000000"/>
          <w:sz w:val="20"/>
          <w:szCs w:val="20"/>
        </w:rPr>
        <w:t>Generally, the functional currency of our subsidiaries is the U.S. dollar, exce</w:t>
      </w:r>
      <w:r>
        <w:rPr>
          <w:rFonts w:ascii="Arial" w:eastAsia="Times New Roman" w:hAnsi="Arial" w:cs="Arial"/>
          <w:color w:val="000000"/>
          <w:sz w:val="20"/>
          <w:szCs w:val="20"/>
        </w:rPr>
        <w:t>pt for certain foreign subsidiaries which utilize their respective local currency as their functional currency. Monetary assets and liabilities denominated in a currency that is different from the functional currency are remeasured from the applicable curr</w:t>
      </w:r>
      <w:r>
        <w:rPr>
          <w:rFonts w:ascii="Arial" w:eastAsia="Times New Roman" w:hAnsi="Arial" w:cs="Arial"/>
          <w:color w:val="000000"/>
          <w:sz w:val="20"/>
          <w:szCs w:val="20"/>
        </w:rPr>
        <w:t>ency to the functional currency using month-end exchange rates. Foreign currency transaction gains and losses are included in other income (expense), net, in the accompanying Consolidated Statements of Income and Comprehensive Income in the period incurred</w:t>
      </w:r>
      <w:r>
        <w:rPr>
          <w:rFonts w:ascii="Arial" w:eastAsia="Times New Roman" w:hAnsi="Arial" w:cs="Arial"/>
          <w:color w:val="000000"/>
          <w:sz w:val="20"/>
          <w:szCs w:val="20"/>
        </w:rPr>
        <w:t xml:space="preserve">. </w:t>
      </w:r>
    </w:p>
    <w:p w:rsidR="00000000" w:rsidRDefault="002223F7">
      <w:pPr>
        <w:jc w:val="both"/>
        <w:divId w:val="1344085126"/>
        <w:rPr>
          <w:rFonts w:eastAsia="Times New Roman"/>
        </w:rPr>
      </w:pPr>
      <w:r>
        <w:rPr>
          <w:rFonts w:ascii="Arial" w:eastAsia="Times New Roman" w:hAnsi="Arial" w:cs="Arial"/>
          <w:color w:val="000000"/>
          <w:sz w:val="20"/>
          <w:szCs w:val="20"/>
        </w:rPr>
        <w:t>Revenues and expenses of the subsidiaries that have a functional currency other than the U.S. dollar have been translated into U.S. dollars at average exchange rates prevailing during the period. The assets and liabilities of these subsidiaries have bee</w:t>
      </w:r>
      <w:r>
        <w:rPr>
          <w:rFonts w:ascii="Arial" w:eastAsia="Times New Roman" w:hAnsi="Arial" w:cs="Arial"/>
          <w:color w:val="000000"/>
          <w:sz w:val="20"/>
          <w:szCs w:val="20"/>
        </w:rPr>
        <w:t>n translated at the rates of exchange on the balance sheet dates. The resulting translation gain and loss adjustments are recorded in Accumulated Other Comprehensive Income as a separate component of Shareholders’ Equity.</w:t>
      </w:r>
    </w:p>
    <w:p w:rsidR="00000000" w:rsidRDefault="002223F7">
      <w:pPr>
        <w:divId w:val="1144467506"/>
        <w:rPr>
          <w:rFonts w:eastAsia="Times New Roman"/>
        </w:rPr>
      </w:pPr>
      <w:r>
        <w:rPr>
          <w:rFonts w:ascii="Arial" w:eastAsia="Times New Roman" w:hAnsi="Arial" w:cs="Arial"/>
          <w:b/>
          <w:bCs/>
          <w:color w:val="000000"/>
          <w:sz w:val="20"/>
          <w:szCs w:val="20"/>
        </w:rPr>
        <w:t>Q. Income Taxes</w:t>
      </w:r>
    </w:p>
    <w:p w:rsidR="00000000" w:rsidRDefault="002223F7">
      <w:pPr>
        <w:jc w:val="both"/>
        <w:divId w:val="249584951"/>
        <w:rPr>
          <w:rFonts w:eastAsia="Times New Roman"/>
        </w:rPr>
      </w:pPr>
      <w:r>
        <w:rPr>
          <w:rFonts w:ascii="Arial" w:eastAsia="Times New Roman" w:hAnsi="Arial" w:cs="Arial"/>
          <w:color w:val="000000"/>
          <w:sz w:val="20"/>
          <w:szCs w:val="20"/>
        </w:rPr>
        <w:t>Income taxes are a</w:t>
      </w:r>
      <w:r>
        <w:rPr>
          <w:rFonts w:ascii="Arial" w:eastAsia="Times New Roman" w:hAnsi="Arial" w:cs="Arial"/>
          <w:color w:val="000000"/>
          <w:sz w:val="20"/>
          <w:szCs w:val="20"/>
        </w:rPr>
        <w:t>ccounted for under the asset and liability method. Under this method, deferred tax assets and liabilities are recognized for the future tax consequences attributable to differences between the financial statement carrying amounts of existing assets and lia</w:t>
      </w:r>
      <w:r>
        <w:rPr>
          <w:rFonts w:ascii="Arial" w:eastAsia="Times New Roman" w:hAnsi="Arial" w:cs="Arial"/>
          <w:color w:val="000000"/>
          <w:sz w:val="20"/>
          <w:szCs w:val="20"/>
        </w:rPr>
        <w:t>bilities and their respective tax bases, and operating loss and income tax credit carryforwards. Deferred tax assets and liabilities are measured using enacted income tax rates expected to apply to taxable income in the years in which those temporary diffe</w:t>
      </w:r>
      <w:r>
        <w:rPr>
          <w:rFonts w:ascii="Arial" w:eastAsia="Times New Roman" w:hAnsi="Arial" w:cs="Arial"/>
          <w:color w:val="000000"/>
          <w:sz w:val="20"/>
          <w:szCs w:val="20"/>
        </w:rPr>
        <w:t>rences are expected to be recovered or settled. The effect on deferred tax assets and liabilities of a change in income tax rates is recorded as a component of the income tax provision in the period that includes the enactment date.</w:t>
      </w:r>
    </w:p>
    <w:p w:rsidR="00000000" w:rsidRDefault="002223F7">
      <w:pPr>
        <w:jc w:val="both"/>
        <w:divId w:val="452136100"/>
        <w:rPr>
          <w:rFonts w:eastAsia="Times New Roman"/>
        </w:rPr>
      </w:pPr>
      <w:r>
        <w:rPr>
          <w:rFonts w:ascii="Arial" w:eastAsia="Times New Roman" w:hAnsi="Arial" w:cs="Arial"/>
          <w:color w:val="000000"/>
          <w:sz w:val="20"/>
          <w:szCs w:val="20"/>
        </w:rPr>
        <w:t>Regular assessments are</w:t>
      </w:r>
      <w:r>
        <w:rPr>
          <w:rFonts w:ascii="Arial" w:eastAsia="Times New Roman" w:hAnsi="Arial" w:cs="Arial"/>
          <w:color w:val="000000"/>
          <w:sz w:val="20"/>
          <w:szCs w:val="20"/>
        </w:rPr>
        <w:t xml:space="preserve"> made on the likelihood that our deferred tax assets will be recovered from our future taxable income. Our evaluation is based on estimates, assumptions, and includes an analysis of available positive and negative evidence, giving weight based on the evide</w:t>
      </w:r>
      <w:r>
        <w:rPr>
          <w:rFonts w:ascii="Arial" w:eastAsia="Times New Roman" w:hAnsi="Arial" w:cs="Arial"/>
          <w:color w:val="000000"/>
          <w:sz w:val="20"/>
          <w:szCs w:val="20"/>
        </w:rPr>
        <w:t>nce’s relative objectivity. Sources of positive evidence include estimates of future taxable income, future reversal of existing taxable temporary differences, taxable income in carryback years, and available tax planning strategies. Sources of negative ev</w:t>
      </w:r>
      <w:r>
        <w:rPr>
          <w:rFonts w:ascii="Arial" w:eastAsia="Times New Roman" w:hAnsi="Arial" w:cs="Arial"/>
          <w:color w:val="000000"/>
          <w:sz w:val="20"/>
          <w:szCs w:val="20"/>
        </w:rPr>
        <w:t>idence include current and cumulative losses in recent years, losses expected in early future years, any history of operating losses or tax credit carryforwards expiring unused, and unsettled circumstances that, if unfavorably resolved, would adversely aff</w:t>
      </w:r>
      <w:r>
        <w:rPr>
          <w:rFonts w:ascii="Arial" w:eastAsia="Times New Roman" w:hAnsi="Arial" w:cs="Arial"/>
          <w:color w:val="000000"/>
          <w:sz w:val="20"/>
          <w:szCs w:val="20"/>
        </w:rPr>
        <w:t>ect future profit levels.</w:t>
      </w:r>
    </w:p>
    <w:p w:rsidR="00000000" w:rsidRDefault="002223F7">
      <w:pPr>
        <w:jc w:val="both"/>
        <w:divId w:val="183790863"/>
        <w:rPr>
          <w:rFonts w:eastAsia="Times New Roman"/>
        </w:rPr>
      </w:pPr>
      <w:r>
        <w:rPr>
          <w:rFonts w:ascii="Arial" w:eastAsia="Times New Roman" w:hAnsi="Arial" w:cs="Arial"/>
          <w:color w:val="000000"/>
          <w:sz w:val="20"/>
          <w:szCs w:val="20"/>
        </w:rPr>
        <w:t>The remaining carrying value of our deferred tax assets, after recording the valuation allowance on our deferred tax assets, is based on our present belief that it is more likely than not that we will be able to generate sufficien</w:t>
      </w:r>
      <w:r>
        <w:rPr>
          <w:rFonts w:ascii="Arial" w:eastAsia="Times New Roman" w:hAnsi="Arial" w:cs="Arial"/>
          <w:color w:val="000000"/>
          <w:sz w:val="20"/>
          <w:szCs w:val="20"/>
        </w:rPr>
        <w:t>t future taxable income in certain tax jurisdictions to utilize such deferred tax assets. The amount of the remaining deferred tax assets considered recoverable could be adjusted if our estimates of future taxable income during the carryforward period chan</w:t>
      </w:r>
      <w:r>
        <w:rPr>
          <w:rFonts w:ascii="Arial" w:eastAsia="Times New Roman" w:hAnsi="Arial" w:cs="Arial"/>
          <w:color w:val="000000"/>
          <w:sz w:val="20"/>
          <w:szCs w:val="20"/>
        </w:rPr>
        <w:t>ge favorably or unfavorably. To the extent we believe that it is more likely than not that some or all of the remaining deferred tax assets will not be realized, we must establish a valuation allowance against those deferred tax assets, resulting in additi</w:t>
      </w:r>
      <w:r>
        <w:rPr>
          <w:rFonts w:ascii="Arial" w:eastAsia="Times New Roman" w:hAnsi="Arial" w:cs="Arial"/>
          <w:color w:val="000000"/>
          <w:sz w:val="20"/>
          <w:szCs w:val="20"/>
        </w:rPr>
        <w:t>onal income tax expense in the period such determination is made. To the extent a valuation allowance currently exists, we will continue to monitor all positive and negative evidence until we believe it is more likely than not that it is no longer necessar</w:t>
      </w:r>
      <w:r>
        <w:rPr>
          <w:rFonts w:ascii="Arial" w:eastAsia="Times New Roman" w:hAnsi="Arial" w:cs="Arial"/>
          <w:color w:val="000000"/>
          <w:sz w:val="20"/>
          <w:szCs w:val="20"/>
        </w:rPr>
        <w:t>y, resulting in an income tax benefit in the period such determination is made.</w:t>
      </w:r>
    </w:p>
    <w:p w:rsidR="00000000" w:rsidRDefault="002223F7">
      <w:pPr>
        <w:jc w:val="center"/>
        <w:divId w:val="317343640"/>
        <w:rPr>
          <w:rFonts w:eastAsia="Times New Roman"/>
        </w:rPr>
      </w:pPr>
      <w:r>
        <w:rPr>
          <w:rFonts w:ascii="Arial" w:eastAsia="Times New Roman" w:hAnsi="Arial" w:cs="Arial"/>
          <w:color w:val="000000"/>
          <w:sz w:val="16"/>
          <w:szCs w:val="16"/>
        </w:rPr>
        <w:t>53</w:t>
      </w:r>
    </w:p>
    <w:p w:rsidR="00000000" w:rsidRDefault="002223F7">
      <w:pPr>
        <w:rPr>
          <w:rFonts w:eastAsia="Times New Roman"/>
        </w:rPr>
      </w:pPr>
      <w:r>
        <w:rPr>
          <w:rFonts w:eastAsia="Times New Roman"/>
        </w:rPr>
        <w:pict>
          <v:rect id="_x0000_i1084" style="width:0;height:1.5pt" o:hralign="center" o:hrstd="t" o:hr="t" fillcolor="#a0a0a0" stroked="f"/>
        </w:pict>
      </w:r>
    </w:p>
    <w:p w:rsidR="00000000" w:rsidRDefault="002223F7">
      <w:pPr>
        <w:jc w:val="both"/>
        <w:divId w:val="1783963255"/>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1661538423"/>
        <w:rPr>
          <w:rFonts w:eastAsia="Times New Roman"/>
        </w:rPr>
      </w:pPr>
      <w:r>
        <w:rPr>
          <w:rFonts w:ascii="Arial" w:eastAsia="Times New Roman" w:hAnsi="Arial" w:cs="Arial"/>
          <w:color w:val="000000"/>
          <w:sz w:val="20"/>
          <w:szCs w:val="20"/>
        </w:rPr>
        <w:t>Significant judgment is required in evaluating our tax positions, and in determining o</w:t>
      </w:r>
      <w:r>
        <w:rPr>
          <w:rFonts w:ascii="Arial" w:eastAsia="Times New Roman" w:hAnsi="Arial" w:cs="Arial"/>
          <w:color w:val="000000"/>
          <w:sz w:val="20"/>
          <w:szCs w:val="20"/>
        </w:rPr>
        <w:t>ur provisions for income taxes, our deferred tax assets and liabilities and any valuation allowance recorded against our net deferred tax assets. We establish reserves when, despite our belief that the income tax return positions are fully supportable, cer</w:t>
      </w:r>
      <w:r>
        <w:rPr>
          <w:rFonts w:ascii="Arial" w:eastAsia="Times New Roman" w:hAnsi="Arial" w:cs="Arial"/>
          <w:color w:val="000000"/>
          <w:sz w:val="20"/>
          <w:szCs w:val="20"/>
        </w:rPr>
        <w:t>tain positions are likely to be challenged and we may ultimately not prevail in defending those positions.</w:t>
      </w:r>
    </w:p>
    <w:p w:rsidR="00000000" w:rsidRDefault="002223F7">
      <w:pPr>
        <w:divId w:val="664743438"/>
        <w:rPr>
          <w:rFonts w:eastAsia="Times New Roman"/>
        </w:rPr>
      </w:pPr>
      <w:r>
        <w:rPr>
          <w:rFonts w:ascii="Arial" w:eastAsia="Times New Roman" w:hAnsi="Arial" w:cs="Arial"/>
          <w:b/>
          <w:bCs/>
          <w:color w:val="000000"/>
          <w:sz w:val="20"/>
          <w:szCs w:val="20"/>
        </w:rPr>
        <w:t>R. Earnings per Common Share</w:t>
      </w:r>
    </w:p>
    <w:p w:rsidR="00000000" w:rsidRDefault="002223F7">
      <w:pPr>
        <w:jc w:val="both"/>
        <w:divId w:val="1562211538"/>
        <w:rPr>
          <w:rFonts w:eastAsia="Times New Roman"/>
        </w:rPr>
      </w:pPr>
      <w:r>
        <w:rPr>
          <w:rFonts w:ascii="Arial" w:eastAsia="Times New Roman" w:hAnsi="Arial" w:cs="Arial"/>
          <w:color w:val="000000"/>
          <w:sz w:val="20"/>
          <w:szCs w:val="20"/>
        </w:rPr>
        <w:t>Basic earnings per common share is computed by dividing net income attributable to World Fuel and available to common sh</w:t>
      </w:r>
      <w:r>
        <w:rPr>
          <w:rFonts w:ascii="Arial" w:eastAsia="Times New Roman" w:hAnsi="Arial" w:cs="Arial"/>
          <w:color w:val="000000"/>
          <w:sz w:val="20"/>
          <w:szCs w:val="20"/>
        </w:rPr>
        <w:t xml:space="preserve">areholders by the weighted average number of shares of common stock outstanding for the period. Diluted earnings per common share is computed by dividing net income attributable to World Fuel and available to common shareholders by the sum of the weighted </w:t>
      </w:r>
      <w:r>
        <w:rPr>
          <w:rFonts w:ascii="Arial" w:eastAsia="Times New Roman" w:hAnsi="Arial" w:cs="Arial"/>
          <w:color w:val="000000"/>
          <w:sz w:val="20"/>
          <w:szCs w:val="20"/>
        </w:rPr>
        <w:t>average number of shares of common stock outstanding for the period and the number of additional shares of common stock that would have been outstanding if our outstanding potentially dilutive securities had been issued. Potentially dilutive securities inc</w:t>
      </w:r>
      <w:r>
        <w:rPr>
          <w:rFonts w:ascii="Arial" w:eastAsia="Times New Roman" w:hAnsi="Arial" w:cs="Arial"/>
          <w:color w:val="000000"/>
          <w:sz w:val="20"/>
          <w:szCs w:val="20"/>
        </w:rPr>
        <w:t>lude awards of restricted stock subject to forfeitable dividends, non-vested restricted stock units ("RSUs"), performance stock units where the performance requirements have been met, and settled stock appreciation rights awards ("SSARs"). The dilutive eff</w:t>
      </w:r>
      <w:r>
        <w:rPr>
          <w:rFonts w:ascii="Arial" w:eastAsia="Times New Roman" w:hAnsi="Arial" w:cs="Arial"/>
          <w:color w:val="000000"/>
          <w:sz w:val="20"/>
          <w:szCs w:val="20"/>
        </w:rPr>
        <w:t>ect of potentially dilutive securities is reflected in diluted earnings per common share by application of the treasury stock method, except if its impact is anti-dilutive. Under the treasury stock method, an increase in the fair market value of our common</w:t>
      </w:r>
      <w:r>
        <w:rPr>
          <w:rFonts w:ascii="Arial" w:eastAsia="Times New Roman" w:hAnsi="Arial" w:cs="Arial"/>
          <w:color w:val="000000"/>
          <w:sz w:val="20"/>
          <w:szCs w:val="20"/>
        </w:rPr>
        <w:t xml:space="preserve"> stock can result in a greater dilutive effect from potentially dilutive securities.</w:t>
      </w:r>
    </w:p>
    <w:p w:rsidR="00000000" w:rsidRDefault="002223F7">
      <w:pPr>
        <w:divId w:val="961349853"/>
        <w:rPr>
          <w:rFonts w:eastAsia="Times New Roman"/>
        </w:rPr>
      </w:pPr>
      <w:r>
        <w:rPr>
          <w:rFonts w:ascii="Arial" w:eastAsia="Times New Roman" w:hAnsi="Arial" w:cs="Arial"/>
          <w:b/>
          <w:bCs/>
          <w:color w:val="000000"/>
          <w:sz w:val="20"/>
          <w:szCs w:val="20"/>
        </w:rPr>
        <w:t>S. Leases</w:t>
      </w:r>
    </w:p>
    <w:p w:rsidR="00000000" w:rsidRDefault="002223F7">
      <w:pPr>
        <w:jc w:val="both"/>
        <w:divId w:val="112789511"/>
        <w:rPr>
          <w:rFonts w:eastAsia="Times New Roman"/>
        </w:rPr>
      </w:pPr>
      <w:r>
        <w:rPr>
          <w:rFonts w:ascii="Arial" w:eastAsia="Times New Roman" w:hAnsi="Arial" w:cs="Arial"/>
          <w:color w:val="000000"/>
          <w:sz w:val="20"/>
          <w:szCs w:val="20"/>
        </w:rPr>
        <w:t>We determine if an arrangement is a lease at contract inception. Determining whether a contract contains a lease includes judgment regarding whether the contract</w:t>
      </w:r>
      <w:r>
        <w:rPr>
          <w:rFonts w:ascii="Arial" w:eastAsia="Times New Roman" w:hAnsi="Arial" w:cs="Arial"/>
          <w:color w:val="000000"/>
          <w:sz w:val="20"/>
          <w:szCs w:val="20"/>
        </w:rPr>
        <w:t xml:space="preserve"> conveys the right to control the use of identified property or equipment for a period of time in exchange for consideration. </w:t>
      </w:r>
    </w:p>
    <w:p w:rsidR="00000000" w:rsidRDefault="002223F7">
      <w:pPr>
        <w:jc w:val="both"/>
        <w:divId w:val="219369643"/>
        <w:rPr>
          <w:rFonts w:eastAsia="Times New Roman"/>
        </w:rPr>
      </w:pPr>
      <w:r>
        <w:rPr>
          <w:rFonts w:ascii="Arial" w:eastAsia="Times New Roman" w:hAnsi="Arial" w:cs="Arial"/>
          <w:color w:val="000000"/>
          <w:sz w:val="20"/>
          <w:szCs w:val="20"/>
        </w:rPr>
        <w:t>As a lessee, we account for our lease-related assets and liabilities based on their classification as operating leases or finance</w:t>
      </w:r>
      <w:r>
        <w:rPr>
          <w:rFonts w:ascii="Arial" w:eastAsia="Times New Roman" w:hAnsi="Arial" w:cs="Arial"/>
          <w:color w:val="000000"/>
          <w:sz w:val="20"/>
          <w:szCs w:val="20"/>
        </w:rPr>
        <w:t xml:space="preserve"> leases, following the relevant accounting guidance. We have elected an accounting policy to combine non-lease components with the related-lease components and treat the combined items as a lease for accounting purposes. We measure lease related assets and</w:t>
      </w:r>
      <w:r>
        <w:rPr>
          <w:rFonts w:ascii="Arial" w:eastAsia="Times New Roman" w:hAnsi="Arial" w:cs="Arial"/>
          <w:color w:val="000000"/>
          <w:sz w:val="20"/>
          <w:szCs w:val="20"/>
        </w:rPr>
        <w:t xml:space="preserve"> liabilities based on the present value of lease payments, including in-substance fixed payments, variable payments that depend on an index or rate measured at the commencement date, and the amount we believe is probable we will pay the lessor under residu</w:t>
      </w:r>
      <w:r>
        <w:rPr>
          <w:rFonts w:ascii="Arial" w:eastAsia="Times New Roman" w:hAnsi="Arial" w:cs="Arial"/>
          <w:color w:val="000000"/>
          <w:sz w:val="20"/>
          <w:szCs w:val="20"/>
        </w:rPr>
        <w:t>al value guarantees when applicable. We discount lease payments based on our estimated incremental borrowing rate at lease commencement (or modification), which is primarily based on our estimated credit rating, the lease term at commencement, and the cont</w:t>
      </w:r>
      <w:r>
        <w:rPr>
          <w:rFonts w:ascii="Arial" w:eastAsia="Times New Roman" w:hAnsi="Arial" w:cs="Arial"/>
          <w:color w:val="000000"/>
          <w:sz w:val="20"/>
          <w:szCs w:val="20"/>
        </w:rPr>
        <w:t>ract currency of the lease arrangement. We have elected to exclude short term leases (leases with an original lease term less than one year) from the measurement of lease-related assets and liabilities.</w:t>
      </w:r>
    </w:p>
    <w:p w:rsidR="00000000" w:rsidRDefault="002223F7">
      <w:pPr>
        <w:jc w:val="both"/>
        <w:divId w:val="1517233438"/>
        <w:rPr>
          <w:rFonts w:eastAsia="Times New Roman"/>
        </w:rPr>
      </w:pPr>
      <w:r>
        <w:rPr>
          <w:rFonts w:ascii="Arial" w:eastAsia="Times New Roman" w:hAnsi="Arial" w:cs="Arial"/>
          <w:color w:val="000000"/>
          <w:sz w:val="20"/>
          <w:szCs w:val="20"/>
        </w:rPr>
        <w:t>We assess right-of-use assets for impairment at the asset group level whenever events or changes in circumstances indicate that the carrying amount of an asset may not be recoverable.</w:t>
      </w:r>
    </w:p>
    <w:p w:rsidR="00000000" w:rsidRDefault="002223F7">
      <w:pPr>
        <w:divId w:val="2077774017"/>
        <w:rPr>
          <w:rFonts w:eastAsia="Times New Roman"/>
        </w:rPr>
      </w:pPr>
      <w:r>
        <w:rPr>
          <w:rFonts w:ascii="Arial" w:eastAsia="Times New Roman" w:hAnsi="Arial" w:cs="Arial"/>
          <w:b/>
          <w:bCs/>
          <w:color w:val="000000"/>
          <w:sz w:val="20"/>
          <w:szCs w:val="20"/>
        </w:rPr>
        <w:t>T. Loss Contingencies</w:t>
      </w:r>
    </w:p>
    <w:p w:rsidR="00000000" w:rsidRDefault="002223F7">
      <w:pPr>
        <w:jc w:val="both"/>
        <w:divId w:val="293102829"/>
        <w:rPr>
          <w:rFonts w:eastAsia="Times New Roman"/>
        </w:rPr>
      </w:pPr>
      <w:r>
        <w:rPr>
          <w:rFonts w:ascii="Arial" w:eastAsia="Times New Roman" w:hAnsi="Arial" w:cs="Arial"/>
          <w:color w:val="000000"/>
          <w:sz w:val="20"/>
          <w:szCs w:val="20"/>
        </w:rPr>
        <w:t>In determining whether an accrual for a loss conti</w:t>
      </w:r>
      <w:r>
        <w:rPr>
          <w:rFonts w:ascii="Arial" w:eastAsia="Times New Roman" w:hAnsi="Arial" w:cs="Arial"/>
          <w:color w:val="000000"/>
          <w:sz w:val="20"/>
          <w:szCs w:val="20"/>
        </w:rPr>
        <w:t xml:space="preserve">ngency is required, we first assess the likelihood of occurrence of the future event or events that will confirm the loss. When a loss is probable (the future event or events are likely to occur) and the amount of the loss can be reasonably estimated, the </w:t>
      </w:r>
      <w:r>
        <w:rPr>
          <w:rFonts w:ascii="Arial" w:eastAsia="Times New Roman" w:hAnsi="Arial" w:cs="Arial"/>
          <w:color w:val="000000"/>
          <w:sz w:val="20"/>
          <w:szCs w:val="20"/>
        </w:rPr>
        <w:t>estimated loss is accrued. If the reasonable estimate of the loss is a range and an amount within the range appears to be a better estimate than any other amount within the range, that amount is accrued. However, if no amount within the range is a better e</w:t>
      </w:r>
      <w:r>
        <w:rPr>
          <w:rFonts w:ascii="Arial" w:eastAsia="Times New Roman" w:hAnsi="Arial" w:cs="Arial"/>
          <w:color w:val="000000"/>
          <w:sz w:val="20"/>
          <w:szCs w:val="20"/>
        </w:rPr>
        <w:t>stimate, the minimum amount in the range should be accrued.</w:t>
      </w:r>
    </w:p>
    <w:p w:rsidR="00000000" w:rsidRDefault="002223F7">
      <w:pPr>
        <w:jc w:val="both"/>
        <w:divId w:val="1846047601"/>
        <w:rPr>
          <w:rFonts w:eastAsia="Times New Roman"/>
        </w:rPr>
      </w:pPr>
      <w:r>
        <w:rPr>
          <w:rFonts w:ascii="Arial" w:eastAsia="Times New Roman" w:hAnsi="Arial" w:cs="Arial"/>
          <w:color w:val="000000"/>
          <w:sz w:val="20"/>
          <w:szCs w:val="20"/>
        </w:rPr>
        <w:t>When a loss is reasonably possible (the chance of the future event or events occurring is more than remote but less than likely), no accrual is recognized.</w:t>
      </w:r>
    </w:p>
    <w:p w:rsidR="00000000" w:rsidRDefault="002223F7">
      <w:pPr>
        <w:jc w:val="both"/>
        <w:divId w:val="1701930554"/>
        <w:rPr>
          <w:rFonts w:eastAsia="Times New Roman"/>
        </w:rPr>
      </w:pPr>
      <w:r>
        <w:rPr>
          <w:rFonts w:ascii="Arial" w:eastAsia="Times New Roman" w:hAnsi="Arial" w:cs="Arial"/>
          <w:b/>
          <w:bCs/>
          <w:color w:val="000000"/>
          <w:sz w:val="20"/>
          <w:szCs w:val="20"/>
        </w:rPr>
        <w:t>2. Accounts Receivable</w:t>
      </w:r>
    </w:p>
    <w:p w:rsidR="00000000" w:rsidRDefault="002223F7">
      <w:pPr>
        <w:divId w:val="1457480097"/>
        <w:rPr>
          <w:rFonts w:eastAsia="Times New Roman"/>
        </w:rPr>
      </w:pPr>
      <w:r>
        <w:rPr>
          <w:rFonts w:ascii="Arial" w:eastAsia="Times New Roman" w:hAnsi="Arial" w:cs="Arial"/>
          <w:b/>
          <w:bCs/>
          <w:color w:val="000000"/>
          <w:sz w:val="20"/>
          <w:szCs w:val="20"/>
        </w:rPr>
        <w:t>Accounts receivab</w:t>
      </w:r>
      <w:r>
        <w:rPr>
          <w:rFonts w:ascii="Arial" w:eastAsia="Times New Roman" w:hAnsi="Arial" w:cs="Arial"/>
          <w:b/>
          <w:bCs/>
          <w:color w:val="000000"/>
          <w:sz w:val="20"/>
          <w:szCs w:val="20"/>
        </w:rPr>
        <w:t>le and allowance for credit losses</w:t>
      </w:r>
    </w:p>
    <w:p w:rsidR="00000000" w:rsidRDefault="002223F7">
      <w:pPr>
        <w:jc w:val="both"/>
        <w:divId w:val="1980916193"/>
        <w:rPr>
          <w:rFonts w:eastAsia="Times New Roman"/>
        </w:rPr>
      </w:pPr>
      <w:r>
        <w:rPr>
          <w:rFonts w:ascii="Arial" w:eastAsia="Times New Roman" w:hAnsi="Arial" w:cs="Arial"/>
          <w:color w:val="000000"/>
          <w:sz w:val="20"/>
          <w:szCs w:val="20"/>
        </w:rPr>
        <w:t>When we extend credit on an unsecured basis, our exposure to credit losses depends on the financial condition of our customers and macroeconomic factors beyond our control, such as global economic conditions or adverse im</w:t>
      </w:r>
      <w:r>
        <w:rPr>
          <w:rFonts w:ascii="Arial" w:eastAsia="Times New Roman" w:hAnsi="Arial" w:cs="Arial"/>
          <w:color w:val="000000"/>
          <w:sz w:val="20"/>
          <w:szCs w:val="20"/>
        </w:rPr>
        <w:t>pacts in the industries we serve, changes in oil prices and political instability.</w:t>
      </w:r>
    </w:p>
    <w:p w:rsidR="00000000" w:rsidRDefault="002223F7">
      <w:pPr>
        <w:jc w:val="both"/>
        <w:divId w:val="505825604"/>
        <w:rPr>
          <w:rFonts w:eastAsia="Times New Roman"/>
        </w:rPr>
      </w:pPr>
      <w:r>
        <w:rPr>
          <w:rFonts w:ascii="Arial" w:eastAsia="Times New Roman" w:hAnsi="Arial" w:cs="Arial"/>
          <w:color w:val="000000"/>
          <w:sz w:val="20"/>
          <w:szCs w:val="20"/>
        </w:rPr>
        <w:t>We actively monitor and manage our credit exposure and work to respond to both changes in our customers' financial conditions or macroeconomic events. Based on the ongoing c</w:t>
      </w:r>
      <w:r>
        <w:rPr>
          <w:rFonts w:ascii="Arial" w:eastAsia="Times New Roman" w:hAnsi="Arial" w:cs="Arial"/>
          <w:color w:val="000000"/>
          <w:sz w:val="20"/>
          <w:szCs w:val="20"/>
        </w:rPr>
        <w:t>redit evaluations of our customers, we adjust credit limits based upon payment history and our customers' current creditworthiness. However, because we extend credit on an unsecured basis to most of our customers, there is a possibility that any accounts r</w:t>
      </w:r>
      <w:r>
        <w:rPr>
          <w:rFonts w:ascii="Arial" w:eastAsia="Times New Roman" w:hAnsi="Arial" w:cs="Arial"/>
          <w:color w:val="000000"/>
          <w:sz w:val="20"/>
          <w:szCs w:val="20"/>
        </w:rPr>
        <w:t>eceivable not collected may ultimately need to be written off.</w:t>
      </w:r>
    </w:p>
    <w:p w:rsidR="00000000" w:rsidRDefault="002223F7">
      <w:pPr>
        <w:jc w:val="center"/>
        <w:divId w:val="1255556900"/>
        <w:rPr>
          <w:rFonts w:eastAsia="Times New Roman"/>
        </w:rPr>
      </w:pPr>
      <w:r>
        <w:rPr>
          <w:rFonts w:ascii="Arial" w:eastAsia="Times New Roman" w:hAnsi="Arial" w:cs="Arial"/>
          <w:color w:val="000000"/>
          <w:sz w:val="16"/>
          <w:szCs w:val="16"/>
        </w:rPr>
        <w:t>54</w:t>
      </w:r>
    </w:p>
    <w:p w:rsidR="00000000" w:rsidRDefault="002223F7">
      <w:pPr>
        <w:rPr>
          <w:rFonts w:eastAsia="Times New Roman"/>
        </w:rPr>
      </w:pPr>
      <w:r>
        <w:rPr>
          <w:rFonts w:eastAsia="Times New Roman"/>
        </w:rPr>
        <w:pict>
          <v:rect id="_x0000_i1085" style="width:0;height:1.5pt" o:hralign="center" o:hrstd="t" o:hr="t" fillcolor="#a0a0a0" stroked="f"/>
        </w:pict>
      </w:r>
    </w:p>
    <w:p w:rsidR="00000000" w:rsidRDefault="002223F7">
      <w:pPr>
        <w:jc w:val="both"/>
        <w:divId w:val="1258515497"/>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1844975486"/>
        <w:rPr>
          <w:rFonts w:eastAsia="Times New Roman"/>
        </w:rPr>
      </w:pPr>
      <w:r>
        <w:rPr>
          <w:rFonts w:ascii="Arial" w:eastAsia="Times New Roman" w:hAnsi="Arial" w:cs="Arial"/>
          <w:color w:val="000000"/>
          <w:sz w:val="20"/>
          <w:szCs w:val="20"/>
        </w:rPr>
        <w:t>We had accounts receivable, net of $3.3 billion and $2.4 billion and an allowance for expected credit losses, primarily related to accounts receivable, of $17.3 million and $29.8 million, a</w:t>
      </w:r>
      <w:r>
        <w:rPr>
          <w:rFonts w:ascii="Arial" w:eastAsia="Times New Roman" w:hAnsi="Arial" w:cs="Arial"/>
          <w:color w:val="000000"/>
          <w:sz w:val="20"/>
          <w:szCs w:val="20"/>
        </w:rPr>
        <w:t>s of December 31, 2022 and 2021, respectively. Changes to the expected credit loss provision during the year ended December 31, 2022 include global economic outlook considerations as a result of the Company's assessment of reasonable and supportable forwar</w:t>
      </w:r>
      <w:r>
        <w:rPr>
          <w:rFonts w:ascii="Arial" w:eastAsia="Times New Roman" w:hAnsi="Arial" w:cs="Arial"/>
          <w:color w:val="000000"/>
          <w:sz w:val="20"/>
          <w:szCs w:val="20"/>
        </w:rPr>
        <w:t>d-looking information. Write-offs of uncollectible receivables during the year ended December 31, 2022 resulted principally from pre-existing financial difficulties experienced by certain customers. Based on an aging analysis as of December 31, 2022, 96% o</w:t>
      </w:r>
      <w:r>
        <w:rPr>
          <w:rFonts w:ascii="Arial" w:eastAsia="Times New Roman" w:hAnsi="Arial" w:cs="Arial"/>
          <w:color w:val="000000"/>
          <w:sz w:val="20"/>
          <w:szCs w:val="20"/>
        </w:rPr>
        <w:t>f our accounts receivable were outstanding less than 60 days.</w:t>
      </w:r>
    </w:p>
    <w:p w:rsidR="00000000" w:rsidRDefault="002223F7">
      <w:pPr>
        <w:jc w:val="both"/>
        <w:divId w:val="1194271851"/>
        <w:rPr>
          <w:rFonts w:eastAsia="Times New Roman"/>
        </w:rPr>
      </w:pPr>
      <w:r>
        <w:rPr>
          <w:rFonts w:ascii="Arial" w:eastAsia="Times New Roman" w:hAnsi="Arial" w:cs="Arial"/>
          <w:color w:val="000000"/>
          <w:sz w:val="20"/>
          <w:szCs w:val="20"/>
        </w:rPr>
        <w:t>The following table sets forth activities in our allowance for expected credit losses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598"/>
        <w:gridCol w:w="38"/>
        <w:gridCol w:w="132"/>
        <w:gridCol w:w="984"/>
        <w:gridCol w:w="36"/>
        <w:gridCol w:w="36"/>
        <w:gridCol w:w="36"/>
        <w:gridCol w:w="36"/>
        <w:gridCol w:w="132"/>
        <w:gridCol w:w="963"/>
        <w:gridCol w:w="36"/>
        <w:gridCol w:w="36"/>
        <w:gridCol w:w="36"/>
        <w:gridCol w:w="36"/>
        <w:gridCol w:w="132"/>
        <w:gridCol w:w="964"/>
        <w:gridCol w:w="36"/>
      </w:tblGrid>
      <w:tr w:rsidR="00000000">
        <w:trPr>
          <w:divId w:val="2076657847"/>
        </w:trPr>
        <w:tc>
          <w:tcPr>
            <w:tcW w:w="50" w:type="pct"/>
            <w:vAlign w:val="center"/>
            <w:hideMark/>
          </w:tcPr>
          <w:p w:rsidR="00000000" w:rsidRDefault="002223F7">
            <w:pPr>
              <w:jc w:val="both"/>
              <w:rPr>
                <w:rFonts w:eastAsia="Times New Roman"/>
              </w:rPr>
            </w:pPr>
          </w:p>
        </w:tc>
        <w:tc>
          <w:tcPr>
            <w:tcW w:w="2803"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2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2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2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2076657847"/>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2020</w:t>
            </w:r>
          </w:p>
        </w:tc>
      </w:tr>
      <w:tr w:rsidR="00000000">
        <w:trPr>
          <w:divId w:val="207665784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divId w:val="967246210"/>
              <w:rPr>
                <w:rFonts w:eastAsia="Times New Roman"/>
              </w:rPr>
            </w:pPr>
            <w:r>
              <w:rPr>
                <w:rFonts w:ascii="Arial" w:eastAsia="Times New Roman" w:hAnsi="Arial" w:cs="Arial"/>
                <w:color w:val="000000"/>
                <w:sz w:val="20"/>
                <w:szCs w:val="20"/>
              </w:rPr>
              <w:t>Balance as of January 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07665784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Charges to allowance for credit losses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6.3 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63.7 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07665784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Write-off of uncollectible receivables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(22.3)</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(35.3)</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(53.7)</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07665784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Recoveries of credit losses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07665784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Translation adjustments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(0.3)</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07665784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December 31,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jc w:val="both"/>
        <w:divId w:val="1125267672"/>
        <w:rPr>
          <w:rFonts w:eastAsia="Times New Roman"/>
        </w:rPr>
      </w:pPr>
      <w:r>
        <w:rPr>
          <w:rFonts w:ascii="Arial" w:eastAsia="Times New Roman" w:hAnsi="Arial" w:cs="Arial"/>
          <w:b/>
          <w:bCs/>
          <w:color w:val="000000"/>
          <w:sz w:val="20"/>
          <w:szCs w:val="20"/>
        </w:rPr>
        <w:t>Receivable sale programs</w:t>
      </w:r>
    </w:p>
    <w:p w:rsidR="00000000" w:rsidRDefault="002223F7">
      <w:pPr>
        <w:jc w:val="both"/>
        <w:divId w:val="1221594876"/>
        <w:rPr>
          <w:rFonts w:eastAsia="Times New Roman"/>
        </w:rPr>
      </w:pPr>
      <w:r>
        <w:rPr>
          <w:rFonts w:ascii="Arial" w:eastAsia="Times New Roman" w:hAnsi="Arial" w:cs="Arial"/>
          <w:color w:val="000000"/>
          <w:sz w:val="20"/>
          <w:szCs w:val="20"/>
        </w:rPr>
        <w:t>We have receivable purchase agreements ("RPAs") that allow for the sale of our qualifying accounts receivable in exchange for cash consideration equal to the total balance, less a discount margin, depending on the outstanding accounts receivable at any giv</w:t>
      </w:r>
      <w:r>
        <w:rPr>
          <w:rFonts w:ascii="Arial" w:eastAsia="Times New Roman" w:hAnsi="Arial" w:cs="Arial"/>
          <w:color w:val="000000"/>
          <w:sz w:val="20"/>
          <w:szCs w:val="20"/>
        </w:rPr>
        <w:t>en time. During 2020 and 2021, we amended our RPAs to, among other things, extend the renewal option term through 2024 and increase the aggregate purchase limit as well as the individual customer limits.</w:t>
      </w:r>
    </w:p>
    <w:p w:rsidR="00000000" w:rsidRDefault="002223F7">
      <w:pPr>
        <w:jc w:val="both"/>
        <w:divId w:val="1730886534"/>
        <w:rPr>
          <w:rFonts w:eastAsia="Times New Roman"/>
        </w:rPr>
      </w:pPr>
      <w:r>
        <w:rPr>
          <w:rFonts w:ascii="Arial" w:eastAsia="Times New Roman" w:hAnsi="Arial" w:cs="Arial"/>
          <w:color w:val="000000"/>
          <w:sz w:val="20"/>
          <w:szCs w:val="20"/>
        </w:rPr>
        <w:t>Accounts receivable sold under the RPAs are accounte</w:t>
      </w:r>
      <w:r>
        <w:rPr>
          <w:rFonts w:ascii="Arial" w:eastAsia="Times New Roman" w:hAnsi="Arial" w:cs="Arial"/>
          <w:color w:val="000000"/>
          <w:sz w:val="20"/>
          <w:szCs w:val="20"/>
        </w:rPr>
        <w:t>d for as sales and excluded from Accounts receivable, net of allowance for credit losses on the accompanying Consolidated Balance Sheets. Fees paid under the RPAs are recorded within Interest expense and other financing costs, net on the Consolidated State</w:t>
      </w:r>
      <w:r>
        <w:rPr>
          <w:rFonts w:ascii="Arial" w:eastAsia="Times New Roman" w:hAnsi="Arial" w:cs="Arial"/>
          <w:color w:val="000000"/>
          <w:sz w:val="20"/>
          <w:szCs w:val="20"/>
        </w:rPr>
        <w:t>ments of Income and Comprehensive Income.</w:t>
      </w:r>
    </w:p>
    <w:p w:rsidR="00000000" w:rsidRDefault="002223F7">
      <w:pPr>
        <w:jc w:val="both"/>
        <w:divId w:val="214434598"/>
        <w:rPr>
          <w:rFonts w:eastAsia="Times New Roman"/>
        </w:rPr>
      </w:pPr>
      <w:r>
        <w:rPr>
          <w:rFonts w:ascii="Arial" w:eastAsia="Times New Roman" w:hAnsi="Arial" w:cs="Arial"/>
          <w:color w:val="000000"/>
          <w:sz w:val="20"/>
          <w:szCs w:val="20"/>
        </w:rPr>
        <w:t>During the years ended December 31, 2022, 2021, and 2020, we sold receivables under the RPAs with an aggregate face value of $13.1 billion, $9.2 billion, and $4.3 billion, respectively, and recognized fees of $44.5</w:t>
      </w:r>
      <w:r>
        <w:rPr>
          <w:rFonts w:ascii="Arial" w:eastAsia="Times New Roman" w:hAnsi="Arial" w:cs="Arial"/>
          <w:color w:val="000000"/>
          <w:sz w:val="20"/>
          <w:szCs w:val="20"/>
        </w:rPr>
        <w:t xml:space="preserve"> million, $20.2 million, and $11.8 million, respectively.</w:t>
      </w:r>
    </w:p>
    <w:p w:rsidR="00000000" w:rsidRDefault="002223F7">
      <w:pPr>
        <w:divId w:val="1312783379"/>
        <w:rPr>
          <w:rFonts w:eastAsia="Times New Roman"/>
        </w:rPr>
      </w:pPr>
      <w:r>
        <w:rPr>
          <w:rFonts w:ascii="Arial" w:eastAsia="Times New Roman" w:hAnsi="Arial" w:cs="Arial"/>
          <w:b/>
          <w:bCs/>
          <w:color w:val="000000"/>
          <w:sz w:val="20"/>
          <w:szCs w:val="20"/>
        </w:rPr>
        <w:t>3. Acquisitions and Divestitures</w:t>
      </w:r>
    </w:p>
    <w:p w:rsidR="00000000" w:rsidRDefault="002223F7">
      <w:pPr>
        <w:divId w:val="91248905"/>
        <w:rPr>
          <w:rFonts w:eastAsia="Times New Roman"/>
        </w:rPr>
      </w:pPr>
      <w:r>
        <w:rPr>
          <w:rFonts w:ascii="Arial" w:eastAsia="Times New Roman" w:hAnsi="Arial" w:cs="Arial"/>
          <w:b/>
          <w:bCs/>
          <w:color w:val="000000"/>
          <w:sz w:val="20"/>
          <w:szCs w:val="20"/>
        </w:rPr>
        <w:t>2022 Acquisitions</w:t>
      </w:r>
    </w:p>
    <w:p w:rsidR="00000000" w:rsidRDefault="002223F7">
      <w:pPr>
        <w:jc w:val="both"/>
        <w:divId w:val="1588735751"/>
        <w:rPr>
          <w:rFonts w:eastAsia="Times New Roman"/>
        </w:rPr>
      </w:pPr>
      <w:r>
        <w:rPr>
          <w:rFonts w:ascii="Arial" w:eastAsia="Times New Roman" w:hAnsi="Arial" w:cs="Arial"/>
          <w:color w:val="000000"/>
          <w:sz w:val="20"/>
          <w:szCs w:val="20"/>
        </w:rPr>
        <w:t xml:space="preserve">On October 28, 2021, we entered into a definitive agreement (the "Purchase Agreement") to acquire all of the outstanding equity interest in Flyers </w:t>
      </w:r>
      <w:r>
        <w:rPr>
          <w:rFonts w:ascii="Arial" w:eastAsia="Times New Roman" w:hAnsi="Arial" w:cs="Arial"/>
          <w:color w:val="000000"/>
          <w:sz w:val="20"/>
          <w:szCs w:val="20"/>
        </w:rPr>
        <w:t>Energy Group, LLC ("Flyers"). Flyers' operations include transportation, commercial fleet fueling, lubricants distribution, and the supply of wholesale, branded and renewable fuels.</w:t>
      </w:r>
    </w:p>
    <w:p w:rsidR="00000000" w:rsidRDefault="002223F7">
      <w:pPr>
        <w:jc w:val="both"/>
        <w:divId w:val="759722200"/>
        <w:rPr>
          <w:rFonts w:eastAsia="Times New Roman"/>
        </w:rPr>
      </w:pPr>
      <w:r>
        <w:rPr>
          <w:rFonts w:ascii="Arial" w:eastAsia="Times New Roman" w:hAnsi="Arial" w:cs="Arial"/>
          <w:color w:val="000000"/>
          <w:sz w:val="20"/>
          <w:szCs w:val="20"/>
        </w:rPr>
        <w:t>The acquisition closed on January 3, 2022 for total estimated consideratio</w:t>
      </w:r>
      <w:r>
        <w:rPr>
          <w:rFonts w:ascii="Arial" w:eastAsia="Times New Roman" w:hAnsi="Arial" w:cs="Arial"/>
          <w:color w:val="000000"/>
          <w:sz w:val="20"/>
          <w:szCs w:val="20"/>
        </w:rPr>
        <w:t>n of $792.2 million, subject to customary adjustments relating to net working capital, indebtedness and transaction expenses. At closing, $642.7 million, inclusive of $19.7 million for estimated net working capital adjustments, was paid in cash and, at the</w:t>
      </w:r>
      <w:r>
        <w:rPr>
          <w:rFonts w:ascii="Arial" w:eastAsia="Times New Roman" w:hAnsi="Arial" w:cs="Arial"/>
          <w:color w:val="000000"/>
          <w:sz w:val="20"/>
          <w:szCs w:val="20"/>
        </w:rPr>
        <w:t xml:space="preserve"> election of the Company, $50.0 million was satisfied through the delivery of 1,768,034 shares of the Company's common stock at a price of $28.28 per share. The remaining $100.0 million was held back to satisfy potential indemnification and other obligatio</w:t>
      </w:r>
      <w:r>
        <w:rPr>
          <w:rFonts w:ascii="Arial" w:eastAsia="Times New Roman" w:hAnsi="Arial" w:cs="Arial"/>
          <w:color w:val="000000"/>
          <w:sz w:val="20"/>
          <w:szCs w:val="20"/>
        </w:rPr>
        <w:t>ns of the seller, with one-half to be released on the first and second anniversary of the closing of the acquisition, in each case subject to reduction in respect to amounts claimed under the Purchase Agreement. The total purchase consideration also includ</w:t>
      </w:r>
      <w:r>
        <w:rPr>
          <w:rFonts w:ascii="Arial" w:eastAsia="Times New Roman" w:hAnsi="Arial" w:cs="Arial"/>
          <w:color w:val="000000"/>
          <w:sz w:val="20"/>
          <w:szCs w:val="20"/>
        </w:rPr>
        <w:t>ed a receivable of $0.5 million from the seller for estimated working capital adjustments. During the second quarter, the working capital adjustments were updated and as a result the working capital payable to seller increased to $2.3 million, which was pa</w:t>
      </w:r>
      <w:r>
        <w:rPr>
          <w:rFonts w:ascii="Arial" w:eastAsia="Times New Roman" w:hAnsi="Arial" w:cs="Arial"/>
          <w:color w:val="000000"/>
          <w:sz w:val="20"/>
          <w:szCs w:val="20"/>
        </w:rPr>
        <w:t xml:space="preserve">id on July 1, 2022. The acquisition was accounted for as a business combination and is reported in the land segment. </w:t>
      </w:r>
    </w:p>
    <w:p w:rsidR="00000000" w:rsidRDefault="002223F7">
      <w:pPr>
        <w:jc w:val="center"/>
        <w:divId w:val="633297324"/>
        <w:rPr>
          <w:rFonts w:eastAsia="Times New Roman"/>
        </w:rPr>
      </w:pPr>
      <w:r>
        <w:rPr>
          <w:rFonts w:ascii="Arial" w:eastAsia="Times New Roman" w:hAnsi="Arial" w:cs="Arial"/>
          <w:color w:val="000000"/>
          <w:sz w:val="16"/>
          <w:szCs w:val="16"/>
        </w:rPr>
        <w:t>55</w:t>
      </w:r>
    </w:p>
    <w:p w:rsidR="00000000" w:rsidRDefault="002223F7">
      <w:pPr>
        <w:rPr>
          <w:rFonts w:eastAsia="Times New Roman"/>
        </w:rPr>
      </w:pPr>
      <w:r>
        <w:rPr>
          <w:rFonts w:eastAsia="Times New Roman"/>
        </w:rPr>
        <w:pict>
          <v:rect id="_x0000_i1086" style="width:0;height:1.5pt" o:hralign="center" o:hrstd="t" o:hr="t" fillcolor="#a0a0a0" stroked="f"/>
        </w:pict>
      </w:r>
    </w:p>
    <w:p w:rsidR="00000000" w:rsidRDefault="002223F7">
      <w:pPr>
        <w:jc w:val="both"/>
        <w:divId w:val="1958753434"/>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259686220"/>
        <w:rPr>
          <w:rFonts w:eastAsia="Times New Roman"/>
        </w:rPr>
      </w:pPr>
      <w:r>
        <w:rPr>
          <w:rFonts w:ascii="Arial" w:eastAsia="Times New Roman" w:hAnsi="Arial" w:cs="Arial"/>
          <w:color w:val="000000"/>
          <w:sz w:val="20"/>
          <w:szCs w:val="20"/>
        </w:rPr>
        <w:t>The purchase price allocation was finalized during the third quarter of 2022. The following table summarizes the fair value of the aggregate consideration as well as the final allocation of</w:t>
      </w:r>
      <w:r>
        <w:rPr>
          <w:rFonts w:ascii="Arial" w:eastAsia="Times New Roman" w:hAnsi="Arial" w:cs="Arial"/>
          <w:color w:val="000000"/>
          <w:sz w:val="20"/>
          <w:szCs w:val="20"/>
        </w:rPr>
        <w:t xml:space="preserve"> the purchase price to the fair value of the assets acquired and liabilities assumed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6362"/>
        <w:gridCol w:w="36"/>
        <w:gridCol w:w="36"/>
        <w:gridCol w:w="36"/>
        <w:gridCol w:w="36"/>
        <w:gridCol w:w="36"/>
        <w:gridCol w:w="36"/>
        <w:gridCol w:w="36"/>
        <w:gridCol w:w="36"/>
        <w:gridCol w:w="133"/>
        <w:gridCol w:w="1447"/>
        <w:gridCol w:w="36"/>
      </w:tblGrid>
      <w:tr w:rsidR="00000000">
        <w:trPr>
          <w:divId w:val="1259829532"/>
        </w:trPr>
        <w:tc>
          <w:tcPr>
            <w:tcW w:w="50" w:type="pct"/>
            <w:vAlign w:val="center"/>
            <w:hideMark/>
          </w:tcPr>
          <w:p w:rsidR="00000000" w:rsidRDefault="002223F7">
            <w:pPr>
              <w:jc w:val="both"/>
              <w:rPr>
                <w:rFonts w:eastAsia="Times New Roman"/>
              </w:rPr>
            </w:pPr>
          </w:p>
        </w:tc>
        <w:tc>
          <w:tcPr>
            <w:tcW w:w="392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91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1259829532"/>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Final Purchase Price Allocation</w:t>
            </w:r>
          </w:p>
        </w:tc>
      </w:tr>
      <w:tr w:rsidR="00000000">
        <w:trPr>
          <w:divId w:val="1259829532"/>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20"/>
                <w:szCs w:val="20"/>
              </w:rPr>
              <w:t>Consideration:</w:t>
            </w:r>
          </w:p>
        </w:tc>
        <w:tc>
          <w:tcPr>
            <w:tcW w:w="0" w:type="auto"/>
            <w:vAlign w:val="center"/>
            <w:hideMark/>
          </w:tcPr>
          <w:p w:rsidR="00000000" w:rsidRDefault="002223F7">
            <w:pPr>
              <w:spacing w:after="100"/>
              <w:rPr>
                <w:rFonts w:eastAsia="Times New Roman"/>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259829532"/>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Cash paid at closing</w:t>
            </w:r>
          </w:p>
        </w:tc>
        <w:tc>
          <w:tcPr>
            <w:tcW w:w="0" w:type="auto"/>
            <w:vAlign w:val="center"/>
            <w:hideMark/>
          </w:tcPr>
          <w:p w:rsidR="00000000" w:rsidRDefault="002223F7">
            <w:pPr>
              <w:spacing w:after="100"/>
              <w:rPr>
                <w:rFonts w:eastAsia="Times New Roman"/>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642.7 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259829532"/>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Working capital adjustment paid to seller</w:t>
            </w:r>
          </w:p>
        </w:tc>
        <w:tc>
          <w:tcPr>
            <w:tcW w:w="0" w:type="auto"/>
            <w:vAlign w:val="center"/>
            <w:hideMark/>
          </w:tcPr>
          <w:p w:rsidR="00000000" w:rsidRDefault="002223F7">
            <w:pPr>
              <w:spacing w:after="100"/>
              <w:rPr>
                <w:rFonts w:eastAsia="Times New Roman"/>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259829532"/>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divId w:val="840464990"/>
              <w:rPr>
                <w:rFonts w:eastAsia="Times New Roman"/>
              </w:rPr>
            </w:pPr>
            <w:r>
              <w:rPr>
                <w:rFonts w:ascii="Arial" w:eastAsia="Times New Roman" w:hAnsi="Arial" w:cs="Arial"/>
                <w:color w:val="000000"/>
                <w:sz w:val="20"/>
                <w:szCs w:val="20"/>
              </w:rPr>
              <w:t>Common stock issued to seller</w:t>
            </w:r>
          </w:p>
        </w:tc>
        <w:tc>
          <w:tcPr>
            <w:tcW w:w="0" w:type="auto"/>
            <w:vAlign w:val="center"/>
            <w:hideMark/>
          </w:tcPr>
          <w:p w:rsidR="00000000" w:rsidRDefault="002223F7">
            <w:pPr>
              <w:spacing w:after="100"/>
              <w:rPr>
                <w:rFonts w:eastAsia="Times New Roman"/>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259829532"/>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divId w:val="255870037"/>
              <w:rPr>
                <w:rFonts w:eastAsia="Times New Roman"/>
              </w:rPr>
            </w:pPr>
            <w:r>
              <w:rPr>
                <w:rFonts w:ascii="Arial" w:eastAsia="Times New Roman" w:hAnsi="Arial" w:cs="Arial"/>
                <w:color w:val="000000"/>
                <w:sz w:val="20"/>
                <w:szCs w:val="20"/>
              </w:rPr>
              <w:t>Amount due to seller</w:t>
            </w:r>
            <w:r>
              <w:rPr>
                <w:rFonts w:ascii="Arial" w:eastAsia="Times New Roman" w:hAnsi="Arial" w:cs="Arial"/>
                <w:color w:val="000000"/>
                <w:sz w:val="20"/>
                <w:szCs w:val="20"/>
              </w:rPr>
              <w:t>s</w:t>
            </w:r>
            <w:r>
              <w:rPr>
                <w:rFonts w:ascii="Arial" w:eastAsia="Times New Roman" w:hAnsi="Arial" w:cs="Arial"/>
                <w:color w:val="000000"/>
                <w:sz w:val="13"/>
                <w:szCs w:val="13"/>
              </w:rPr>
              <w:t xml:space="preserve"> (1</w:t>
            </w:r>
            <w:r>
              <w:rPr>
                <w:rFonts w:ascii="Arial" w:eastAsia="Times New Roman" w:hAnsi="Arial" w:cs="Arial"/>
                <w:color w:val="000000"/>
                <w:sz w:val="13"/>
                <w:szCs w:val="13"/>
              </w:rPr>
              <w:t>)</w:t>
            </w:r>
          </w:p>
        </w:tc>
        <w:tc>
          <w:tcPr>
            <w:tcW w:w="0" w:type="auto"/>
            <w:vAlign w:val="center"/>
            <w:hideMark/>
          </w:tcPr>
          <w:p w:rsidR="00000000" w:rsidRDefault="002223F7">
            <w:pPr>
              <w:spacing w:after="100"/>
              <w:rPr>
                <w:rFonts w:eastAsia="Times New Roman"/>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100.0 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259829532"/>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fair value of consideration</w:t>
            </w:r>
          </w:p>
        </w:tc>
        <w:tc>
          <w:tcPr>
            <w:tcW w:w="0" w:type="auto"/>
            <w:vAlign w:val="center"/>
            <w:hideMark/>
          </w:tcPr>
          <w:p w:rsidR="00000000" w:rsidRDefault="002223F7">
            <w:pPr>
              <w:spacing w:after="100"/>
              <w:rPr>
                <w:rFonts w:eastAsia="Times New Roman"/>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795.0 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259829532"/>
          <w:trHeight w:val="300"/>
        </w:trPr>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259829532"/>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20"/>
                <w:szCs w:val="20"/>
              </w:rPr>
              <w:t>Assets acquired and liabilities assumed:</w:t>
            </w:r>
          </w:p>
        </w:tc>
        <w:tc>
          <w:tcPr>
            <w:tcW w:w="0" w:type="auto"/>
            <w:vAlign w:val="center"/>
            <w:hideMark/>
          </w:tcPr>
          <w:p w:rsidR="00000000" w:rsidRDefault="002223F7">
            <w:pPr>
              <w:spacing w:after="100"/>
              <w:rPr>
                <w:rFonts w:eastAsia="Times New Roman"/>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259829532"/>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Cash</w:t>
            </w:r>
          </w:p>
        </w:tc>
        <w:tc>
          <w:tcPr>
            <w:tcW w:w="0" w:type="auto"/>
            <w:vAlign w:val="center"/>
            <w:hideMark/>
          </w:tcPr>
          <w:p w:rsidR="00000000" w:rsidRDefault="002223F7">
            <w:pPr>
              <w:spacing w:after="100"/>
              <w:rPr>
                <w:rFonts w:eastAsia="Times New Roman"/>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259829532"/>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Accounts receivable</w:t>
            </w:r>
          </w:p>
        </w:tc>
        <w:tc>
          <w:tcPr>
            <w:tcW w:w="0" w:type="auto"/>
            <w:vAlign w:val="center"/>
            <w:hideMark/>
          </w:tcPr>
          <w:p w:rsidR="00000000" w:rsidRDefault="002223F7">
            <w:pPr>
              <w:spacing w:after="100"/>
              <w:rPr>
                <w:rFonts w:eastAsia="Times New Roman"/>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109.8 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259829532"/>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Inventory</w:t>
            </w:r>
          </w:p>
        </w:tc>
        <w:tc>
          <w:tcPr>
            <w:tcW w:w="0" w:type="auto"/>
            <w:vAlign w:val="center"/>
            <w:hideMark/>
          </w:tcPr>
          <w:p w:rsidR="00000000" w:rsidRDefault="002223F7">
            <w:pPr>
              <w:spacing w:after="100"/>
              <w:rPr>
                <w:rFonts w:eastAsia="Times New Roman"/>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50.9 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259829532"/>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Property, plant and equipment</w:t>
            </w:r>
          </w:p>
        </w:tc>
        <w:tc>
          <w:tcPr>
            <w:tcW w:w="0" w:type="auto"/>
            <w:vAlign w:val="center"/>
            <w:hideMark/>
          </w:tcPr>
          <w:p w:rsidR="00000000" w:rsidRDefault="002223F7">
            <w:pPr>
              <w:spacing w:after="100"/>
              <w:rPr>
                <w:rFonts w:eastAsia="Times New Roman"/>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126.6 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259829532"/>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divId w:val="133304259"/>
              <w:rPr>
                <w:rFonts w:eastAsia="Times New Roman"/>
              </w:rPr>
            </w:pPr>
            <w:r>
              <w:rPr>
                <w:rFonts w:ascii="Arial" w:eastAsia="Times New Roman" w:hAnsi="Arial" w:cs="Arial"/>
                <w:color w:val="000000"/>
                <w:sz w:val="20"/>
                <w:szCs w:val="20"/>
              </w:rPr>
              <w:t>Identifiable intangible assets subject to amortizatio</w:t>
            </w:r>
            <w:r>
              <w:rPr>
                <w:rFonts w:ascii="Arial" w:eastAsia="Times New Roman" w:hAnsi="Arial" w:cs="Arial"/>
                <w:color w:val="000000"/>
                <w:sz w:val="20"/>
                <w:szCs w:val="20"/>
              </w:rPr>
              <w:t>n</w:t>
            </w:r>
            <w:r>
              <w:rPr>
                <w:rFonts w:ascii="Arial" w:eastAsia="Times New Roman" w:hAnsi="Arial" w:cs="Arial"/>
                <w:color w:val="000000"/>
                <w:sz w:val="13"/>
                <w:szCs w:val="13"/>
              </w:rPr>
              <w:t xml:space="preserve"> (2</w:t>
            </w:r>
            <w:r>
              <w:rPr>
                <w:rFonts w:ascii="Arial" w:eastAsia="Times New Roman" w:hAnsi="Arial" w:cs="Arial"/>
                <w:color w:val="000000"/>
                <w:sz w:val="13"/>
                <w:szCs w:val="13"/>
              </w:rPr>
              <w:t>)</w:t>
            </w:r>
          </w:p>
        </w:tc>
        <w:tc>
          <w:tcPr>
            <w:tcW w:w="0" w:type="auto"/>
            <w:vAlign w:val="center"/>
            <w:hideMark/>
          </w:tcPr>
          <w:p w:rsidR="00000000" w:rsidRDefault="002223F7">
            <w:pPr>
              <w:spacing w:after="100"/>
              <w:rPr>
                <w:rFonts w:eastAsia="Times New Roman"/>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162.5 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259829532"/>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divId w:val="901406288"/>
              <w:rPr>
                <w:rFonts w:eastAsia="Times New Roman"/>
              </w:rPr>
            </w:pPr>
            <w:r>
              <w:rPr>
                <w:rFonts w:ascii="Arial" w:eastAsia="Times New Roman" w:hAnsi="Arial" w:cs="Arial"/>
                <w:color w:val="000000"/>
                <w:sz w:val="20"/>
                <w:szCs w:val="20"/>
              </w:rPr>
              <w:t>Identifiable intangible assets not subject to amortizatio</w:t>
            </w:r>
            <w:r>
              <w:rPr>
                <w:rFonts w:ascii="Arial" w:eastAsia="Times New Roman" w:hAnsi="Arial" w:cs="Arial"/>
                <w:color w:val="000000"/>
                <w:sz w:val="20"/>
                <w:szCs w:val="20"/>
              </w:rPr>
              <w:t>n</w:t>
            </w:r>
            <w:r>
              <w:rPr>
                <w:rFonts w:ascii="Arial" w:eastAsia="Times New Roman" w:hAnsi="Arial" w:cs="Arial"/>
                <w:color w:val="000000"/>
                <w:sz w:val="13"/>
                <w:szCs w:val="13"/>
              </w:rPr>
              <w:t xml:space="preserve"> (3</w:t>
            </w:r>
            <w:r>
              <w:rPr>
                <w:rFonts w:ascii="Arial" w:eastAsia="Times New Roman" w:hAnsi="Arial" w:cs="Arial"/>
                <w:color w:val="000000"/>
                <w:sz w:val="13"/>
                <w:szCs w:val="13"/>
              </w:rPr>
              <w:t>)</w:t>
            </w:r>
          </w:p>
        </w:tc>
        <w:tc>
          <w:tcPr>
            <w:tcW w:w="0" w:type="auto"/>
            <w:vAlign w:val="center"/>
            <w:hideMark/>
          </w:tcPr>
          <w:p w:rsidR="00000000" w:rsidRDefault="002223F7">
            <w:pPr>
              <w:spacing w:after="100"/>
              <w:rPr>
                <w:rFonts w:eastAsia="Times New Roman"/>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29.3 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259829532"/>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Accounts payable</w:t>
            </w:r>
          </w:p>
        </w:tc>
        <w:tc>
          <w:tcPr>
            <w:tcW w:w="0" w:type="auto"/>
            <w:vAlign w:val="center"/>
            <w:hideMark/>
          </w:tcPr>
          <w:p w:rsidR="00000000" w:rsidRDefault="002223F7">
            <w:pPr>
              <w:spacing w:after="100"/>
              <w:rPr>
                <w:rFonts w:eastAsia="Times New Roman"/>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(38.0)</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259829532"/>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divId w:val="1010182699"/>
              <w:rPr>
                <w:rFonts w:eastAsia="Times New Roman"/>
              </w:rPr>
            </w:pPr>
            <w:r>
              <w:rPr>
                <w:rFonts w:ascii="Arial" w:eastAsia="Times New Roman" w:hAnsi="Arial" w:cs="Arial"/>
                <w:color w:val="000000"/>
                <w:sz w:val="20"/>
                <w:szCs w:val="20"/>
              </w:rPr>
              <w:t>Other assets and liabilities, ne</w:t>
            </w:r>
            <w:r>
              <w:rPr>
                <w:rFonts w:ascii="Arial" w:eastAsia="Times New Roman" w:hAnsi="Arial" w:cs="Arial"/>
                <w:color w:val="000000"/>
                <w:sz w:val="20"/>
                <w:szCs w:val="20"/>
              </w:rPr>
              <w:t>t</w:t>
            </w:r>
            <w:r>
              <w:rPr>
                <w:rFonts w:ascii="Arial" w:eastAsia="Times New Roman" w:hAnsi="Arial" w:cs="Arial"/>
                <w:color w:val="000000"/>
                <w:sz w:val="13"/>
                <w:szCs w:val="13"/>
              </w:rPr>
              <w:t xml:space="preserve"> (4</w:t>
            </w:r>
            <w:r>
              <w:rPr>
                <w:rFonts w:ascii="Arial" w:eastAsia="Times New Roman" w:hAnsi="Arial" w:cs="Arial"/>
                <w:color w:val="000000"/>
                <w:sz w:val="13"/>
                <w:szCs w:val="13"/>
              </w:rPr>
              <w:t>)</w:t>
            </w:r>
          </w:p>
        </w:tc>
        <w:tc>
          <w:tcPr>
            <w:tcW w:w="0" w:type="auto"/>
            <w:vAlign w:val="center"/>
            <w:hideMark/>
          </w:tcPr>
          <w:p w:rsidR="00000000" w:rsidRDefault="002223F7">
            <w:pPr>
              <w:spacing w:after="100"/>
              <w:rPr>
                <w:rFonts w:eastAsia="Times New Roman"/>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(37.3)</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259829532"/>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Net identifiable assets acquired</w:t>
            </w:r>
          </w:p>
        </w:tc>
        <w:tc>
          <w:tcPr>
            <w:tcW w:w="0" w:type="auto"/>
            <w:vAlign w:val="center"/>
            <w:hideMark/>
          </w:tcPr>
          <w:p w:rsidR="00000000" w:rsidRDefault="002223F7">
            <w:pPr>
              <w:spacing w:after="100"/>
              <w:rPr>
                <w:rFonts w:eastAsia="Times New Roman"/>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407.0 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259829532"/>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divId w:val="1217202402"/>
              <w:rPr>
                <w:rFonts w:eastAsia="Times New Roman"/>
              </w:rPr>
            </w:pPr>
            <w:r>
              <w:rPr>
                <w:rFonts w:ascii="Arial" w:eastAsia="Times New Roman" w:hAnsi="Arial" w:cs="Arial"/>
                <w:color w:val="000000"/>
                <w:sz w:val="20"/>
                <w:szCs w:val="20"/>
              </w:rPr>
              <w:t>Goodwil</w:t>
            </w:r>
            <w:r>
              <w:rPr>
                <w:rFonts w:ascii="Arial" w:eastAsia="Times New Roman" w:hAnsi="Arial" w:cs="Arial"/>
                <w:color w:val="000000"/>
                <w:sz w:val="20"/>
                <w:szCs w:val="20"/>
              </w:rPr>
              <w:t>l</w:t>
            </w:r>
            <w:r>
              <w:rPr>
                <w:rFonts w:ascii="Arial" w:eastAsia="Times New Roman" w:hAnsi="Arial" w:cs="Arial"/>
                <w:color w:val="000000"/>
                <w:sz w:val="13"/>
                <w:szCs w:val="13"/>
              </w:rPr>
              <w:t xml:space="preserve"> (5</w:t>
            </w:r>
            <w:r>
              <w:rPr>
                <w:rFonts w:ascii="Arial" w:eastAsia="Times New Roman" w:hAnsi="Arial" w:cs="Arial"/>
                <w:color w:val="000000"/>
                <w:sz w:val="13"/>
                <w:szCs w:val="13"/>
              </w:rPr>
              <w:t>)</w:t>
            </w:r>
          </w:p>
        </w:tc>
        <w:tc>
          <w:tcPr>
            <w:tcW w:w="0" w:type="auto"/>
            <w:vAlign w:val="center"/>
            <w:hideMark/>
          </w:tcPr>
          <w:p w:rsidR="00000000" w:rsidRDefault="002223F7">
            <w:pPr>
              <w:spacing w:after="100"/>
              <w:rPr>
                <w:rFonts w:eastAsia="Times New Roman"/>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388.0 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259829532"/>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Net assets acquired</w:t>
            </w:r>
          </w:p>
        </w:tc>
        <w:tc>
          <w:tcPr>
            <w:tcW w:w="0" w:type="auto"/>
            <w:vAlign w:val="center"/>
            <w:hideMark/>
          </w:tcPr>
          <w:p w:rsidR="00000000" w:rsidRDefault="002223F7">
            <w:pPr>
              <w:spacing w:after="100"/>
              <w:rPr>
                <w:rFonts w:eastAsia="Times New Roman"/>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795.0 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259829532"/>
        </w:trPr>
        <w:tc>
          <w:tcPr>
            <w:tcW w:w="0" w:type="auto"/>
            <w:gridSpan w:val="3"/>
            <w:vAlign w:val="center"/>
            <w:hideMark/>
          </w:tcPr>
          <w:p w:rsidR="00000000" w:rsidRDefault="002223F7">
            <w:pPr>
              <w:spacing w:after="100"/>
              <w:jc w:val="right"/>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1259829532"/>
        </w:trPr>
        <w:tc>
          <w:tcPr>
            <w:tcW w:w="0" w:type="auto"/>
            <w:gridSpan w:val="3"/>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bl>
    <w:p w:rsidR="00000000" w:rsidRDefault="002223F7">
      <w:pPr>
        <w:ind w:hanging="360"/>
        <w:jc w:val="both"/>
        <w:divId w:val="1307318762"/>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In January 2023, $50 million of the remaining purchase consideration was paid to the seller, with the remaining $50 million expected to be settled in January 2024.</w:t>
      </w:r>
    </w:p>
    <w:p w:rsidR="00000000" w:rsidRDefault="002223F7">
      <w:pPr>
        <w:ind w:hanging="360"/>
        <w:jc w:val="both"/>
        <w:divId w:val="658073791"/>
        <w:rPr>
          <w:rFonts w:eastAsia="Times New Roman"/>
        </w:rPr>
      </w:pPr>
      <w:r>
        <w:rPr>
          <w:rFonts w:ascii="Arial" w:eastAsia="Times New Roman" w:hAnsi="Arial" w:cs="Arial"/>
          <w:color w:val="000000"/>
          <w:sz w:val="13"/>
          <w:szCs w:val="13"/>
        </w:rPr>
        <w:t>(2</w:t>
      </w:r>
      <w:r>
        <w:rPr>
          <w:rFonts w:ascii="Arial" w:eastAsia="Times New Roman" w:hAnsi="Arial" w:cs="Arial"/>
          <w:color w:val="000000"/>
          <w:sz w:val="13"/>
          <w:szCs w:val="13"/>
        </w:rPr>
        <w:t>)</w:t>
      </w:r>
      <w:r>
        <w:rPr>
          <w:rFonts w:ascii="Arial" w:eastAsia="Times New Roman" w:hAnsi="Arial" w:cs="Arial"/>
          <w:color w:val="000000"/>
          <w:sz w:val="20"/>
          <w:szCs w:val="20"/>
        </w:rPr>
        <w:t>Identifiable intangible assets subject to amortization primarily consist of customer and network relationships and other identifiable assets which will be amortized over a weighted average life of 11.6 years.</w:t>
      </w:r>
    </w:p>
    <w:p w:rsidR="00000000" w:rsidRDefault="002223F7">
      <w:pPr>
        <w:ind w:hanging="360"/>
        <w:jc w:val="both"/>
        <w:divId w:val="2118595421"/>
        <w:rPr>
          <w:rFonts w:eastAsia="Times New Roman"/>
        </w:rPr>
      </w:pPr>
      <w:r>
        <w:rPr>
          <w:rFonts w:ascii="Arial" w:eastAsia="Times New Roman" w:hAnsi="Arial" w:cs="Arial"/>
          <w:color w:val="000000"/>
          <w:sz w:val="13"/>
          <w:szCs w:val="13"/>
        </w:rPr>
        <w:t>(3</w:t>
      </w:r>
      <w:r>
        <w:rPr>
          <w:rFonts w:ascii="Arial" w:eastAsia="Times New Roman" w:hAnsi="Arial" w:cs="Arial"/>
          <w:color w:val="000000"/>
          <w:sz w:val="13"/>
          <w:szCs w:val="13"/>
        </w:rPr>
        <w:t>)</w:t>
      </w:r>
      <w:r>
        <w:rPr>
          <w:rFonts w:ascii="Arial" w:eastAsia="Times New Roman" w:hAnsi="Arial" w:cs="Arial"/>
          <w:color w:val="000000"/>
          <w:sz w:val="20"/>
          <w:szCs w:val="20"/>
        </w:rPr>
        <w:t>Identifiable intangible assets not subject t</w:t>
      </w:r>
      <w:r>
        <w:rPr>
          <w:rFonts w:ascii="Arial" w:eastAsia="Times New Roman" w:hAnsi="Arial" w:cs="Arial"/>
          <w:color w:val="000000"/>
          <w:sz w:val="20"/>
          <w:szCs w:val="20"/>
        </w:rPr>
        <w:t>o amortization include trademarks and trade names acquired.</w:t>
      </w:r>
    </w:p>
    <w:p w:rsidR="00000000" w:rsidRDefault="002223F7">
      <w:pPr>
        <w:ind w:hanging="360"/>
        <w:jc w:val="both"/>
        <w:divId w:val="350617777"/>
        <w:rPr>
          <w:rFonts w:eastAsia="Times New Roman"/>
        </w:rPr>
      </w:pPr>
      <w:r>
        <w:rPr>
          <w:rFonts w:ascii="Arial" w:eastAsia="Times New Roman" w:hAnsi="Arial" w:cs="Arial"/>
          <w:color w:val="000000"/>
          <w:sz w:val="13"/>
          <w:szCs w:val="13"/>
        </w:rPr>
        <w:t>(4</w:t>
      </w:r>
      <w:r>
        <w:rPr>
          <w:rFonts w:ascii="Arial" w:eastAsia="Times New Roman" w:hAnsi="Arial" w:cs="Arial"/>
          <w:color w:val="000000"/>
          <w:sz w:val="13"/>
          <w:szCs w:val="13"/>
        </w:rPr>
        <w:t>)</w:t>
      </w:r>
      <w:r>
        <w:rPr>
          <w:rFonts w:ascii="Arial" w:eastAsia="Times New Roman" w:hAnsi="Arial" w:cs="Arial"/>
          <w:color w:val="000000"/>
          <w:sz w:val="20"/>
          <w:szCs w:val="20"/>
        </w:rPr>
        <w:t>Includes the recognition of right of use assets of $45.0 million and lease liabilities of $46.0 million.</w:t>
      </w:r>
    </w:p>
    <w:p w:rsidR="00000000" w:rsidRDefault="002223F7">
      <w:pPr>
        <w:ind w:hanging="360"/>
        <w:jc w:val="both"/>
        <w:divId w:val="262953642"/>
        <w:rPr>
          <w:rFonts w:eastAsia="Times New Roman"/>
        </w:rPr>
      </w:pPr>
      <w:r>
        <w:rPr>
          <w:rFonts w:ascii="Arial" w:eastAsia="Times New Roman" w:hAnsi="Arial" w:cs="Arial"/>
          <w:color w:val="000000"/>
          <w:sz w:val="13"/>
          <w:szCs w:val="13"/>
        </w:rPr>
        <w:t>(5</w:t>
      </w:r>
      <w:r>
        <w:rPr>
          <w:rFonts w:ascii="Arial" w:eastAsia="Times New Roman" w:hAnsi="Arial" w:cs="Arial"/>
          <w:color w:val="000000"/>
          <w:sz w:val="13"/>
          <w:szCs w:val="13"/>
        </w:rPr>
        <w:t>)</w:t>
      </w:r>
      <w:r>
        <w:rPr>
          <w:rFonts w:ascii="Arial" w:eastAsia="Times New Roman" w:hAnsi="Arial" w:cs="Arial"/>
          <w:color w:val="000000"/>
          <w:sz w:val="20"/>
          <w:szCs w:val="20"/>
        </w:rPr>
        <w:t xml:space="preserve">Goodwill is attributable primarily to the expected synergies and other benefits that </w:t>
      </w:r>
      <w:r>
        <w:rPr>
          <w:rFonts w:ascii="Arial" w:eastAsia="Times New Roman" w:hAnsi="Arial" w:cs="Arial"/>
          <w:color w:val="000000"/>
          <w:sz w:val="20"/>
          <w:szCs w:val="20"/>
        </w:rPr>
        <w:t>we believe will result from combining the acquired operations with the operations of our land segment. We anticipate that all of the goodwill assigned to the land segment will be deductible for tax purposes.</w:t>
      </w:r>
    </w:p>
    <w:p w:rsidR="00000000" w:rsidRDefault="002223F7">
      <w:pPr>
        <w:jc w:val="both"/>
        <w:divId w:val="1150559477"/>
        <w:rPr>
          <w:rFonts w:eastAsia="Times New Roman"/>
        </w:rPr>
      </w:pPr>
      <w:r>
        <w:rPr>
          <w:rFonts w:ascii="Arial" w:eastAsia="Times New Roman" w:hAnsi="Arial" w:cs="Arial"/>
          <w:color w:val="000000"/>
          <w:sz w:val="20"/>
          <w:szCs w:val="20"/>
        </w:rPr>
        <w:t xml:space="preserve">Total revenue and income before income taxes of </w:t>
      </w:r>
      <w:r>
        <w:rPr>
          <w:rFonts w:ascii="Arial" w:eastAsia="Times New Roman" w:hAnsi="Arial" w:cs="Arial"/>
          <w:color w:val="000000"/>
          <w:sz w:val="20"/>
          <w:szCs w:val="20"/>
        </w:rPr>
        <w:t>Flyers included in the Company's Consolidated Statement of Income for the period from the date of acquisition through December 31, 2022 were $3.4 billion and $71.2 million, respectively.</w:t>
      </w:r>
    </w:p>
    <w:p w:rsidR="00000000" w:rsidRDefault="002223F7">
      <w:pPr>
        <w:jc w:val="both"/>
        <w:divId w:val="1816951078"/>
        <w:rPr>
          <w:rFonts w:eastAsia="Times New Roman"/>
        </w:rPr>
      </w:pPr>
      <w:r>
        <w:rPr>
          <w:rFonts w:ascii="Arial" w:eastAsia="Times New Roman" w:hAnsi="Arial" w:cs="Arial"/>
          <w:color w:val="000000"/>
          <w:sz w:val="20"/>
          <w:szCs w:val="20"/>
        </w:rPr>
        <w:t>The following presents unaudited pro forma combined financial informa</w:t>
      </w:r>
      <w:r>
        <w:rPr>
          <w:rFonts w:ascii="Arial" w:eastAsia="Times New Roman" w:hAnsi="Arial" w:cs="Arial"/>
          <w:color w:val="000000"/>
          <w:sz w:val="20"/>
          <w:szCs w:val="20"/>
        </w:rPr>
        <w:t>tion of the Company for the year ended December 31, 2021 as if the acquisition of Flyers had been completed on January 1, 2021 (in millions):</w:t>
      </w:r>
    </w:p>
    <w:tbl>
      <w:tblPr>
        <w:tblW w:w="5000" w:type="pct"/>
        <w:tblCellMar>
          <w:top w:w="15" w:type="dxa"/>
          <w:left w:w="15" w:type="dxa"/>
          <w:bottom w:w="15" w:type="dxa"/>
          <w:right w:w="15" w:type="dxa"/>
        </w:tblCellMar>
        <w:tblLook w:val="04A0" w:firstRow="1" w:lastRow="0" w:firstColumn="1" w:lastColumn="0" w:noHBand="0" w:noVBand="1"/>
      </w:tblPr>
      <w:tblGrid>
        <w:gridCol w:w="47"/>
        <w:gridCol w:w="6396"/>
        <w:gridCol w:w="36"/>
        <w:gridCol w:w="133"/>
        <w:gridCol w:w="1658"/>
        <w:gridCol w:w="36"/>
      </w:tblGrid>
      <w:tr w:rsidR="00000000">
        <w:trPr>
          <w:divId w:val="24410094"/>
        </w:trPr>
        <w:tc>
          <w:tcPr>
            <w:tcW w:w="50" w:type="pct"/>
            <w:vAlign w:val="center"/>
            <w:hideMark/>
          </w:tcPr>
          <w:p w:rsidR="00000000" w:rsidRDefault="002223F7">
            <w:pPr>
              <w:jc w:val="both"/>
              <w:rPr>
                <w:rFonts w:eastAsia="Times New Roman"/>
              </w:rPr>
            </w:pPr>
          </w:p>
        </w:tc>
        <w:tc>
          <w:tcPr>
            <w:tcW w:w="3870"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101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24410094"/>
        </w:trPr>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i/>
                <w:iCs/>
                <w:color w:val="000000"/>
                <w:sz w:val="20"/>
                <w:szCs w:val="20"/>
              </w:rPr>
              <w:t>(unaudited)</w:t>
            </w: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For the Year Ended December 31, 2021</w:t>
            </w:r>
          </w:p>
        </w:tc>
      </w:tr>
      <w:tr w:rsidR="00000000">
        <w:trPr>
          <w:divId w:val="24410094"/>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33,849.2 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4410094"/>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Net income attributable to World Fuel</w:t>
            </w: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112.5 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jc w:val="both"/>
        <w:divId w:val="391806852"/>
        <w:rPr>
          <w:rFonts w:eastAsia="Times New Roman"/>
        </w:rPr>
      </w:pPr>
      <w:r>
        <w:rPr>
          <w:rFonts w:ascii="Arial" w:eastAsia="Times New Roman" w:hAnsi="Arial" w:cs="Arial"/>
          <w:color w:val="000000"/>
          <w:sz w:val="20"/>
          <w:szCs w:val="20"/>
        </w:rPr>
        <w:t>The unaudited pro forma combined financial information was based on the historical financial information of World Fuel and Flyers and includes (i) incremental amortization expense to be incurred based on the fair values of the identifiable intangible asset</w:t>
      </w:r>
      <w:r>
        <w:rPr>
          <w:rFonts w:ascii="Arial" w:eastAsia="Times New Roman" w:hAnsi="Arial" w:cs="Arial"/>
          <w:color w:val="000000"/>
          <w:sz w:val="20"/>
          <w:szCs w:val="20"/>
        </w:rPr>
        <w:t>s acquired; (ii) additional interest expense associated with the incremental borrowings under our Credit Facility to finance the acquisition; (iii) nonrecurring transaction costs recognized in connection with the transaction; and (iv) the tax effect of the</w:t>
      </w:r>
      <w:r>
        <w:rPr>
          <w:rFonts w:ascii="Arial" w:eastAsia="Times New Roman" w:hAnsi="Arial" w:cs="Arial"/>
          <w:color w:val="000000"/>
          <w:sz w:val="20"/>
          <w:szCs w:val="20"/>
        </w:rPr>
        <w:t xml:space="preserve"> pro forma adjustments as well as the recognition of income tax expense </w:t>
      </w:r>
    </w:p>
    <w:p w:rsidR="00000000" w:rsidRDefault="002223F7">
      <w:pPr>
        <w:jc w:val="center"/>
        <w:divId w:val="463544829"/>
        <w:rPr>
          <w:rFonts w:eastAsia="Times New Roman"/>
        </w:rPr>
      </w:pPr>
      <w:r>
        <w:rPr>
          <w:rFonts w:ascii="Arial" w:eastAsia="Times New Roman" w:hAnsi="Arial" w:cs="Arial"/>
          <w:color w:val="000000"/>
          <w:sz w:val="16"/>
          <w:szCs w:val="16"/>
        </w:rPr>
        <w:t>56</w:t>
      </w:r>
    </w:p>
    <w:p w:rsidR="00000000" w:rsidRDefault="002223F7">
      <w:pPr>
        <w:rPr>
          <w:rFonts w:eastAsia="Times New Roman"/>
        </w:rPr>
      </w:pPr>
      <w:r>
        <w:rPr>
          <w:rFonts w:eastAsia="Times New Roman"/>
        </w:rPr>
        <w:pict>
          <v:rect id="_x0000_i1087" style="width:0;height:1.5pt" o:hralign="center" o:hrstd="t" o:hr="t" fillcolor="#a0a0a0" stroked="f"/>
        </w:pict>
      </w:r>
    </w:p>
    <w:p w:rsidR="00000000" w:rsidRDefault="002223F7">
      <w:pPr>
        <w:jc w:val="both"/>
        <w:divId w:val="1918588604"/>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332145948"/>
        <w:rPr>
          <w:rFonts w:eastAsia="Times New Roman"/>
        </w:rPr>
      </w:pPr>
      <w:r>
        <w:rPr>
          <w:rFonts w:ascii="Arial" w:eastAsia="Times New Roman" w:hAnsi="Arial" w:cs="Arial"/>
          <w:color w:val="000000"/>
          <w:sz w:val="20"/>
          <w:szCs w:val="20"/>
        </w:rPr>
        <w:t>associated with Flyers' historical statements, calculated using statutory tax rates, as Flyers was comprised of limited liability companies not subject to federal and state income taxes pri</w:t>
      </w:r>
      <w:r>
        <w:rPr>
          <w:rFonts w:ascii="Arial" w:eastAsia="Times New Roman" w:hAnsi="Arial" w:cs="Arial"/>
          <w:color w:val="000000"/>
          <w:sz w:val="20"/>
          <w:szCs w:val="20"/>
        </w:rPr>
        <w:t>or to the acquisition. The unaudited pro forma combined financial information does not necessarily reflect what the combined company's financial condition or results of operations would have been had the transaction and the related financing occurred on th</w:t>
      </w:r>
      <w:r>
        <w:rPr>
          <w:rFonts w:ascii="Arial" w:eastAsia="Times New Roman" w:hAnsi="Arial" w:cs="Arial"/>
          <w:color w:val="000000"/>
          <w:sz w:val="20"/>
          <w:szCs w:val="20"/>
        </w:rPr>
        <w:t xml:space="preserve">e dates indicated. The unaudited pro forma financial information also may not be useful in predicting the future financial condition and results of operations of the combined company following the transaction. In addition, the unaudited pro forma combined </w:t>
      </w:r>
      <w:r>
        <w:rPr>
          <w:rFonts w:ascii="Arial" w:eastAsia="Times New Roman" w:hAnsi="Arial" w:cs="Arial"/>
          <w:color w:val="000000"/>
          <w:sz w:val="20"/>
          <w:szCs w:val="20"/>
        </w:rPr>
        <w:t>financial information does not give effect to any cost savings, operating synergies or revenue synergies that may result from the transaction, or the costs to achieve any such synergies.</w:t>
      </w:r>
    </w:p>
    <w:p w:rsidR="00000000" w:rsidRDefault="002223F7">
      <w:pPr>
        <w:jc w:val="both"/>
        <w:divId w:val="1111054316"/>
        <w:rPr>
          <w:rFonts w:eastAsia="Times New Roman"/>
        </w:rPr>
      </w:pPr>
      <w:r>
        <w:rPr>
          <w:rFonts w:ascii="Arial" w:eastAsia="Times New Roman" w:hAnsi="Arial" w:cs="Arial"/>
          <w:color w:val="000000"/>
          <w:sz w:val="20"/>
          <w:szCs w:val="20"/>
        </w:rPr>
        <w:t>During the year ended December 31, 2022, we also completed an acquisi</w:t>
      </w:r>
      <w:r>
        <w:rPr>
          <w:rFonts w:ascii="Arial" w:eastAsia="Times New Roman" w:hAnsi="Arial" w:cs="Arial"/>
          <w:color w:val="000000"/>
          <w:sz w:val="20"/>
          <w:szCs w:val="20"/>
        </w:rPr>
        <w:t xml:space="preserve">tion within our aviation segment. The financial position, results of operations and cash flows of the acquisition have been included in our Consolidated Financial Statements since the acquisition date and did not have a material impact on our Consolidated </w:t>
      </w:r>
      <w:r>
        <w:rPr>
          <w:rFonts w:ascii="Arial" w:eastAsia="Times New Roman" w:hAnsi="Arial" w:cs="Arial"/>
          <w:color w:val="000000"/>
          <w:sz w:val="20"/>
          <w:szCs w:val="20"/>
        </w:rPr>
        <w:t>Financial Statements as of and for the year ended December 31, 2022.</w:t>
      </w:r>
    </w:p>
    <w:p w:rsidR="00000000" w:rsidRDefault="002223F7">
      <w:pPr>
        <w:jc w:val="both"/>
        <w:divId w:val="278412456"/>
        <w:rPr>
          <w:rFonts w:eastAsia="Times New Roman"/>
        </w:rPr>
      </w:pPr>
      <w:r>
        <w:rPr>
          <w:rFonts w:ascii="Arial" w:eastAsia="Times New Roman" w:hAnsi="Arial" w:cs="Arial"/>
          <w:b/>
          <w:bCs/>
          <w:color w:val="000000"/>
          <w:sz w:val="20"/>
          <w:szCs w:val="20"/>
        </w:rPr>
        <w:t>2021 Acquisition</w:t>
      </w:r>
    </w:p>
    <w:p w:rsidR="00000000" w:rsidRDefault="002223F7">
      <w:pPr>
        <w:jc w:val="both"/>
        <w:divId w:val="519508305"/>
        <w:rPr>
          <w:rFonts w:eastAsia="Times New Roman"/>
        </w:rPr>
      </w:pPr>
      <w:r>
        <w:rPr>
          <w:rFonts w:ascii="Arial" w:eastAsia="Times New Roman" w:hAnsi="Arial" w:cs="Arial"/>
          <w:color w:val="000000"/>
          <w:sz w:val="20"/>
          <w:szCs w:val="20"/>
        </w:rPr>
        <w:t xml:space="preserve">On October 1, 2021, we completed the acquisition of a liquid fuel business which services business and residential customers for a total purchase price of $41.4 million. </w:t>
      </w:r>
      <w:r>
        <w:rPr>
          <w:rFonts w:ascii="Arial" w:eastAsia="Times New Roman" w:hAnsi="Arial" w:cs="Arial"/>
          <w:color w:val="000000"/>
          <w:sz w:val="20"/>
          <w:szCs w:val="20"/>
        </w:rPr>
        <w:t>The transaction was accounted for as a business combination and is reported in our land segment.</w:t>
      </w:r>
    </w:p>
    <w:p w:rsidR="00000000" w:rsidRDefault="002223F7">
      <w:pPr>
        <w:divId w:val="1272854837"/>
        <w:rPr>
          <w:rFonts w:eastAsia="Times New Roman"/>
        </w:rPr>
      </w:pPr>
      <w:r>
        <w:rPr>
          <w:rFonts w:ascii="Arial" w:eastAsia="Times New Roman" w:hAnsi="Arial" w:cs="Arial"/>
          <w:b/>
          <w:bCs/>
          <w:color w:val="000000"/>
          <w:sz w:val="20"/>
          <w:szCs w:val="20"/>
        </w:rPr>
        <w:t>2020 Divestiture</w:t>
      </w:r>
    </w:p>
    <w:p w:rsidR="00000000" w:rsidRDefault="002223F7">
      <w:pPr>
        <w:jc w:val="both"/>
        <w:divId w:val="886064460"/>
        <w:rPr>
          <w:rFonts w:eastAsia="Times New Roman"/>
        </w:rPr>
      </w:pPr>
      <w:r>
        <w:rPr>
          <w:rFonts w:ascii="Arial" w:eastAsia="Times New Roman" w:hAnsi="Arial" w:cs="Arial"/>
          <w:color w:val="000000"/>
          <w:sz w:val="20"/>
          <w:szCs w:val="20"/>
        </w:rPr>
        <w:t>On September 30, 2020, we completed the sale of our Multi Service payment solutions business ("MSTS") pursuant to the definitive agreement sig</w:t>
      </w:r>
      <w:r>
        <w:rPr>
          <w:rFonts w:ascii="Arial" w:eastAsia="Times New Roman" w:hAnsi="Arial" w:cs="Arial"/>
          <w:color w:val="000000"/>
          <w:sz w:val="20"/>
          <w:szCs w:val="20"/>
        </w:rPr>
        <w:t>ned on July 30, 2020, for gross cash proceeds at closing of $303.5 million, subject to working capital adjustments, and a deferred payment of $75.0 million, of which $50.0 million is conditioned on MSTS's achievement of certain financial targets in 2021 an</w:t>
      </w:r>
      <w:r>
        <w:rPr>
          <w:rFonts w:ascii="Arial" w:eastAsia="Times New Roman" w:hAnsi="Arial" w:cs="Arial"/>
          <w:color w:val="000000"/>
          <w:sz w:val="20"/>
          <w:szCs w:val="20"/>
        </w:rPr>
        <w:t>d 2022. The contingent consideration was measured at fair value as of the closing date. The sale resulted in a pre-tax gain of $80.0 million, net of costs to sell, recognized during the year ended December 31, 2020. The gain is reported in</w:t>
      </w:r>
      <w:r>
        <w:rPr>
          <w:rFonts w:ascii="Arial" w:eastAsia="Times New Roman" w:hAnsi="Arial" w:cs="Arial"/>
          <w:color w:val="000000"/>
          <w:sz w:val="20"/>
          <w:szCs w:val="20"/>
        </w:rPr>
        <w:t xml:space="preserve"> </w:t>
      </w:r>
      <w:r>
        <w:rPr>
          <w:rFonts w:ascii="Arial" w:eastAsia="Times New Roman" w:hAnsi="Arial" w:cs="Arial"/>
          <w:color w:val="000000"/>
          <w:sz w:val="20"/>
          <w:szCs w:val="20"/>
        </w:rPr>
        <w:t>Other income (ex</w:t>
      </w:r>
      <w:r>
        <w:rPr>
          <w:rFonts w:ascii="Arial" w:eastAsia="Times New Roman" w:hAnsi="Arial" w:cs="Arial"/>
          <w:color w:val="000000"/>
          <w:sz w:val="20"/>
          <w:szCs w:val="20"/>
        </w:rPr>
        <w:t>pense), ne</w:t>
      </w:r>
      <w:r>
        <w:rPr>
          <w:rFonts w:ascii="Arial" w:eastAsia="Times New Roman" w:hAnsi="Arial" w:cs="Arial"/>
          <w:color w:val="000000"/>
          <w:sz w:val="20"/>
          <w:szCs w:val="20"/>
        </w:rPr>
        <w:t>t</w:t>
      </w:r>
      <w:r>
        <w:rPr>
          <w:rFonts w:ascii="Arial" w:eastAsia="Times New Roman" w:hAnsi="Arial" w:cs="Arial"/>
          <w:color w:val="000000"/>
          <w:sz w:val="20"/>
          <w:szCs w:val="20"/>
        </w:rPr>
        <w:t xml:space="preserve"> within our Consolidated Statements of Income and Comprehensive Income. Prior to the sale, MSTS was a reporting unit principally reported within the land segment. The sale did not meet the criteria to be reported as a discontinued operation.</w:t>
      </w:r>
    </w:p>
    <w:p w:rsidR="00000000" w:rsidRDefault="002223F7">
      <w:pPr>
        <w:jc w:val="both"/>
        <w:divId w:val="517157912"/>
        <w:rPr>
          <w:rFonts w:eastAsia="Times New Roman"/>
        </w:rPr>
      </w:pPr>
      <w:r>
        <w:rPr>
          <w:rFonts w:ascii="Arial" w:eastAsia="Times New Roman" w:hAnsi="Arial" w:cs="Arial"/>
          <w:color w:val="000000"/>
          <w:sz w:val="20"/>
          <w:szCs w:val="20"/>
        </w:rPr>
        <w:t>Dur</w:t>
      </w:r>
      <w:r>
        <w:rPr>
          <w:rFonts w:ascii="Arial" w:eastAsia="Times New Roman" w:hAnsi="Arial" w:cs="Arial"/>
          <w:color w:val="000000"/>
          <w:sz w:val="20"/>
          <w:szCs w:val="20"/>
        </w:rPr>
        <w:t>ing the third quarter of 2021, we collected $25.0 million of the deferred payment related to a note receivable originally due in 2026. No consideration was received with respect to 2021 as the financial targets were not met. As of December 31, 2022, we exp</w:t>
      </w:r>
      <w:r>
        <w:rPr>
          <w:rFonts w:ascii="Arial" w:eastAsia="Times New Roman" w:hAnsi="Arial" w:cs="Arial"/>
          <w:color w:val="000000"/>
          <w:sz w:val="20"/>
          <w:szCs w:val="20"/>
        </w:rPr>
        <w:t>ect that the amount to be collected based on 2022 financial targets is lower than the original fair value estimated. As a result, a loss of $7.7 million was recognized during the year ended December 31, 2022. The loss is reported in</w:t>
      </w:r>
      <w:r>
        <w:rPr>
          <w:rFonts w:ascii="Arial" w:eastAsia="Times New Roman" w:hAnsi="Arial" w:cs="Arial"/>
          <w:color w:val="000000"/>
          <w:sz w:val="20"/>
          <w:szCs w:val="20"/>
        </w:rPr>
        <w:t xml:space="preserve"> </w:t>
      </w:r>
      <w:r>
        <w:rPr>
          <w:rFonts w:ascii="Arial" w:eastAsia="Times New Roman" w:hAnsi="Arial" w:cs="Arial"/>
          <w:color w:val="000000"/>
          <w:sz w:val="20"/>
          <w:szCs w:val="20"/>
        </w:rPr>
        <w:t>Other income (expense),</w:t>
      </w:r>
      <w:r>
        <w:rPr>
          <w:rFonts w:ascii="Arial" w:eastAsia="Times New Roman" w:hAnsi="Arial" w:cs="Arial"/>
          <w:color w:val="000000"/>
          <w:sz w:val="20"/>
          <w:szCs w:val="20"/>
        </w:rPr>
        <w:t xml:space="preserve"> ne</w:t>
      </w:r>
      <w:r>
        <w:rPr>
          <w:rFonts w:ascii="Arial" w:eastAsia="Times New Roman" w:hAnsi="Arial" w:cs="Arial"/>
          <w:color w:val="000000"/>
          <w:sz w:val="20"/>
          <w:szCs w:val="20"/>
        </w:rPr>
        <w:t>t</w:t>
      </w:r>
      <w:r>
        <w:rPr>
          <w:rFonts w:ascii="Arial" w:eastAsia="Times New Roman" w:hAnsi="Arial" w:cs="Arial"/>
          <w:color w:val="000000"/>
          <w:sz w:val="20"/>
          <w:szCs w:val="20"/>
        </w:rPr>
        <w:t xml:space="preserve"> within our Consolidated Statements of Income and Comprehensive Income. </w:t>
      </w:r>
    </w:p>
    <w:p w:rsidR="00000000" w:rsidRDefault="002223F7">
      <w:pPr>
        <w:divId w:val="644358332"/>
        <w:rPr>
          <w:rFonts w:eastAsia="Times New Roman"/>
        </w:rPr>
      </w:pPr>
      <w:r>
        <w:rPr>
          <w:rFonts w:ascii="Arial" w:eastAsia="Times New Roman" w:hAnsi="Arial" w:cs="Arial"/>
          <w:b/>
          <w:bCs/>
          <w:color w:val="000000"/>
          <w:sz w:val="20"/>
          <w:szCs w:val="20"/>
        </w:rPr>
        <w:t>2020 Acquisition</w:t>
      </w:r>
    </w:p>
    <w:p w:rsidR="00000000" w:rsidRDefault="002223F7">
      <w:pPr>
        <w:jc w:val="both"/>
        <w:divId w:val="1433429633"/>
        <w:rPr>
          <w:rFonts w:eastAsia="Times New Roman"/>
        </w:rPr>
      </w:pPr>
      <w:r>
        <w:rPr>
          <w:rFonts w:ascii="Arial" w:eastAsia="Times New Roman" w:hAnsi="Arial" w:cs="Arial"/>
          <w:color w:val="000000"/>
          <w:sz w:val="20"/>
          <w:szCs w:val="20"/>
        </w:rPr>
        <w:t>On March 4, 2020, we completed the acquisition of the aviation fuel business from Universal Weather and Aviation, Inc. ("UVair fuel business"), which serves busin</w:t>
      </w:r>
      <w:r>
        <w:rPr>
          <w:rFonts w:ascii="Arial" w:eastAsia="Times New Roman" w:hAnsi="Arial" w:cs="Arial"/>
          <w:color w:val="000000"/>
          <w:sz w:val="20"/>
          <w:szCs w:val="20"/>
        </w:rPr>
        <w:t>ess and general aviation customers worldwide. The acquisition was accounted for as a business combination.</w:t>
      </w:r>
    </w:p>
    <w:p w:rsidR="00000000" w:rsidRDefault="002223F7">
      <w:pPr>
        <w:jc w:val="center"/>
        <w:divId w:val="146633312"/>
        <w:rPr>
          <w:rFonts w:eastAsia="Times New Roman"/>
        </w:rPr>
      </w:pPr>
      <w:r>
        <w:rPr>
          <w:rFonts w:ascii="Arial" w:eastAsia="Times New Roman" w:hAnsi="Arial" w:cs="Arial"/>
          <w:color w:val="000000"/>
          <w:sz w:val="16"/>
          <w:szCs w:val="16"/>
        </w:rPr>
        <w:t>57</w:t>
      </w:r>
    </w:p>
    <w:p w:rsidR="00000000" w:rsidRDefault="002223F7">
      <w:pPr>
        <w:rPr>
          <w:rFonts w:eastAsia="Times New Roman"/>
        </w:rPr>
      </w:pPr>
      <w:r>
        <w:rPr>
          <w:rFonts w:eastAsia="Times New Roman"/>
        </w:rPr>
        <w:pict>
          <v:rect id="_x0000_i1088" style="width:0;height:1.5pt" o:hralign="center" o:hrstd="t" o:hr="t" fillcolor="#a0a0a0" stroked="f"/>
        </w:pict>
      </w:r>
    </w:p>
    <w:p w:rsidR="00000000" w:rsidRDefault="002223F7">
      <w:pPr>
        <w:jc w:val="both"/>
        <w:divId w:val="643119780"/>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898049945"/>
        <w:rPr>
          <w:rFonts w:eastAsia="Times New Roman"/>
        </w:rPr>
      </w:pPr>
      <w:r>
        <w:rPr>
          <w:rFonts w:ascii="Arial" w:eastAsia="Times New Roman" w:hAnsi="Arial" w:cs="Arial"/>
          <w:color w:val="000000"/>
          <w:sz w:val="20"/>
          <w:szCs w:val="20"/>
        </w:rPr>
        <w:t>The purchase price allocation was finalized in the third quarter of 2020. The followin</w:t>
      </w:r>
      <w:r>
        <w:rPr>
          <w:rFonts w:ascii="Arial" w:eastAsia="Times New Roman" w:hAnsi="Arial" w:cs="Arial"/>
          <w:color w:val="000000"/>
          <w:sz w:val="20"/>
          <w:szCs w:val="20"/>
        </w:rPr>
        <w:t xml:space="preserve">g table summarizes the final aggregate consideration, updated for certain working capital items, and the final fair value of the assets acquired and liabilities assumed (in millions): </w:t>
      </w:r>
    </w:p>
    <w:tbl>
      <w:tblPr>
        <w:tblW w:w="5000" w:type="pct"/>
        <w:tblCellMar>
          <w:top w:w="15" w:type="dxa"/>
          <w:left w:w="15" w:type="dxa"/>
          <w:bottom w:w="15" w:type="dxa"/>
          <w:right w:w="15" w:type="dxa"/>
        </w:tblCellMar>
        <w:tblLook w:val="04A0" w:firstRow="1" w:lastRow="0" w:firstColumn="1" w:lastColumn="0" w:noHBand="0" w:noVBand="1"/>
      </w:tblPr>
      <w:tblGrid>
        <w:gridCol w:w="43"/>
        <w:gridCol w:w="6475"/>
        <w:gridCol w:w="36"/>
        <w:gridCol w:w="36"/>
        <w:gridCol w:w="36"/>
        <w:gridCol w:w="36"/>
        <w:gridCol w:w="132"/>
        <w:gridCol w:w="1476"/>
        <w:gridCol w:w="36"/>
      </w:tblGrid>
      <w:tr w:rsidR="00000000">
        <w:trPr>
          <w:divId w:val="837381377"/>
        </w:trPr>
        <w:tc>
          <w:tcPr>
            <w:tcW w:w="50" w:type="pct"/>
            <w:vAlign w:val="center"/>
            <w:hideMark/>
          </w:tcPr>
          <w:p w:rsidR="00000000" w:rsidRDefault="002223F7">
            <w:pPr>
              <w:jc w:val="both"/>
              <w:rPr>
                <w:rFonts w:eastAsia="Times New Roman"/>
              </w:rPr>
            </w:pPr>
          </w:p>
        </w:tc>
        <w:tc>
          <w:tcPr>
            <w:tcW w:w="392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91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837381377"/>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Total</w:t>
            </w:r>
          </w:p>
        </w:tc>
      </w:tr>
      <w:tr w:rsidR="00000000">
        <w:trPr>
          <w:divId w:val="83738137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Cash paid for acquisition of business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83738137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divId w:val="943079681"/>
              <w:rPr>
                <w:rFonts w:eastAsia="Times New Roman"/>
              </w:rPr>
            </w:pPr>
            <w:r>
              <w:rPr>
                <w:rFonts w:ascii="Arial" w:eastAsia="Times New Roman" w:hAnsi="Arial" w:cs="Arial"/>
                <w:color w:val="000000"/>
                <w:sz w:val="20"/>
                <w:szCs w:val="20"/>
              </w:rPr>
              <w:t>Amounts due to seller</w:t>
            </w:r>
            <w:r>
              <w:rPr>
                <w:rFonts w:ascii="Arial" w:eastAsia="Times New Roman" w:hAnsi="Arial" w:cs="Arial"/>
                <w:color w:val="000000"/>
                <w:sz w:val="20"/>
                <w:szCs w:val="20"/>
              </w:rPr>
              <w:t>s</w:t>
            </w:r>
            <w:r>
              <w:rPr>
                <w:rFonts w:ascii="Arial" w:eastAsia="Times New Roman" w:hAnsi="Arial" w:cs="Arial"/>
                <w:color w:val="000000"/>
                <w:sz w:val="13"/>
                <w:szCs w:val="13"/>
              </w:rPr>
              <w:t xml:space="preserve"> (1</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83738137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Purchase price</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159.0 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837381377"/>
          <w:trHeight w:val="300"/>
        </w:trPr>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83738137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20"/>
                <w:szCs w:val="20"/>
              </w:rPr>
              <w:t>Assets acquired:</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83738137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Accounts receivable</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42.8 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83738137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Goodwill and identifiable intangible assets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123.3 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83738137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Other current and long-term assets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837381377"/>
          <w:trHeight w:val="300"/>
        </w:trPr>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83738137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20"/>
                <w:szCs w:val="20"/>
              </w:rPr>
              <w:t>Liabilities assumed:</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83738137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Accounts payable</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(9.9)</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83738137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Other current and long-term liabilities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83738137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20"/>
                <w:szCs w:val="20"/>
              </w:rPr>
              <w:t>Purchase price</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159.0 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ind w:hanging="360"/>
        <w:jc w:val="both"/>
        <w:divId w:val="1830905588"/>
        <w:rPr>
          <w:rFonts w:eastAsia="Times New Roman"/>
        </w:rPr>
      </w:pPr>
      <w:r>
        <w:rPr>
          <w:rFonts w:ascii="Arial" w:eastAsia="Times New Roman" w:hAnsi="Arial" w:cs="Arial"/>
          <w:color w:val="000000"/>
          <w:sz w:val="13"/>
          <w:szCs w:val="13"/>
        </w:rPr>
        <w:t>(1)   </w:t>
      </w:r>
      <w:r>
        <w:rPr>
          <w:rFonts w:ascii="Arial" w:eastAsia="Times New Roman" w:hAnsi="Arial" w:cs="Arial"/>
          <w:color w:val="000000"/>
          <w:sz w:val="13"/>
          <w:szCs w:val="13"/>
        </w:rPr>
        <w:t> </w:t>
      </w:r>
      <w:r>
        <w:rPr>
          <w:rFonts w:ascii="Arial" w:eastAsia="Times New Roman" w:hAnsi="Arial" w:cs="Arial"/>
          <w:color w:val="000000"/>
          <w:sz w:val="20"/>
          <w:szCs w:val="20"/>
        </w:rPr>
        <w:t>The total consideration includes a deferred payment that remains partially outstanding as of December 31, 2022.</w:t>
      </w:r>
    </w:p>
    <w:p w:rsidR="00000000" w:rsidRDefault="002223F7">
      <w:pPr>
        <w:jc w:val="both"/>
        <w:divId w:val="1337460859"/>
        <w:rPr>
          <w:rFonts w:eastAsia="Times New Roman"/>
        </w:rPr>
      </w:pPr>
      <w:r>
        <w:rPr>
          <w:rFonts w:ascii="Arial" w:eastAsia="Times New Roman" w:hAnsi="Arial" w:cs="Arial"/>
          <w:color w:val="000000"/>
          <w:sz w:val="20"/>
          <w:szCs w:val="20"/>
        </w:rPr>
        <w:t xml:space="preserve">Goodwill in the amount of $79.1 million was recorded, $70.2 </w:t>
      </w:r>
      <w:r>
        <w:rPr>
          <w:rFonts w:ascii="Arial" w:eastAsia="Times New Roman" w:hAnsi="Arial" w:cs="Arial"/>
          <w:color w:val="000000"/>
          <w:sz w:val="20"/>
          <w:szCs w:val="20"/>
        </w:rPr>
        <w:t>million of which was determined to be deductible for tax purposes. The goodwill was assigned to the aviation segment and is attributable primarily to the expected synergies and other benefits that we believe will result from combining the acquired operatio</w:t>
      </w:r>
      <w:r>
        <w:rPr>
          <w:rFonts w:ascii="Arial" w:eastAsia="Times New Roman" w:hAnsi="Arial" w:cs="Arial"/>
          <w:color w:val="000000"/>
          <w:sz w:val="20"/>
          <w:szCs w:val="20"/>
        </w:rPr>
        <w:t>ns with the operations of our aviation segment. The identifiable intangible assets were $44.3 million and primarily consisted of customer relationships and other identifiable assets.</w:t>
      </w:r>
    </w:p>
    <w:p w:rsidR="00000000" w:rsidRDefault="002223F7">
      <w:pPr>
        <w:jc w:val="both"/>
        <w:divId w:val="1550459285"/>
        <w:rPr>
          <w:rFonts w:eastAsia="Times New Roman"/>
        </w:rPr>
      </w:pPr>
      <w:r>
        <w:rPr>
          <w:rFonts w:ascii="Arial" w:eastAsia="Times New Roman" w:hAnsi="Arial" w:cs="Arial"/>
          <w:color w:val="000000"/>
          <w:sz w:val="20"/>
          <w:szCs w:val="20"/>
        </w:rPr>
        <w:t>The financial position, results of operations and cash flows of this acqu</w:t>
      </w:r>
      <w:r>
        <w:rPr>
          <w:rFonts w:ascii="Arial" w:eastAsia="Times New Roman" w:hAnsi="Arial" w:cs="Arial"/>
          <w:color w:val="000000"/>
          <w:sz w:val="20"/>
          <w:szCs w:val="20"/>
        </w:rPr>
        <w:t>isition has been included in our Consolidated Financial Statements since the acquisition date and did not have a material impact on our consolidated revenue and net income for the year ended December 31, 2020; accordingly, pro forma information has not bee</w:t>
      </w:r>
      <w:r>
        <w:rPr>
          <w:rFonts w:ascii="Arial" w:eastAsia="Times New Roman" w:hAnsi="Arial" w:cs="Arial"/>
          <w:color w:val="000000"/>
          <w:sz w:val="20"/>
          <w:szCs w:val="20"/>
        </w:rPr>
        <w:t>n provided.</w:t>
      </w:r>
    </w:p>
    <w:p w:rsidR="00000000" w:rsidRDefault="002223F7">
      <w:pPr>
        <w:divId w:val="1702128191"/>
        <w:rPr>
          <w:rFonts w:eastAsia="Times New Roman"/>
        </w:rPr>
      </w:pPr>
      <w:r>
        <w:rPr>
          <w:rFonts w:ascii="Arial" w:eastAsia="Times New Roman" w:hAnsi="Arial" w:cs="Arial"/>
          <w:b/>
          <w:bCs/>
          <w:color w:val="000000"/>
          <w:sz w:val="20"/>
          <w:szCs w:val="20"/>
        </w:rPr>
        <w:t>4. Derivative Instruments</w:t>
      </w:r>
    </w:p>
    <w:p w:rsidR="00000000" w:rsidRDefault="002223F7">
      <w:pPr>
        <w:jc w:val="both"/>
        <w:divId w:val="282003825"/>
        <w:rPr>
          <w:rFonts w:eastAsia="Times New Roman"/>
        </w:rPr>
      </w:pPr>
      <w:r>
        <w:rPr>
          <w:rFonts w:ascii="Arial" w:eastAsia="Times New Roman" w:hAnsi="Arial" w:cs="Arial"/>
          <w:color w:val="000000"/>
          <w:sz w:val="20"/>
          <w:szCs w:val="20"/>
        </w:rPr>
        <w:t>We are exposed to a variety of risks including but not limited to, changes in the prices of commodities that we buy or sell, changes in foreign currency exchange rates, changes in interest rates, and the creditworthiness of each of our counterparties. Whil</w:t>
      </w:r>
      <w:r>
        <w:rPr>
          <w:rFonts w:ascii="Arial" w:eastAsia="Times New Roman" w:hAnsi="Arial" w:cs="Arial"/>
          <w:color w:val="000000"/>
          <w:sz w:val="20"/>
          <w:szCs w:val="20"/>
        </w:rPr>
        <w:t>e we attempt to mitigate these fluctuations through hedging, such hedges may not be fully effective.</w:t>
      </w:r>
    </w:p>
    <w:p w:rsidR="00000000" w:rsidRDefault="002223F7">
      <w:pPr>
        <w:jc w:val="both"/>
        <w:divId w:val="1084449515"/>
        <w:rPr>
          <w:rFonts w:eastAsia="Times New Roman"/>
        </w:rPr>
      </w:pPr>
      <w:r>
        <w:rPr>
          <w:rFonts w:ascii="Arial" w:eastAsia="Times New Roman" w:hAnsi="Arial" w:cs="Arial"/>
          <w:color w:val="000000"/>
          <w:sz w:val="20"/>
          <w:szCs w:val="20"/>
        </w:rPr>
        <w:t xml:space="preserve">Our risk management program includes the following types of derivative instruments: </w:t>
      </w:r>
    </w:p>
    <w:p w:rsidR="00000000" w:rsidRDefault="002223F7">
      <w:pPr>
        <w:jc w:val="both"/>
        <w:divId w:val="1995529110"/>
        <w:rPr>
          <w:rFonts w:eastAsia="Times New Roman"/>
        </w:rPr>
      </w:pPr>
      <w:r>
        <w:rPr>
          <w:rFonts w:ascii="Arial" w:eastAsia="Times New Roman" w:hAnsi="Arial" w:cs="Arial"/>
          <w:i/>
          <w:iCs/>
          <w:color w:val="000000"/>
          <w:sz w:val="20"/>
          <w:szCs w:val="20"/>
        </w:rPr>
        <w:t xml:space="preserve">Fair Value Hedges. </w:t>
      </w:r>
      <w:r>
        <w:rPr>
          <w:rFonts w:ascii="Arial" w:eastAsia="Times New Roman" w:hAnsi="Arial" w:cs="Arial"/>
          <w:color w:val="000000"/>
          <w:sz w:val="20"/>
          <w:szCs w:val="20"/>
        </w:rPr>
        <w:t>Derivative contracts we hold to hedge the risk of c</w:t>
      </w:r>
      <w:r>
        <w:rPr>
          <w:rFonts w:ascii="Arial" w:eastAsia="Times New Roman" w:hAnsi="Arial" w:cs="Arial"/>
          <w:color w:val="000000"/>
          <w:sz w:val="20"/>
          <w:szCs w:val="20"/>
        </w:rPr>
        <w:t>hanges in the price of our inventory.</w:t>
      </w:r>
    </w:p>
    <w:p w:rsidR="00000000" w:rsidRDefault="002223F7">
      <w:pPr>
        <w:jc w:val="both"/>
        <w:divId w:val="1033773732"/>
        <w:rPr>
          <w:rFonts w:eastAsia="Times New Roman"/>
        </w:rPr>
      </w:pPr>
      <w:r>
        <w:rPr>
          <w:rFonts w:ascii="Arial" w:eastAsia="Times New Roman" w:hAnsi="Arial" w:cs="Arial"/>
          <w:i/>
          <w:iCs/>
          <w:color w:val="000000"/>
          <w:sz w:val="20"/>
          <w:szCs w:val="20"/>
        </w:rPr>
        <w:t xml:space="preserve">Cash Flow Hedges. </w:t>
      </w:r>
      <w:r>
        <w:rPr>
          <w:rFonts w:ascii="Arial" w:eastAsia="Times New Roman" w:hAnsi="Arial" w:cs="Arial"/>
          <w:color w:val="000000"/>
          <w:sz w:val="20"/>
          <w:szCs w:val="20"/>
        </w:rPr>
        <w:t>Derivative contracts we execute to mitigate the risk of price and interest rate volatility in forecasted transactions.</w:t>
      </w:r>
    </w:p>
    <w:p w:rsidR="00000000" w:rsidRDefault="002223F7">
      <w:pPr>
        <w:jc w:val="both"/>
        <w:divId w:val="296492238"/>
        <w:rPr>
          <w:rFonts w:eastAsia="Times New Roman"/>
        </w:rPr>
      </w:pPr>
      <w:r>
        <w:rPr>
          <w:rFonts w:ascii="Arial" w:eastAsia="Times New Roman" w:hAnsi="Arial" w:cs="Arial"/>
          <w:i/>
          <w:iCs/>
          <w:color w:val="000000"/>
          <w:sz w:val="20"/>
          <w:szCs w:val="20"/>
        </w:rPr>
        <w:t xml:space="preserve">Non-designated Derivatives. </w:t>
      </w:r>
      <w:r>
        <w:rPr>
          <w:rFonts w:ascii="Arial" w:eastAsia="Times New Roman" w:hAnsi="Arial" w:cs="Arial"/>
          <w:color w:val="000000"/>
          <w:sz w:val="20"/>
          <w:szCs w:val="20"/>
        </w:rPr>
        <w:t>Derivatives we primarily transact to mitigate the ris</w:t>
      </w:r>
      <w:r>
        <w:rPr>
          <w:rFonts w:ascii="Arial" w:eastAsia="Times New Roman" w:hAnsi="Arial" w:cs="Arial"/>
          <w:color w:val="000000"/>
          <w:sz w:val="20"/>
          <w:szCs w:val="20"/>
        </w:rPr>
        <w:t>k of market price fluctuations in swaps or futures contracts, as well as certain forward fixed price purchase and sale contracts to hedge the risk of currency rate fluctuations and for portfolio optimization.</w:t>
      </w:r>
    </w:p>
    <w:p w:rsidR="00000000" w:rsidRDefault="002223F7">
      <w:pPr>
        <w:jc w:val="center"/>
        <w:divId w:val="662469605"/>
        <w:rPr>
          <w:rFonts w:eastAsia="Times New Roman"/>
        </w:rPr>
      </w:pPr>
      <w:r>
        <w:rPr>
          <w:rFonts w:ascii="Arial" w:eastAsia="Times New Roman" w:hAnsi="Arial" w:cs="Arial"/>
          <w:color w:val="000000"/>
          <w:sz w:val="16"/>
          <w:szCs w:val="16"/>
        </w:rPr>
        <w:t>58</w:t>
      </w:r>
    </w:p>
    <w:p w:rsidR="00000000" w:rsidRDefault="002223F7">
      <w:pPr>
        <w:rPr>
          <w:rFonts w:eastAsia="Times New Roman"/>
        </w:rPr>
      </w:pPr>
      <w:r>
        <w:rPr>
          <w:rFonts w:eastAsia="Times New Roman"/>
        </w:rPr>
        <w:pict>
          <v:rect id="_x0000_i1089" style="width:0;height:1.5pt" o:hralign="center" o:hrstd="t" o:hr="t" fillcolor="#a0a0a0" stroked="f"/>
        </w:pict>
      </w:r>
    </w:p>
    <w:p w:rsidR="00000000" w:rsidRDefault="002223F7">
      <w:pPr>
        <w:jc w:val="both"/>
        <w:divId w:val="2051760997"/>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898369215"/>
        <w:rPr>
          <w:rFonts w:eastAsia="Times New Roman"/>
        </w:rPr>
      </w:pPr>
      <w:r>
        <w:rPr>
          <w:rFonts w:ascii="Arial" w:eastAsia="Times New Roman" w:hAnsi="Arial" w:cs="Arial"/>
          <w:color w:val="000000"/>
          <w:sz w:val="20"/>
          <w:szCs w:val="20"/>
        </w:rPr>
        <w:t>The following table summarizes the gross notional values of our derivative contracts u</w:t>
      </w:r>
      <w:r>
        <w:rPr>
          <w:rFonts w:ascii="Arial" w:eastAsia="Times New Roman" w:hAnsi="Arial" w:cs="Arial"/>
          <w:color w:val="000000"/>
          <w:sz w:val="20"/>
          <w:szCs w:val="20"/>
        </w:rPr>
        <w:t>sed for risk management purposes (in millions):</w:t>
      </w:r>
    </w:p>
    <w:tbl>
      <w:tblPr>
        <w:tblW w:w="5000" w:type="pct"/>
        <w:tblCellMar>
          <w:top w:w="15" w:type="dxa"/>
          <w:left w:w="15" w:type="dxa"/>
          <w:bottom w:w="15" w:type="dxa"/>
          <w:right w:w="15" w:type="dxa"/>
        </w:tblCellMar>
        <w:tblLook w:val="04A0" w:firstRow="1" w:lastRow="0" w:firstColumn="1" w:lastColumn="0" w:noHBand="0" w:noVBand="1"/>
      </w:tblPr>
      <w:tblGrid>
        <w:gridCol w:w="58"/>
        <w:gridCol w:w="4985"/>
        <w:gridCol w:w="36"/>
        <w:gridCol w:w="36"/>
        <w:gridCol w:w="44"/>
        <w:gridCol w:w="36"/>
        <w:gridCol w:w="59"/>
        <w:gridCol w:w="1184"/>
        <w:gridCol w:w="36"/>
        <w:gridCol w:w="36"/>
        <w:gridCol w:w="44"/>
        <w:gridCol w:w="36"/>
        <w:gridCol w:w="65"/>
        <w:gridCol w:w="1615"/>
        <w:gridCol w:w="36"/>
      </w:tblGrid>
      <w:tr w:rsidR="00000000">
        <w:trPr>
          <w:divId w:val="1876842502"/>
        </w:trPr>
        <w:tc>
          <w:tcPr>
            <w:tcW w:w="50" w:type="pct"/>
            <w:vAlign w:val="center"/>
            <w:hideMark/>
          </w:tcPr>
          <w:p w:rsidR="00000000" w:rsidRDefault="002223F7">
            <w:pPr>
              <w:jc w:val="both"/>
              <w:rPr>
                <w:rFonts w:eastAsia="Times New Roman"/>
              </w:rPr>
            </w:pPr>
          </w:p>
        </w:tc>
        <w:tc>
          <w:tcPr>
            <w:tcW w:w="301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72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990"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1876842502"/>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2223F7">
            <w:pPr>
              <w:spacing w:after="100"/>
              <w:jc w:val="center"/>
              <w:rPr>
                <w:rFonts w:eastAsia="Times New Roman"/>
              </w:rPr>
            </w:pPr>
            <w:r>
              <w:rPr>
                <w:rFonts w:ascii="Arial" w:eastAsia="Times New Roman" w:hAnsi="Arial" w:cs="Arial"/>
                <w:b/>
                <w:bCs/>
                <w:color w:val="333333"/>
                <w:sz w:val="20"/>
                <w:szCs w:val="20"/>
              </w:rPr>
              <w:t>Unit</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2223F7">
            <w:pPr>
              <w:spacing w:after="100"/>
              <w:jc w:val="center"/>
              <w:rPr>
                <w:rFonts w:eastAsia="Times New Roman"/>
              </w:rPr>
            </w:pPr>
            <w:r>
              <w:rPr>
                <w:rFonts w:ascii="Arial" w:eastAsia="Times New Roman" w:hAnsi="Arial" w:cs="Arial"/>
                <w:b/>
                <w:bCs/>
                <w:color w:val="000000"/>
                <w:sz w:val="20"/>
                <w:szCs w:val="20"/>
              </w:rPr>
              <w:t>December 31, 2022</w:t>
            </w:r>
          </w:p>
        </w:tc>
      </w:tr>
      <w:tr w:rsidR="00000000">
        <w:trPr>
          <w:divId w:val="1876842502"/>
        </w:trPr>
        <w:tc>
          <w:tcPr>
            <w:tcW w:w="0" w:type="auto"/>
            <w:gridSpan w:val="3"/>
            <w:shd w:val="clear" w:color="auto" w:fill="CCEEFF"/>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b/>
                <w:bCs/>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876842502"/>
        </w:trPr>
        <w:tc>
          <w:tcPr>
            <w:tcW w:w="0" w:type="auto"/>
            <w:gridSpan w:val="3"/>
            <w:shd w:val="clear" w:color="auto" w:fill="FFFFFF"/>
            <w:tcMar>
              <w:top w:w="30" w:type="dxa"/>
              <w:left w:w="14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Long</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2223F7">
            <w:pPr>
              <w:spacing w:after="100"/>
              <w:jc w:val="center"/>
              <w:rPr>
                <w:rFonts w:eastAsia="Times New Roman"/>
              </w:rPr>
            </w:pPr>
            <w:r>
              <w:rPr>
                <w:rFonts w:ascii="Arial" w:eastAsia="Times New Roman" w:hAnsi="Arial" w:cs="Arial"/>
                <w:color w:val="000000"/>
                <w:sz w:val="20"/>
                <w:szCs w:val="20"/>
              </w:rPr>
              <w:t>BBL</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2223F7">
            <w:pPr>
              <w:spacing w:after="100"/>
              <w:jc w:val="right"/>
              <w:rPr>
                <w:rFonts w:eastAsia="Times New Roman"/>
              </w:rPr>
            </w:pPr>
            <w:r>
              <w:rPr>
                <w:rFonts w:ascii="Arial" w:eastAsia="Times New Roman" w:hAnsi="Arial" w:cs="Arial"/>
                <w:color w:val="000000"/>
                <w:sz w:val="20"/>
                <w:szCs w:val="20"/>
              </w:rPr>
              <w:t>81.2 </w:t>
            </w:r>
          </w:p>
        </w:tc>
        <w:tc>
          <w:tcPr>
            <w:tcW w:w="0" w:type="auto"/>
            <w:shd w:val="clear" w:color="auto" w:fill="FFFFFF"/>
            <w:tcMar>
              <w:top w:w="30" w:type="dxa"/>
              <w:left w:w="0" w:type="dxa"/>
              <w:bottom w:w="30" w:type="dxa"/>
              <w:right w:w="20" w:type="dxa"/>
            </w:tcMar>
            <w:hideMark/>
          </w:tcPr>
          <w:p w:rsidR="00000000" w:rsidRDefault="002223F7">
            <w:pPr>
              <w:spacing w:after="100"/>
              <w:jc w:val="right"/>
              <w:rPr>
                <w:rFonts w:eastAsia="Times New Roman"/>
              </w:rPr>
            </w:pPr>
          </w:p>
        </w:tc>
      </w:tr>
      <w:tr w:rsidR="00000000">
        <w:trPr>
          <w:divId w:val="1876842502"/>
        </w:trPr>
        <w:tc>
          <w:tcPr>
            <w:tcW w:w="0" w:type="auto"/>
            <w:gridSpan w:val="3"/>
            <w:shd w:val="clear" w:color="auto" w:fill="CCEEFF"/>
            <w:tcMar>
              <w:top w:w="30" w:type="dxa"/>
              <w:left w:w="14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Short</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2223F7">
            <w:pPr>
              <w:spacing w:after="100"/>
              <w:jc w:val="center"/>
              <w:rPr>
                <w:rFonts w:eastAsia="Times New Roman"/>
              </w:rPr>
            </w:pPr>
            <w:r>
              <w:rPr>
                <w:rFonts w:ascii="Arial" w:eastAsia="Times New Roman" w:hAnsi="Arial" w:cs="Arial"/>
                <w:color w:val="000000"/>
                <w:sz w:val="20"/>
                <w:szCs w:val="20"/>
              </w:rPr>
              <w:t>BBL</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2223F7">
            <w:pPr>
              <w:spacing w:after="100"/>
              <w:jc w:val="right"/>
              <w:rPr>
                <w:rFonts w:eastAsia="Times New Roman"/>
              </w:rPr>
            </w:pPr>
            <w:r>
              <w:rPr>
                <w:rFonts w:ascii="Arial" w:eastAsia="Times New Roman" w:hAnsi="Arial" w:cs="Arial"/>
                <w:color w:val="000000"/>
                <w:sz w:val="20"/>
                <w:szCs w:val="20"/>
              </w:rPr>
              <w:t>(79.5)</w:t>
            </w:r>
          </w:p>
        </w:tc>
        <w:tc>
          <w:tcPr>
            <w:tcW w:w="0" w:type="auto"/>
            <w:shd w:val="clear" w:color="auto" w:fill="CCEEFF"/>
            <w:tcMar>
              <w:top w:w="30" w:type="dxa"/>
              <w:left w:w="0" w:type="dxa"/>
              <w:bottom w:w="30" w:type="dxa"/>
              <w:right w:w="20" w:type="dxa"/>
            </w:tcMar>
            <w:hideMark/>
          </w:tcPr>
          <w:p w:rsidR="00000000" w:rsidRDefault="002223F7">
            <w:pPr>
              <w:spacing w:after="100"/>
              <w:jc w:val="right"/>
              <w:rPr>
                <w:rFonts w:eastAsia="Times New Roman"/>
              </w:rPr>
            </w:pPr>
          </w:p>
        </w:tc>
      </w:tr>
      <w:tr w:rsidR="00000000">
        <w:trPr>
          <w:divId w:val="1876842502"/>
          <w:trHeight w:val="280"/>
        </w:trPr>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876842502"/>
        </w:trPr>
        <w:tc>
          <w:tcPr>
            <w:tcW w:w="0" w:type="auto"/>
            <w:gridSpan w:val="3"/>
            <w:shd w:val="clear" w:color="auto" w:fill="CCEEFF"/>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b/>
                <w:bCs/>
                <w:color w:val="000000"/>
                <w:sz w:val="20"/>
                <w:szCs w:val="20"/>
              </w:rPr>
              <w:t>Foreign currency exchange contracts: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876842502"/>
        </w:trPr>
        <w:tc>
          <w:tcPr>
            <w:tcW w:w="0" w:type="auto"/>
            <w:gridSpan w:val="3"/>
            <w:shd w:val="clear" w:color="auto" w:fill="FFFFFF"/>
            <w:tcMar>
              <w:top w:w="30" w:type="dxa"/>
              <w:left w:w="14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Sell U.S. dollar, buy other currencies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2223F7">
            <w:pPr>
              <w:spacing w:after="100"/>
              <w:jc w:val="center"/>
              <w:rPr>
                <w:rFonts w:eastAsia="Times New Roman"/>
              </w:rPr>
            </w:pPr>
            <w:r>
              <w:rPr>
                <w:rFonts w:ascii="Arial" w:eastAsia="Times New Roman" w:hAnsi="Arial" w:cs="Arial"/>
                <w:color w:val="000000"/>
                <w:sz w:val="20"/>
                <w:szCs w:val="20"/>
              </w:rPr>
              <w:t>USD</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2223F7">
            <w:pPr>
              <w:spacing w:after="100"/>
              <w:jc w:val="right"/>
              <w:rPr>
                <w:rFonts w:eastAsia="Times New Roman"/>
              </w:rPr>
            </w:pPr>
            <w:r>
              <w:rPr>
                <w:rFonts w:ascii="Arial" w:eastAsia="Times New Roman" w:hAnsi="Arial" w:cs="Arial"/>
                <w:color w:val="000000"/>
                <w:sz w:val="20"/>
                <w:szCs w:val="20"/>
              </w:rPr>
              <w:t>(662.4)</w:t>
            </w:r>
          </w:p>
        </w:tc>
        <w:tc>
          <w:tcPr>
            <w:tcW w:w="0" w:type="auto"/>
            <w:shd w:val="clear" w:color="auto" w:fill="FFFFFF"/>
            <w:tcMar>
              <w:top w:w="30" w:type="dxa"/>
              <w:left w:w="0" w:type="dxa"/>
              <w:bottom w:w="30" w:type="dxa"/>
              <w:right w:w="20" w:type="dxa"/>
            </w:tcMar>
            <w:hideMark/>
          </w:tcPr>
          <w:p w:rsidR="00000000" w:rsidRDefault="002223F7">
            <w:pPr>
              <w:spacing w:after="100"/>
              <w:jc w:val="right"/>
              <w:rPr>
                <w:rFonts w:eastAsia="Times New Roman"/>
              </w:rPr>
            </w:pPr>
          </w:p>
        </w:tc>
      </w:tr>
      <w:tr w:rsidR="00000000">
        <w:trPr>
          <w:divId w:val="1876842502"/>
        </w:trPr>
        <w:tc>
          <w:tcPr>
            <w:tcW w:w="0" w:type="auto"/>
            <w:gridSpan w:val="3"/>
            <w:shd w:val="clear" w:color="auto" w:fill="CCEEFF"/>
            <w:tcMar>
              <w:top w:w="30" w:type="dxa"/>
              <w:left w:w="14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Buy U.S. dollar, sell other currencies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2223F7">
            <w:pPr>
              <w:spacing w:after="100"/>
              <w:jc w:val="center"/>
              <w:rPr>
                <w:rFonts w:eastAsia="Times New Roman"/>
              </w:rPr>
            </w:pPr>
            <w:r>
              <w:rPr>
                <w:rFonts w:ascii="Arial" w:eastAsia="Times New Roman" w:hAnsi="Arial" w:cs="Arial"/>
                <w:color w:val="000000"/>
                <w:sz w:val="20"/>
                <w:szCs w:val="20"/>
              </w:rPr>
              <w:t>USD</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2223F7">
            <w:pPr>
              <w:spacing w:after="100"/>
              <w:jc w:val="right"/>
              <w:rPr>
                <w:rFonts w:eastAsia="Times New Roman"/>
              </w:rPr>
            </w:pPr>
            <w:r>
              <w:rPr>
                <w:rFonts w:ascii="Arial" w:eastAsia="Times New Roman" w:hAnsi="Arial" w:cs="Arial"/>
                <w:color w:val="000000"/>
                <w:sz w:val="20"/>
                <w:szCs w:val="20"/>
              </w:rPr>
              <w:t>860.8 </w:t>
            </w:r>
          </w:p>
        </w:tc>
        <w:tc>
          <w:tcPr>
            <w:tcW w:w="0" w:type="auto"/>
            <w:shd w:val="clear" w:color="auto" w:fill="CCEEFF"/>
            <w:tcMar>
              <w:top w:w="30" w:type="dxa"/>
              <w:left w:w="0" w:type="dxa"/>
              <w:bottom w:w="30" w:type="dxa"/>
              <w:right w:w="20" w:type="dxa"/>
            </w:tcMar>
            <w:hideMark/>
          </w:tcPr>
          <w:p w:rsidR="00000000" w:rsidRDefault="002223F7">
            <w:pPr>
              <w:spacing w:after="100"/>
              <w:jc w:val="right"/>
              <w:rPr>
                <w:rFonts w:eastAsia="Times New Roman"/>
              </w:rPr>
            </w:pPr>
          </w:p>
        </w:tc>
      </w:tr>
      <w:tr w:rsidR="00000000">
        <w:trPr>
          <w:divId w:val="1876842502"/>
          <w:trHeight w:val="240"/>
        </w:trPr>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876842502"/>
        </w:trPr>
        <w:tc>
          <w:tcPr>
            <w:tcW w:w="0" w:type="auto"/>
            <w:gridSpan w:val="3"/>
            <w:shd w:val="clear" w:color="auto" w:fill="CCEEFF"/>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b/>
                <w:bCs/>
                <w:color w:val="000000"/>
                <w:sz w:val="20"/>
                <w:szCs w:val="20"/>
              </w:rPr>
              <w:t>Interest rate contract:</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876842502"/>
        </w:trPr>
        <w:tc>
          <w:tcPr>
            <w:tcW w:w="0" w:type="auto"/>
            <w:gridSpan w:val="3"/>
            <w:shd w:val="clear" w:color="auto" w:fill="FFFFFF"/>
            <w:tcMar>
              <w:top w:w="30" w:type="dxa"/>
              <w:left w:w="14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Interest rate swap</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2223F7">
            <w:pPr>
              <w:spacing w:after="100"/>
              <w:jc w:val="center"/>
              <w:rPr>
                <w:rFonts w:eastAsia="Times New Roman"/>
              </w:rPr>
            </w:pPr>
            <w:r>
              <w:rPr>
                <w:rFonts w:ascii="Arial" w:eastAsia="Times New Roman" w:hAnsi="Arial" w:cs="Arial"/>
                <w:color w:val="000000"/>
                <w:sz w:val="20"/>
                <w:szCs w:val="20"/>
              </w:rPr>
              <w:t>USD</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2223F7">
            <w:pPr>
              <w:spacing w:after="100"/>
              <w:jc w:val="right"/>
              <w:rPr>
                <w:rFonts w:eastAsia="Times New Roman"/>
              </w:rPr>
            </w:pPr>
            <w:r>
              <w:rPr>
                <w:rFonts w:ascii="Arial" w:eastAsia="Times New Roman" w:hAnsi="Arial" w:cs="Arial"/>
                <w:color w:val="000000"/>
                <w:sz w:val="20"/>
                <w:szCs w:val="20"/>
              </w:rPr>
              <w:t>300.0 </w:t>
            </w:r>
          </w:p>
        </w:tc>
        <w:tc>
          <w:tcPr>
            <w:tcW w:w="0" w:type="auto"/>
            <w:shd w:val="clear" w:color="auto" w:fill="FFFFFF"/>
            <w:tcMar>
              <w:top w:w="30" w:type="dxa"/>
              <w:left w:w="0" w:type="dxa"/>
              <w:bottom w:w="30" w:type="dxa"/>
              <w:right w:w="20" w:type="dxa"/>
            </w:tcMar>
            <w:hideMark/>
          </w:tcPr>
          <w:p w:rsidR="00000000" w:rsidRDefault="002223F7">
            <w:pPr>
              <w:spacing w:after="100"/>
              <w:jc w:val="right"/>
              <w:rPr>
                <w:rFonts w:eastAsia="Times New Roman"/>
              </w:rPr>
            </w:pPr>
          </w:p>
        </w:tc>
      </w:tr>
    </w:tbl>
    <w:p w:rsidR="00000000" w:rsidRDefault="002223F7">
      <w:pPr>
        <w:jc w:val="both"/>
        <w:rPr>
          <w:rFonts w:eastAsia="Times New Roman"/>
        </w:rPr>
      </w:pPr>
      <w:r>
        <w:rPr>
          <w:rFonts w:ascii="Arial" w:eastAsia="Times New Roman" w:hAnsi="Arial" w:cs="Arial"/>
          <w:color w:val="000000"/>
          <w:sz w:val="20"/>
          <w:szCs w:val="20"/>
        </w:rPr>
        <w:t xml:space="preserve">While the majority of our foreign currency exchange contracts and the volume related to our commodities contracts are expected to settle within the next year, our interest rate swap agreement matures in March 2025. </w:t>
      </w:r>
    </w:p>
    <w:p w:rsidR="00000000" w:rsidRDefault="002223F7">
      <w:pPr>
        <w:divId w:val="1975452603"/>
        <w:rPr>
          <w:rFonts w:eastAsia="Times New Roman"/>
        </w:rPr>
      </w:pPr>
      <w:r>
        <w:rPr>
          <w:rFonts w:ascii="Arial" w:eastAsia="Times New Roman" w:hAnsi="Arial" w:cs="Arial"/>
          <w:b/>
          <w:bCs/>
          <w:color w:val="000000"/>
          <w:sz w:val="20"/>
          <w:szCs w:val="20"/>
        </w:rPr>
        <w:t>Assets and Liabilities</w:t>
      </w:r>
    </w:p>
    <w:p w:rsidR="00000000" w:rsidRDefault="002223F7">
      <w:pPr>
        <w:jc w:val="both"/>
        <w:divId w:val="584147367"/>
        <w:rPr>
          <w:rFonts w:eastAsia="Times New Roman"/>
        </w:rPr>
      </w:pPr>
      <w:r>
        <w:rPr>
          <w:rFonts w:ascii="Arial" w:eastAsia="Times New Roman" w:hAnsi="Arial" w:cs="Arial"/>
          <w:color w:val="000000"/>
          <w:sz w:val="20"/>
          <w:szCs w:val="20"/>
        </w:rPr>
        <w:t>The following tab</w:t>
      </w:r>
      <w:r>
        <w:rPr>
          <w:rFonts w:ascii="Arial" w:eastAsia="Times New Roman" w:hAnsi="Arial" w:cs="Arial"/>
          <w:color w:val="000000"/>
          <w:sz w:val="20"/>
          <w:szCs w:val="20"/>
        </w:rPr>
        <w:t>le presents the gross fair value of our derivative instruments and their locations on the Consolidated Balance Sheets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1423"/>
        <w:gridCol w:w="36"/>
        <w:gridCol w:w="36"/>
        <w:gridCol w:w="74"/>
        <w:gridCol w:w="36"/>
        <w:gridCol w:w="41"/>
        <w:gridCol w:w="2782"/>
        <w:gridCol w:w="36"/>
        <w:gridCol w:w="36"/>
        <w:gridCol w:w="36"/>
        <w:gridCol w:w="36"/>
        <w:gridCol w:w="109"/>
        <w:gridCol w:w="694"/>
        <w:gridCol w:w="36"/>
        <w:gridCol w:w="36"/>
        <w:gridCol w:w="36"/>
        <w:gridCol w:w="36"/>
        <w:gridCol w:w="109"/>
        <w:gridCol w:w="694"/>
        <w:gridCol w:w="36"/>
        <w:gridCol w:w="36"/>
        <w:gridCol w:w="36"/>
        <w:gridCol w:w="36"/>
        <w:gridCol w:w="109"/>
        <w:gridCol w:w="695"/>
        <w:gridCol w:w="36"/>
        <w:gridCol w:w="36"/>
        <w:gridCol w:w="36"/>
        <w:gridCol w:w="36"/>
        <w:gridCol w:w="109"/>
        <w:gridCol w:w="696"/>
        <w:gridCol w:w="36"/>
      </w:tblGrid>
      <w:tr w:rsidR="00000000">
        <w:trPr>
          <w:divId w:val="827404743"/>
          <w:jc w:val="center"/>
        </w:trPr>
        <w:tc>
          <w:tcPr>
            <w:tcW w:w="50" w:type="pct"/>
            <w:vAlign w:val="center"/>
            <w:hideMark/>
          </w:tcPr>
          <w:p w:rsidR="00000000" w:rsidRDefault="002223F7">
            <w:pPr>
              <w:jc w:val="both"/>
              <w:rPr>
                <w:rFonts w:eastAsia="Times New Roman"/>
              </w:rPr>
            </w:pPr>
          </w:p>
        </w:tc>
        <w:tc>
          <w:tcPr>
            <w:tcW w:w="88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70"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169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4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4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4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4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827404743"/>
          <w:jc w:val="center"/>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Gross Derivative Assets</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Gross Derivative Liabilities</w:t>
            </w:r>
          </w:p>
        </w:tc>
      </w:tr>
      <w:tr w:rsidR="00000000">
        <w:trPr>
          <w:divId w:val="827404743"/>
          <w:jc w:val="center"/>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As of December 31,</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As of December 31,</w:t>
            </w:r>
          </w:p>
        </w:tc>
      </w:tr>
      <w:tr w:rsidR="00000000">
        <w:trPr>
          <w:divId w:val="827404743"/>
          <w:jc w:val="center"/>
        </w:trPr>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16"/>
                <w:szCs w:val="16"/>
              </w:rPr>
              <w:t>Derivative Instruments</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16"/>
                <w:szCs w:val="16"/>
              </w:rPr>
              <w:t>Consolidated Balance Sheets location</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2021</w:t>
            </w:r>
          </w:p>
        </w:tc>
      </w:tr>
      <w:tr w:rsidR="00000000">
        <w:trPr>
          <w:divId w:val="827404743"/>
          <w:jc w:val="center"/>
        </w:trPr>
        <w:tc>
          <w:tcPr>
            <w:tcW w:w="0" w:type="auto"/>
            <w:gridSpan w:val="9"/>
            <w:tcBorders>
              <w:top w:val="single" w:sz="8" w:space="0" w:color="000000"/>
            </w:tcBorders>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16"/>
                <w:szCs w:val="16"/>
              </w:rPr>
              <w:t>Derivatives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827404743"/>
          <w:jc w:val="center"/>
        </w:trPr>
        <w:tc>
          <w:tcPr>
            <w:tcW w:w="0" w:type="auto"/>
            <w:gridSpan w:val="6"/>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Commodity contracts</w:t>
            </w: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Short-term derivative assets, net</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9.7 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827404743"/>
          <w:jc w:val="center"/>
        </w:trPr>
        <w:tc>
          <w:tcPr>
            <w:tcW w:w="0" w:type="auto"/>
            <w:gridSpan w:val="3"/>
            <w:vAlign w:val="center"/>
            <w:hideMark/>
          </w:tcPr>
          <w:p w:rsidR="00000000" w:rsidRDefault="002223F7">
            <w:pPr>
              <w:spacing w:after="100"/>
              <w:jc w:val="right"/>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827404743"/>
          <w:jc w:val="center"/>
        </w:trPr>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Short-term derivative liabilities, net</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3.4 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0.1 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6.7 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0.4 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827404743"/>
          <w:jc w:val="center"/>
        </w:trPr>
        <w:tc>
          <w:tcPr>
            <w:tcW w:w="0" w:type="auto"/>
            <w:gridSpan w:val="3"/>
            <w:vAlign w:val="center"/>
            <w:hideMark/>
          </w:tcPr>
          <w:p w:rsidR="00000000" w:rsidRDefault="002223F7">
            <w:pPr>
              <w:spacing w:after="100"/>
              <w:jc w:val="right"/>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827404743"/>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827404743"/>
          <w:jc w:val="center"/>
        </w:trPr>
        <w:tc>
          <w:tcPr>
            <w:tcW w:w="0" w:type="auto"/>
            <w:gridSpan w:val="6"/>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Interest rate contract</w:t>
            </w: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Short-term derivative assets, net</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12.9 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827404743"/>
          <w:jc w:val="center"/>
        </w:trPr>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Other non-current assets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11.9 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5.4 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827404743"/>
          <w:jc w:val="center"/>
        </w:trPr>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Short-term derivative liabilities, net</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0.3 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827404743"/>
          <w:jc w:val="center"/>
        </w:trPr>
        <w:tc>
          <w:tcPr>
            <w:tcW w:w="0" w:type="auto"/>
            <w:gridSpan w:val="3"/>
            <w:vAlign w:val="center"/>
            <w:hideMark/>
          </w:tcPr>
          <w:p w:rsidR="00000000" w:rsidRDefault="002223F7">
            <w:pPr>
              <w:spacing w:after="100"/>
              <w:jc w:val="right"/>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827404743"/>
          <w:jc w:val="center"/>
        </w:trPr>
        <w:tc>
          <w:tcPr>
            <w:tcW w:w="0" w:type="auto"/>
            <w:gridSpan w:val="9"/>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16"/>
                <w:szCs w:val="16"/>
              </w:rPr>
              <w:t>Total derivatives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28.2 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827404743"/>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827404743"/>
          <w:jc w:val="center"/>
        </w:trPr>
        <w:tc>
          <w:tcPr>
            <w:tcW w:w="0" w:type="auto"/>
            <w:gridSpan w:val="9"/>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16"/>
                <w:szCs w:val="16"/>
              </w:rPr>
              <w:t>Derivatives not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827404743"/>
          <w:jc w:val="center"/>
        </w:trPr>
        <w:tc>
          <w:tcPr>
            <w:tcW w:w="0" w:type="auto"/>
            <w:gridSpan w:val="6"/>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Commodity contracts</w:t>
            </w: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Short-term derivative assets, net</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376.4 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516.3 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42.3 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337.5 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827404743"/>
          <w:jc w:val="center"/>
        </w:trPr>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Other non-current assets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293.3 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112.2 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66.9 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27.6 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827404743"/>
          <w:jc w:val="center"/>
        </w:trPr>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Short-term derivative liabilities, net</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423.1 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117.6 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936.3 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286.6 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827404743"/>
          <w:jc w:val="center"/>
        </w:trPr>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Other long-term liabilities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201.8 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15.5 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399.8 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82.1 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827404743"/>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827404743"/>
          <w:jc w:val="center"/>
        </w:trPr>
        <w:tc>
          <w:tcPr>
            <w:tcW w:w="0" w:type="auto"/>
            <w:gridSpan w:val="6"/>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Foreign currency contracts</w:t>
            </w: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Short-term derivative assets, net</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21.8 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3.8 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18.5 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827404743"/>
          <w:jc w:val="center"/>
        </w:trPr>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Other non-current assets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0.7 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0.1 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0.1 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827404743"/>
          <w:jc w:val="center"/>
        </w:trPr>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Short-term derivative liabilities, net</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2.0 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0.8 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19.8 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2.6 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827404743"/>
          <w:jc w:val="center"/>
        </w:trPr>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Other long-term liabilities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0.2 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0.4 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827404743"/>
          <w:jc w:val="center"/>
        </w:trPr>
        <w:tc>
          <w:tcPr>
            <w:tcW w:w="0" w:type="auto"/>
            <w:gridSpan w:val="9"/>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16"/>
                <w:szCs w:val="16"/>
              </w:rPr>
              <w:t>Total derivatives not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1,319.2 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766.3 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1,484.1 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738.1 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827404743"/>
          <w:jc w:val="center"/>
        </w:trPr>
        <w:tc>
          <w:tcPr>
            <w:tcW w:w="0" w:type="auto"/>
            <w:gridSpan w:val="9"/>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16"/>
                <w:szCs w:val="16"/>
              </w:rPr>
              <w:t>Total derivatives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1,347.4 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773.6 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1,490.8 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748.5 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jc w:val="both"/>
        <w:divId w:val="1117455210"/>
        <w:rPr>
          <w:rFonts w:eastAsia="Times New Roman"/>
        </w:rPr>
      </w:pPr>
      <w:r>
        <w:rPr>
          <w:rFonts w:ascii="Arial" w:eastAsia="Times New Roman" w:hAnsi="Arial" w:cs="Arial"/>
          <w:color w:val="000000"/>
          <w:sz w:val="20"/>
          <w:szCs w:val="20"/>
        </w:rPr>
        <w:t xml:space="preserve">For information regarding our derivative instruments measured at fair value after netting and collateral </w:t>
      </w:r>
      <w:r>
        <w:rPr>
          <w:rFonts w:ascii="Arial" w:eastAsia="Times New Roman" w:hAnsi="Arial" w:cs="Arial"/>
          <w:color w:val="000000"/>
          <w:sz w:val="20"/>
          <w:szCs w:val="20"/>
        </w:rPr>
        <w:t>see Note 5. Fair Value Measurements.</w:t>
      </w:r>
    </w:p>
    <w:p w:rsidR="00000000" w:rsidRDefault="002223F7">
      <w:pPr>
        <w:jc w:val="center"/>
        <w:divId w:val="290745780"/>
        <w:rPr>
          <w:rFonts w:eastAsia="Times New Roman"/>
        </w:rPr>
      </w:pPr>
      <w:r>
        <w:rPr>
          <w:rFonts w:ascii="Arial" w:eastAsia="Times New Roman" w:hAnsi="Arial" w:cs="Arial"/>
          <w:color w:val="000000"/>
          <w:sz w:val="16"/>
          <w:szCs w:val="16"/>
        </w:rPr>
        <w:t>59</w:t>
      </w:r>
    </w:p>
    <w:p w:rsidR="00000000" w:rsidRDefault="002223F7">
      <w:pPr>
        <w:rPr>
          <w:rFonts w:eastAsia="Times New Roman"/>
        </w:rPr>
      </w:pPr>
      <w:r>
        <w:rPr>
          <w:rFonts w:eastAsia="Times New Roman"/>
        </w:rPr>
        <w:pict>
          <v:rect id="_x0000_i1090" style="width:0;height:1.5pt" o:hralign="center" o:hrstd="t" o:hr="t" fillcolor="#a0a0a0" stroked="f"/>
        </w:pict>
      </w:r>
    </w:p>
    <w:p w:rsidR="00000000" w:rsidRDefault="002223F7">
      <w:pPr>
        <w:jc w:val="both"/>
        <w:divId w:val="178472357"/>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223219707"/>
        <w:rPr>
          <w:rFonts w:eastAsia="Times New Roman"/>
        </w:rPr>
      </w:pPr>
      <w:r>
        <w:rPr>
          <w:rFonts w:ascii="Arial" w:eastAsia="Times New Roman" w:hAnsi="Arial" w:cs="Arial"/>
          <w:color w:val="000000"/>
          <w:sz w:val="20"/>
          <w:szCs w:val="20"/>
        </w:rPr>
        <w:t>The following amounts were recorded within our Consolidated Balance Sheets related to cumulative basis adjustments for fair value hedges (in millions):</w:t>
      </w:r>
    </w:p>
    <w:tbl>
      <w:tblPr>
        <w:tblW w:w="4963" w:type="pct"/>
        <w:tblCellMar>
          <w:top w:w="15" w:type="dxa"/>
          <w:left w:w="15" w:type="dxa"/>
          <w:bottom w:w="15" w:type="dxa"/>
          <w:right w:w="15" w:type="dxa"/>
        </w:tblCellMar>
        <w:tblLook w:val="04A0" w:firstRow="1" w:lastRow="0" w:firstColumn="1" w:lastColumn="0" w:noHBand="0" w:noVBand="1"/>
      </w:tblPr>
      <w:tblGrid>
        <w:gridCol w:w="37"/>
        <w:gridCol w:w="2221"/>
        <w:gridCol w:w="36"/>
        <w:gridCol w:w="36"/>
        <w:gridCol w:w="36"/>
        <w:gridCol w:w="36"/>
        <w:gridCol w:w="133"/>
        <w:gridCol w:w="1176"/>
        <w:gridCol w:w="36"/>
        <w:gridCol w:w="36"/>
        <w:gridCol w:w="36"/>
        <w:gridCol w:w="36"/>
        <w:gridCol w:w="132"/>
        <w:gridCol w:w="1176"/>
        <w:gridCol w:w="36"/>
        <w:gridCol w:w="36"/>
        <w:gridCol w:w="36"/>
        <w:gridCol w:w="36"/>
        <w:gridCol w:w="133"/>
        <w:gridCol w:w="1214"/>
        <w:gridCol w:w="37"/>
        <w:gridCol w:w="37"/>
        <w:gridCol w:w="37"/>
        <w:gridCol w:w="37"/>
        <w:gridCol w:w="133"/>
        <w:gridCol w:w="1274"/>
        <w:gridCol w:w="36"/>
      </w:tblGrid>
      <w:tr w:rsidR="00000000">
        <w:trPr>
          <w:divId w:val="164437765"/>
        </w:trPr>
        <w:tc>
          <w:tcPr>
            <w:tcW w:w="50" w:type="pct"/>
            <w:vAlign w:val="center"/>
            <w:hideMark/>
          </w:tcPr>
          <w:p w:rsidR="00000000" w:rsidRDefault="002223F7">
            <w:pPr>
              <w:jc w:val="both"/>
              <w:rPr>
                <w:rFonts w:eastAsia="Times New Roman"/>
              </w:rPr>
            </w:pPr>
          </w:p>
        </w:tc>
        <w:tc>
          <w:tcPr>
            <w:tcW w:w="1388"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762"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762"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78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82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164437765"/>
        </w:trPr>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Line Item in the Consolidated Balance Sheets in Which the Hedged Item is Included</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Carrying Amount of Hedged Asset/(Liabilities)</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Cumulative Amount of Fair Value Hedging Adjustment Included in the Carrying Amount of the Hedged Asset/(Liabilit</w:t>
            </w:r>
            <w:r>
              <w:rPr>
                <w:rFonts w:ascii="Arial" w:eastAsia="Times New Roman" w:hAnsi="Arial" w:cs="Arial"/>
                <w:b/>
                <w:bCs/>
                <w:color w:val="000000"/>
                <w:sz w:val="16"/>
                <w:szCs w:val="16"/>
              </w:rPr>
              <w:t>ies)</w:t>
            </w:r>
          </w:p>
        </w:tc>
      </w:tr>
      <w:tr w:rsidR="00000000">
        <w:trPr>
          <w:divId w:val="164437765"/>
        </w:trPr>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As of December 31,</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As of December 31,</w:t>
            </w:r>
          </w:p>
        </w:tc>
      </w:tr>
      <w:tr w:rsidR="00000000">
        <w:trPr>
          <w:divId w:val="164437765"/>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2021</w:t>
            </w:r>
          </w:p>
        </w:tc>
      </w:tr>
      <w:tr w:rsidR="00000000">
        <w:trPr>
          <w:divId w:val="164437765"/>
        </w:trPr>
        <w:tc>
          <w:tcPr>
            <w:tcW w:w="0" w:type="auto"/>
            <w:gridSpan w:val="3"/>
            <w:shd w:val="clear" w:color="auto" w:fill="CCEEFF"/>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Inventory</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2223F7">
            <w:pPr>
              <w:spacing w:after="100"/>
              <w:jc w:val="right"/>
              <w:rPr>
                <w:rFonts w:eastAsia="Times New Roman"/>
              </w:rPr>
            </w:pPr>
            <w:r>
              <w:rPr>
                <w:rFonts w:ascii="Arial" w:eastAsia="Times New Roman" w:hAnsi="Arial" w:cs="Arial"/>
                <w:color w:val="000000"/>
                <w:sz w:val="20"/>
                <w:szCs w:val="20"/>
              </w:rPr>
              <w:t>60.7 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2223F7">
            <w:pPr>
              <w:spacing w:after="100"/>
              <w:jc w:val="right"/>
              <w:rPr>
                <w:rFonts w:eastAsia="Times New Roman"/>
              </w:rPr>
            </w:pPr>
            <w:r>
              <w:rPr>
                <w:rFonts w:ascii="Arial" w:eastAsia="Times New Roman" w:hAnsi="Arial" w:cs="Arial"/>
                <w:color w:val="000000"/>
                <w:sz w:val="20"/>
                <w:szCs w:val="20"/>
              </w:rPr>
              <w:t>59.3 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2223F7">
            <w:pPr>
              <w:spacing w:after="100"/>
              <w:jc w:val="right"/>
              <w:rPr>
                <w:rFonts w:eastAsia="Times New Roman"/>
              </w:rPr>
            </w:pPr>
            <w:r>
              <w:rPr>
                <w:rFonts w:ascii="Arial" w:eastAsia="Times New Roman" w:hAnsi="Arial" w:cs="Arial"/>
                <w:color w:val="000000"/>
                <w:sz w:val="20"/>
                <w:szCs w:val="20"/>
              </w:rPr>
              <w:t>1.2 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2223F7">
            <w:pPr>
              <w:spacing w:after="100"/>
              <w:jc w:val="right"/>
              <w:rPr>
                <w:rFonts w:eastAsia="Times New Roman"/>
              </w:rPr>
            </w:pPr>
            <w:r>
              <w:rPr>
                <w:rFonts w:ascii="Arial" w:eastAsia="Times New Roman" w:hAnsi="Arial" w:cs="Arial"/>
                <w:color w:val="000000"/>
                <w:sz w:val="20"/>
                <w:szCs w:val="20"/>
              </w:rPr>
              <w:t>0.6 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2223F7">
            <w:pPr>
              <w:spacing w:after="100"/>
              <w:jc w:val="right"/>
              <w:rPr>
                <w:rFonts w:eastAsia="Times New Roman"/>
              </w:rPr>
            </w:pPr>
          </w:p>
        </w:tc>
      </w:tr>
    </w:tbl>
    <w:p w:rsidR="00000000" w:rsidRDefault="002223F7">
      <w:pPr>
        <w:jc w:val="both"/>
        <w:divId w:val="288980226"/>
        <w:rPr>
          <w:rFonts w:eastAsia="Times New Roman"/>
        </w:rPr>
      </w:pPr>
      <w:r>
        <w:rPr>
          <w:rFonts w:ascii="Arial" w:eastAsia="Times New Roman" w:hAnsi="Arial" w:cs="Arial"/>
          <w:b/>
          <w:bCs/>
          <w:color w:val="000000"/>
          <w:sz w:val="20"/>
          <w:szCs w:val="20"/>
        </w:rPr>
        <w:t>Earnings and Other Comprehensive Income (Loss)</w:t>
      </w:r>
    </w:p>
    <w:p w:rsidR="00000000" w:rsidRDefault="002223F7">
      <w:pPr>
        <w:divId w:val="1763063885"/>
        <w:rPr>
          <w:rFonts w:eastAsia="Times New Roman"/>
        </w:rPr>
      </w:pPr>
      <w:r>
        <w:rPr>
          <w:rFonts w:ascii="Arial" w:eastAsia="Times New Roman" w:hAnsi="Arial" w:cs="Arial"/>
          <w:color w:val="000000"/>
          <w:sz w:val="20"/>
          <w:szCs w:val="20"/>
          <w:u w:val="single"/>
        </w:rPr>
        <w:t>Derivatives Designated as Hedging Instruments</w:t>
      </w:r>
    </w:p>
    <w:p w:rsidR="00000000" w:rsidRDefault="002223F7">
      <w:pPr>
        <w:jc w:val="both"/>
        <w:divId w:val="193545628"/>
        <w:rPr>
          <w:rFonts w:eastAsia="Times New Roman"/>
        </w:rPr>
      </w:pPr>
      <w:r>
        <w:rPr>
          <w:rFonts w:ascii="Arial" w:eastAsia="Times New Roman" w:hAnsi="Arial" w:cs="Arial"/>
          <w:color w:val="000000"/>
          <w:sz w:val="20"/>
          <w:szCs w:val="20"/>
        </w:rPr>
        <w:t>The following t</w:t>
      </w:r>
      <w:r>
        <w:rPr>
          <w:rFonts w:ascii="Arial" w:eastAsia="Times New Roman" w:hAnsi="Arial" w:cs="Arial"/>
          <w:color w:val="000000"/>
          <w:sz w:val="20"/>
          <w:szCs w:val="20"/>
        </w:rPr>
        <w:t>able presents, on a pre-tax basis, the location and amount of gains (losses) on fair value and cash flow hedges recognized in income in our Consolidated Statements of Income and Comprehensive Income (in millions):</w:t>
      </w:r>
    </w:p>
    <w:tbl>
      <w:tblPr>
        <w:tblW w:w="5000" w:type="pct"/>
        <w:tblCellMar>
          <w:top w:w="15" w:type="dxa"/>
          <w:left w:w="15" w:type="dxa"/>
          <w:bottom w:w="15" w:type="dxa"/>
          <w:right w:w="15" w:type="dxa"/>
        </w:tblCellMar>
        <w:tblLook w:val="04A0" w:firstRow="1" w:lastRow="0" w:firstColumn="1" w:lastColumn="0" w:noHBand="0" w:noVBand="1"/>
      </w:tblPr>
      <w:tblGrid>
        <w:gridCol w:w="77"/>
        <w:gridCol w:w="1401"/>
        <w:gridCol w:w="39"/>
        <w:gridCol w:w="109"/>
        <w:gridCol w:w="668"/>
        <w:gridCol w:w="36"/>
        <w:gridCol w:w="36"/>
        <w:gridCol w:w="36"/>
        <w:gridCol w:w="36"/>
        <w:gridCol w:w="109"/>
        <w:gridCol w:w="668"/>
        <w:gridCol w:w="36"/>
        <w:gridCol w:w="36"/>
        <w:gridCol w:w="36"/>
        <w:gridCol w:w="36"/>
        <w:gridCol w:w="110"/>
        <w:gridCol w:w="652"/>
        <w:gridCol w:w="36"/>
        <w:gridCol w:w="36"/>
        <w:gridCol w:w="36"/>
        <w:gridCol w:w="36"/>
        <w:gridCol w:w="109"/>
        <w:gridCol w:w="668"/>
        <w:gridCol w:w="36"/>
        <w:gridCol w:w="36"/>
        <w:gridCol w:w="36"/>
        <w:gridCol w:w="36"/>
        <w:gridCol w:w="109"/>
        <w:gridCol w:w="668"/>
        <w:gridCol w:w="36"/>
        <w:gridCol w:w="36"/>
        <w:gridCol w:w="36"/>
        <w:gridCol w:w="36"/>
        <w:gridCol w:w="110"/>
        <w:gridCol w:w="666"/>
        <w:gridCol w:w="36"/>
        <w:gridCol w:w="36"/>
        <w:gridCol w:w="36"/>
        <w:gridCol w:w="36"/>
        <w:gridCol w:w="109"/>
        <w:gridCol w:w="668"/>
        <w:gridCol w:w="36"/>
        <w:gridCol w:w="36"/>
        <w:gridCol w:w="36"/>
        <w:gridCol w:w="36"/>
        <w:gridCol w:w="109"/>
        <w:gridCol w:w="668"/>
        <w:gridCol w:w="36"/>
        <w:gridCol w:w="36"/>
        <w:gridCol w:w="36"/>
        <w:gridCol w:w="36"/>
        <w:gridCol w:w="110"/>
        <w:gridCol w:w="652"/>
        <w:gridCol w:w="36"/>
      </w:tblGrid>
      <w:tr w:rsidR="00000000">
        <w:trPr>
          <w:divId w:val="1354575198"/>
        </w:trPr>
        <w:tc>
          <w:tcPr>
            <w:tcW w:w="50" w:type="pct"/>
            <w:vAlign w:val="center"/>
            <w:hideMark/>
          </w:tcPr>
          <w:p w:rsidR="00000000" w:rsidRDefault="002223F7">
            <w:pPr>
              <w:jc w:val="both"/>
              <w:rPr>
                <w:rFonts w:eastAsia="Times New Roman"/>
              </w:rPr>
            </w:pPr>
          </w:p>
        </w:tc>
        <w:tc>
          <w:tcPr>
            <w:tcW w:w="91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35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26"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35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26"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36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1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35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1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35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26"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2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1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35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1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35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1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362"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1354575198"/>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51"/>
            <w:tcBorders>
              <w:bottom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For the Year Ended December 31,</w:t>
            </w:r>
          </w:p>
        </w:tc>
      </w:tr>
      <w:tr w:rsidR="00000000">
        <w:trPr>
          <w:divId w:val="1354575198"/>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2020</w:t>
            </w:r>
          </w:p>
        </w:tc>
      </w:tr>
      <w:tr w:rsidR="00000000">
        <w:trPr>
          <w:divId w:val="1354575198"/>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Revenue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Cost of revenue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Interest expense and other financing costs, net</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Revenue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Cost of revenue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Interest expense and other financing costs, net</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Revenue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Cost of revenue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Interest expense and other financing costs, net</w:t>
            </w:r>
          </w:p>
        </w:tc>
      </w:tr>
      <w:tr w:rsidR="002223F7">
        <w:trPr>
          <w:divId w:val="1354575198"/>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Total amounts of income and expense line items in which the effects of fair value or cash flow hedged are recorded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59,043.1 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57,954.1 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110.6 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31,337.0 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30,548.8 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40.2 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20,358.3 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19,506.5 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48.6 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354575198"/>
        </w:trPr>
        <w:tc>
          <w:tcPr>
            <w:tcW w:w="0" w:type="auto"/>
            <w:gridSpan w:val="3"/>
            <w:shd w:val="clear" w:color="auto" w:fill="FFFF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Gains (losses) on fair value hedge relationships: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354575198"/>
        </w:trPr>
        <w:tc>
          <w:tcPr>
            <w:tcW w:w="0" w:type="auto"/>
            <w:gridSpan w:val="3"/>
            <w:shd w:val="clear" w:color="auto" w:fill="CCEEFF"/>
            <w:tcMar>
              <w:top w:w="30" w:type="dxa"/>
              <w:left w:w="26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2223F7">
        <w:trPr>
          <w:divId w:val="1354575198"/>
        </w:trPr>
        <w:tc>
          <w:tcPr>
            <w:tcW w:w="0" w:type="auto"/>
            <w:gridSpan w:val="3"/>
            <w:shd w:val="clear" w:color="auto" w:fill="FFFFFF"/>
            <w:tcMar>
              <w:top w:w="30" w:type="dxa"/>
              <w:left w:w="38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Hedged item</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43.9 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22.1 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(8.2)</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2223F7">
        <w:trPr>
          <w:divId w:val="1354575198"/>
        </w:trPr>
        <w:tc>
          <w:tcPr>
            <w:tcW w:w="0" w:type="auto"/>
            <w:gridSpan w:val="3"/>
            <w:shd w:val="clear" w:color="auto" w:fill="CCEEFF"/>
            <w:tcMar>
              <w:top w:w="30" w:type="dxa"/>
              <w:left w:w="38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Derivatives designated as hedging instruments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(52.0)</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(24.3)</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9.4 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354575198"/>
        </w:trPr>
        <w:tc>
          <w:tcPr>
            <w:tcW w:w="0" w:type="auto"/>
            <w:gridSpan w:val="3"/>
            <w:shd w:val="clear" w:color="auto" w:fill="FFFF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Gains (losses) on cash flow hedge relationships: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354575198"/>
        </w:trPr>
        <w:tc>
          <w:tcPr>
            <w:tcW w:w="0" w:type="auto"/>
            <w:gridSpan w:val="3"/>
            <w:shd w:val="clear" w:color="auto" w:fill="CCEEFF"/>
            <w:tcMar>
              <w:top w:w="30" w:type="dxa"/>
              <w:left w:w="26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2223F7">
        <w:trPr>
          <w:divId w:val="1354575198"/>
        </w:trPr>
        <w:tc>
          <w:tcPr>
            <w:tcW w:w="0" w:type="auto"/>
            <w:gridSpan w:val="3"/>
            <w:shd w:val="clear" w:color="auto" w:fill="FFFFFF"/>
            <w:tcMar>
              <w:top w:w="30" w:type="dxa"/>
              <w:left w:w="38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Amount of gains (losses) reclassified from Accumulated other comprehensive income (loss) into Net income (loss)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(164.5)</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2.6 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(56.7)</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319.0 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31.3 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(181.1)</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354575198"/>
        </w:trPr>
        <w:tc>
          <w:tcPr>
            <w:tcW w:w="0" w:type="auto"/>
            <w:gridSpan w:val="3"/>
            <w:shd w:val="clear" w:color="auto" w:fill="CCEEFF"/>
            <w:tcMar>
              <w:top w:w="30" w:type="dxa"/>
              <w:left w:w="26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Interest rate contract:</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2223F7">
        <w:trPr>
          <w:divId w:val="1354575198"/>
        </w:trPr>
        <w:tc>
          <w:tcPr>
            <w:tcW w:w="0" w:type="auto"/>
            <w:gridSpan w:val="3"/>
            <w:shd w:val="clear" w:color="auto" w:fill="FFFFFF"/>
            <w:tcMar>
              <w:top w:w="30" w:type="dxa"/>
              <w:left w:w="38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Amount of gains (losses) reclassified from Accumulated other comprehensive income (loss) into Net income (loss)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(4.2)</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(1.4)</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(0.5)</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2223F7">
        <w:trPr>
          <w:divId w:val="1354575198"/>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Total amount of income and expense line items excluding the impact of hedges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59,207.7 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57,948.6 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106.5 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31,393.6 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30,865.6 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38.8 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20,327.0 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19,326.6 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48.1 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jc w:val="center"/>
        <w:divId w:val="2110268459"/>
        <w:rPr>
          <w:rFonts w:eastAsia="Times New Roman"/>
        </w:rPr>
      </w:pPr>
      <w:r>
        <w:rPr>
          <w:rFonts w:ascii="Arial" w:eastAsia="Times New Roman" w:hAnsi="Arial" w:cs="Arial"/>
          <w:color w:val="000000"/>
          <w:sz w:val="16"/>
          <w:szCs w:val="16"/>
        </w:rPr>
        <w:t>60</w:t>
      </w:r>
    </w:p>
    <w:p w:rsidR="00000000" w:rsidRDefault="002223F7">
      <w:pPr>
        <w:rPr>
          <w:rFonts w:eastAsia="Times New Roman"/>
        </w:rPr>
      </w:pPr>
      <w:r>
        <w:rPr>
          <w:rFonts w:eastAsia="Times New Roman"/>
        </w:rPr>
        <w:pict>
          <v:rect id="_x0000_i1091" style="width:0;height:1.5pt" o:hralign="center" o:hrstd="t" o:hr="t" fillcolor="#a0a0a0" stroked="f"/>
        </w:pict>
      </w:r>
    </w:p>
    <w:p w:rsidR="00000000" w:rsidRDefault="002223F7">
      <w:pPr>
        <w:jc w:val="both"/>
        <w:divId w:val="1534925755"/>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1655179581"/>
        <w:rPr>
          <w:rFonts w:eastAsia="Times New Roman"/>
        </w:rPr>
      </w:pPr>
      <w:r>
        <w:rPr>
          <w:rFonts w:ascii="Arial" w:eastAsia="Times New Roman" w:hAnsi="Arial" w:cs="Arial"/>
          <w:color w:val="000000"/>
          <w:sz w:val="20"/>
          <w:szCs w:val="20"/>
        </w:rPr>
        <w:t>The following table presents, on a pre-tax basis, the amounts not recorded in Accumulated other comprehensive income (loss) due to intra-period settlement but recognized in Revenue and Cost of rev</w:t>
      </w:r>
      <w:r>
        <w:rPr>
          <w:rFonts w:ascii="Arial" w:eastAsia="Times New Roman" w:hAnsi="Arial" w:cs="Arial"/>
          <w:color w:val="000000"/>
          <w:sz w:val="20"/>
          <w:szCs w:val="20"/>
        </w:rPr>
        <w:t>enue in our Consolidated Statements of Income and Comprehensive Income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3338"/>
        <w:gridCol w:w="36"/>
        <w:gridCol w:w="36"/>
        <w:gridCol w:w="36"/>
        <w:gridCol w:w="36"/>
        <w:gridCol w:w="50"/>
        <w:gridCol w:w="1306"/>
        <w:gridCol w:w="36"/>
        <w:gridCol w:w="36"/>
        <w:gridCol w:w="36"/>
        <w:gridCol w:w="36"/>
        <w:gridCol w:w="132"/>
        <w:gridCol w:w="855"/>
        <w:gridCol w:w="36"/>
        <w:gridCol w:w="36"/>
        <w:gridCol w:w="36"/>
        <w:gridCol w:w="36"/>
        <w:gridCol w:w="132"/>
        <w:gridCol w:w="855"/>
        <w:gridCol w:w="36"/>
        <w:gridCol w:w="36"/>
        <w:gridCol w:w="36"/>
        <w:gridCol w:w="36"/>
        <w:gridCol w:w="132"/>
        <w:gridCol w:w="857"/>
        <w:gridCol w:w="36"/>
      </w:tblGrid>
      <w:tr w:rsidR="00000000">
        <w:trPr>
          <w:divId w:val="419176683"/>
        </w:trPr>
        <w:tc>
          <w:tcPr>
            <w:tcW w:w="50" w:type="pct"/>
            <w:vAlign w:val="center"/>
            <w:hideMark/>
          </w:tcPr>
          <w:p w:rsidR="00000000" w:rsidRDefault="002223F7">
            <w:pPr>
              <w:jc w:val="both"/>
              <w:rPr>
                <w:rFonts w:eastAsia="Times New Roman"/>
              </w:rPr>
            </w:pPr>
          </w:p>
        </w:tc>
        <w:tc>
          <w:tcPr>
            <w:tcW w:w="203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82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5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5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5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419176683"/>
          <w:trHeight w:val="400"/>
        </w:trPr>
        <w:tc>
          <w:tcPr>
            <w:tcW w:w="0" w:type="auto"/>
            <w:gridSpan w:val="3"/>
            <w:vMerge w:val="restart"/>
            <w:tcMar>
              <w:top w:w="30" w:type="dxa"/>
              <w:left w:w="20" w:type="dxa"/>
              <w:bottom w:w="30" w:type="dxa"/>
              <w:right w:w="20" w:type="dxa"/>
            </w:tcMar>
            <w:vAlign w:val="bottom"/>
            <w:hideMark/>
          </w:tcPr>
          <w:p w:rsidR="00000000" w:rsidRDefault="002223F7">
            <w:pPr>
              <w:spacing w:after="100"/>
              <w:ind w:firstLine="360"/>
              <w:jc w:val="center"/>
              <w:divId w:val="44763769"/>
              <w:rPr>
                <w:rFonts w:eastAsia="Times New Roman"/>
              </w:rPr>
            </w:pPr>
            <w:r>
              <w:rPr>
                <w:rFonts w:ascii="Arial" w:eastAsia="Times New Roman" w:hAnsi="Arial" w:cs="Arial"/>
                <w:b/>
                <w:bCs/>
                <w:color w:val="000000"/>
                <w:sz w:val="20"/>
                <w:szCs w:val="20"/>
              </w:rPr>
              <w:t>Gain (loss) not recorded in Accumulated other comprehensive income (loss) due to intra-period settlement</w:t>
            </w:r>
          </w:p>
        </w:tc>
        <w:tc>
          <w:tcPr>
            <w:tcW w:w="0" w:type="auto"/>
            <w:gridSpan w:val="3"/>
            <w:tcMar>
              <w:top w:w="0" w:type="dxa"/>
              <w:left w:w="20" w:type="dxa"/>
              <w:bottom w:w="0" w:type="dxa"/>
              <w:right w:w="20" w:type="dxa"/>
            </w:tcMar>
            <w:vAlign w:val="center"/>
            <w:hideMark/>
          </w:tcPr>
          <w:p w:rsidR="00000000" w:rsidRDefault="002223F7">
            <w:pPr>
              <w:spacing w:after="100"/>
              <w:ind w:firstLine="360"/>
              <w:jc w:val="center"/>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ind w:firstLine="36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Year Ended December 31,</w:t>
            </w:r>
          </w:p>
        </w:tc>
      </w:tr>
      <w:tr w:rsidR="00000000">
        <w:trPr>
          <w:divId w:val="419176683"/>
          <w:trHeight w:val="300"/>
        </w:trPr>
        <w:tc>
          <w:tcPr>
            <w:tcW w:w="0" w:type="auto"/>
            <w:gridSpan w:val="3"/>
            <w:vMerge/>
            <w:vAlign w:val="center"/>
            <w:hideMark/>
          </w:tcPr>
          <w:p w:rsidR="00000000" w:rsidRDefault="002223F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b/>
                <w:bCs/>
                <w:color w:val="000000"/>
                <w:sz w:val="20"/>
                <w:szCs w:val="20"/>
              </w:rPr>
              <w:t>Location</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2020</w:t>
            </w:r>
          </w:p>
        </w:tc>
      </w:tr>
      <w:tr w:rsidR="00000000">
        <w:trPr>
          <w:divId w:val="41917668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2223F7">
            <w:pPr>
              <w:spacing w:after="100"/>
              <w:rPr>
                <w:rFonts w:eastAsia="Times New Roman"/>
              </w:rPr>
            </w:pPr>
            <w:r>
              <w:rPr>
                <w:rFonts w:ascii="Arial" w:eastAsia="Times New Roman" w:hAnsi="Arial" w:cs="Arial"/>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2223F7">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2223F7">
            <w:pPr>
              <w:spacing w:after="100"/>
              <w:jc w:val="right"/>
              <w:rPr>
                <w:rFonts w:eastAsia="Times New Roman"/>
              </w:rPr>
            </w:pPr>
            <w:r>
              <w:rPr>
                <w:rFonts w:ascii="Arial" w:eastAsia="Times New Roman" w:hAnsi="Arial" w:cs="Arial"/>
                <w:color w:val="000000"/>
                <w:sz w:val="20"/>
                <w:szCs w:val="20"/>
              </w:rPr>
              <w:t>(134.5)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2223F7">
            <w:pPr>
              <w:spacing w:after="100"/>
              <w:jc w:val="right"/>
              <w:rPr>
                <w:rFonts w:eastAsia="Times New Roman"/>
              </w:rPr>
            </w:pPr>
            <w:r>
              <w:rPr>
                <w:rFonts w:ascii="Arial" w:eastAsia="Times New Roman" w:hAnsi="Arial" w:cs="Arial"/>
                <w:color w:val="000000"/>
                <w:sz w:val="20"/>
                <w:szCs w:val="20"/>
              </w:rPr>
              <w:t>(369.4)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2223F7">
            <w:pPr>
              <w:spacing w:after="100"/>
              <w:jc w:val="right"/>
              <w:rPr>
                <w:rFonts w:eastAsia="Times New Roman"/>
              </w:rPr>
            </w:pPr>
            <w:r>
              <w:rPr>
                <w:rFonts w:ascii="Arial" w:eastAsia="Times New Roman" w:hAnsi="Arial" w:cs="Arial"/>
                <w:color w:val="000000"/>
                <w:sz w:val="20"/>
                <w:szCs w:val="20"/>
              </w:rPr>
              <w:t>505.6 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2223F7">
            <w:pPr>
              <w:spacing w:after="100"/>
              <w:jc w:val="right"/>
              <w:rPr>
                <w:rFonts w:eastAsia="Times New Roman"/>
              </w:rPr>
            </w:pPr>
          </w:p>
        </w:tc>
      </w:tr>
      <w:tr w:rsidR="00000000">
        <w:trPr>
          <w:divId w:val="419176683"/>
        </w:trPr>
        <w:tc>
          <w:tcPr>
            <w:tcW w:w="0" w:type="auto"/>
            <w:gridSpan w:val="3"/>
            <w:shd w:val="clear" w:color="auto" w:fill="FFFFFF"/>
            <w:tcMar>
              <w:top w:w="30" w:type="dxa"/>
              <w:left w:w="20" w:type="dxa"/>
              <w:bottom w:w="30" w:type="dxa"/>
              <w:right w:w="20" w:type="dxa"/>
            </w:tcMar>
            <w:vAlign w:val="center"/>
            <w:hideMark/>
          </w:tcPr>
          <w:p w:rsidR="00000000" w:rsidRDefault="002223F7">
            <w:pPr>
              <w:spacing w:after="100"/>
              <w:rPr>
                <w:rFonts w:eastAsia="Times New Roman"/>
              </w:rPr>
            </w:pPr>
            <w:r>
              <w:rPr>
                <w:rFonts w:ascii="Arial" w:eastAsia="Times New Roman" w:hAnsi="Arial" w:cs="Arial"/>
                <w:color w:val="000000"/>
                <w:sz w:val="20"/>
                <w:szCs w:val="20"/>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2223F7">
            <w:pPr>
              <w:spacing w:after="100"/>
              <w:rPr>
                <w:rFonts w:eastAsia="Times New Roman"/>
              </w:rPr>
            </w:pPr>
            <w:r>
              <w:rPr>
                <w:rFonts w:ascii="Arial" w:eastAsia="Times New Roman" w:hAnsi="Arial" w:cs="Arial"/>
                <w:color w:val="000000"/>
                <w:sz w:val="20"/>
                <w:szCs w:val="20"/>
              </w:rPr>
              <w:t>Cost of revenue</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2223F7">
            <w:pPr>
              <w:spacing w:after="100"/>
              <w:jc w:val="right"/>
              <w:rPr>
                <w:rFonts w:eastAsia="Times New Roman"/>
              </w:rPr>
            </w:pPr>
            <w:r>
              <w:rPr>
                <w:rFonts w:ascii="Arial" w:eastAsia="Times New Roman" w:hAnsi="Arial" w:cs="Arial"/>
                <w:color w:val="000000"/>
                <w:sz w:val="20"/>
                <w:szCs w:val="20"/>
              </w:rPr>
              <w:t>10.7 </w:t>
            </w:r>
          </w:p>
        </w:tc>
        <w:tc>
          <w:tcPr>
            <w:tcW w:w="0" w:type="auto"/>
            <w:shd w:val="clear" w:color="auto" w:fill="FFFFFF"/>
            <w:tcMar>
              <w:top w:w="30" w:type="dxa"/>
              <w:left w:w="0" w:type="dxa"/>
              <w:bottom w:w="30" w:type="dxa"/>
              <w:right w:w="20" w:type="dxa"/>
            </w:tcMar>
            <w:vAlign w:val="center"/>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2223F7">
            <w:pPr>
              <w:spacing w:after="100"/>
              <w:jc w:val="right"/>
              <w:rPr>
                <w:rFonts w:eastAsia="Times New Roman"/>
              </w:rPr>
            </w:pPr>
            <w:r>
              <w:rPr>
                <w:rFonts w:ascii="Arial" w:eastAsia="Times New Roman" w:hAnsi="Arial" w:cs="Arial"/>
                <w:color w:val="000000"/>
                <w:sz w:val="20"/>
                <w:szCs w:val="20"/>
              </w:rPr>
              <w:t>11.0 </w:t>
            </w:r>
          </w:p>
        </w:tc>
        <w:tc>
          <w:tcPr>
            <w:tcW w:w="0" w:type="auto"/>
            <w:shd w:val="clear" w:color="auto" w:fill="FFFFFF"/>
            <w:tcMar>
              <w:top w:w="30" w:type="dxa"/>
              <w:left w:w="0" w:type="dxa"/>
              <w:bottom w:w="30" w:type="dxa"/>
              <w:right w:w="20" w:type="dxa"/>
            </w:tcMar>
            <w:vAlign w:val="center"/>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2223F7">
            <w:pPr>
              <w:spacing w:after="100"/>
              <w:jc w:val="right"/>
              <w:rPr>
                <w:rFonts w:eastAsia="Times New Roman"/>
              </w:rPr>
            </w:pPr>
            <w:r>
              <w:rPr>
                <w:rFonts w:ascii="Arial" w:eastAsia="Times New Roman" w:hAnsi="Arial" w:cs="Arial"/>
                <w:color w:val="000000"/>
                <w:sz w:val="20"/>
                <w:szCs w:val="20"/>
              </w:rPr>
              <w:t>(181.6)</w:t>
            </w:r>
          </w:p>
        </w:tc>
        <w:tc>
          <w:tcPr>
            <w:tcW w:w="0" w:type="auto"/>
            <w:shd w:val="clear" w:color="auto" w:fill="FFFFFF"/>
            <w:tcMar>
              <w:top w:w="30" w:type="dxa"/>
              <w:left w:w="0" w:type="dxa"/>
              <w:bottom w:w="30" w:type="dxa"/>
              <w:right w:w="20" w:type="dxa"/>
            </w:tcMar>
            <w:vAlign w:val="center"/>
            <w:hideMark/>
          </w:tcPr>
          <w:p w:rsidR="00000000" w:rsidRDefault="002223F7">
            <w:pPr>
              <w:spacing w:after="100"/>
              <w:jc w:val="right"/>
              <w:rPr>
                <w:rFonts w:eastAsia="Times New Roman"/>
              </w:rPr>
            </w:pPr>
          </w:p>
        </w:tc>
      </w:tr>
    </w:tbl>
    <w:p w:rsidR="00000000" w:rsidRDefault="002223F7">
      <w:pPr>
        <w:jc w:val="both"/>
        <w:divId w:val="1773353825"/>
        <w:rPr>
          <w:rFonts w:eastAsia="Times New Roman"/>
        </w:rPr>
      </w:pPr>
      <w:r>
        <w:rPr>
          <w:rFonts w:ascii="Arial" w:eastAsia="Times New Roman" w:hAnsi="Arial" w:cs="Arial"/>
          <w:color w:val="000000"/>
          <w:sz w:val="20"/>
          <w:szCs w:val="20"/>
        </w:rPr>
        <w:t xml:space="preserve">For the years ended December 31, 2022, 2021 and 2020, there were no gains or losses </w:t>
      </w:r>
      <w:r>
        <w:rPr>
          <w:rFonts w:ascii="Arial" w:eastAsia="Times New Roman" w:hAnsi="Arial" w:cs="Arial"/>
          <w:color w:val="000000"/>
          <w:sz w:val="20"/>
          <w:szCs w:val="20"/>
        </w:rPr>
        <w:t>recognized in earnings related to our fair value or cash flow hedges that were excluded from the assessment of hedge effectiveness.</w:t>
      </w:r>
    </w:p>
    <w:p w:rsidR="00000000" w:rsidRDefault="002223F7">
      <w:pPr>
        <w:jc w:val="both"/>
        <w:divId w:val="450519212"/>
        <w:rPr>
          <w:rFonts w:eastAsia="Times New Roman"/>
        </w:rPr>
      </w:pPr>
      <w:r>
        <w:rPr>
          <w:rFonts w:ascii="Arial" w:eastAsia="Times New Roman" w:hAnsi="Arial" w:cs="Arial"/>
          <w:color w:val="000000"/>
          <w:sz w:val="20"/>
          <w:szCs w:val="20"/>
        </w:rPr>
        <w:t xml:space="preserve">As of December 31, 2022, on a pre-tax basis, $1.2 million and $0.2 million is scheduled to be reclassified from Accumulated </w:t>
      </w:r>
      <w:r>
        <w:rPr>
          <w:rFonts w:ascii="Arial" w:eastAsia="Times New Roman" w:hAnsi="Arial" w:cs="Arial"/>
          <w:color w:val="000000"/>
          <w:sz w:val="20"/>
          <w:szCs w:val="20"/>
        </w:rPr>
        <w:t>other comprehensive loss over the next twelve months as a decrease to Revenue and a decrease to Cost of revenue, respectively, related to designated commodity cash flow hedges that will mature within the next twelve months.</w:t>
      </w:r>
    </w:p>
    <w:p w:rsidR="00000000" w:rsidRDefault="002223F7">
      <w:pPr>
        <w:jc w:val="both"/>
        <w:divId w:val="1271358469"/>
        <w:rPr>
          <w:rFonts w:eastAsia="Times New Roman"/>
        </w:rPr>
      </w:pPr>
      <w:r>
        <w:rPr>
          <w:rFonts w:ascii="Arial" w:eastAsia="Times New Roman" w:hAnsi="Arial" w:cs="Arial"/>
          <w:color w:val="000000"/>
          <w:sz w:val="20"/>
          <w:szCs w:val="20"/>
        </w:rPr>
        <w:t>The following tables present the</w:t>
      </w:r>
      <w:r>
        <w:rPr>
          <w:rFonts w:ascii="Arial" w:eastAsia="Times New Roman" w:hAnsi="Arial" w:cs="Arial"/>
          <w:color w:val="000000"/>
          <w:sz w:val="20"/>
          <w:szCs w:val="20"/>
        </w:rPr>
        <w:t xml:space="preserve"> effect and financial statement location of our derivative instruments in cash flow hedging relationships on Accumulated other comprehensive income (loss) and in our Consolidated Statements of Income and Comprehensive Income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915"/>
        <w:gridCol w:w="36"/>
        <w:gridCol w:w="36"/>
        <w:gridCol w:w="36"/>
        <w:gridCol w:w="36"/>
        <w:gridCol w:w="132"/>
        <w:gridCol w:w="805"/>
        <w:gridCol w:w="36"/>
        <w:gridCol w:w="36"/>
        <w:gridCol w:w="36"/>
        <w:gridCol w:w="36"/>
        <w:gridCol w:w="132"/>
        <w:gridCol w:w="878"/>
        <w:gridCol w:w="36"/>
        <w:gridCol w:w="36"/>
        <w:gridCol w:w="36"/>
        <w:gridCol w:w="36"/>
        <w:gridCol w:w="132"/>
        <w:gridCol w:w="807"/>
        <w:gridCol w:w="36"/>
      </w:tblGrid>
      <w:tr w:rsidR="00000000">
        <w:trPr>
          <w:divId w:val="1498110410"/>
        </w:trPr>
        <w:tc>
          <w:tcPr>
            <w:tcW w:w="50" w:type="pct"/>
            <w:vAlign w:val="center"/>
            <w:hideMark/>
          </w:tcPr>
          <w:p w:rsidR="00000000" w:rsidRDefault="002223F7">
            <w:pPr>
              <w:jc w:val="both"/>
              <w:rPr>
                <w:rFonts w:eastAsia="Times New Roman"/>
              </w:rPr>
            </w:pPr>
          </w:p>
        </w:tc>
        <w:tc>
          <w:tcPr>
            <w:tcW w:w="2993"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2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73"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2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1498110410"/>
          <w:trHeight w:val="400"/>
        </w:trPr>
        <w:tc>
          <w:tcPr>
            <w:tcW w:w="0" w:type="auto"/>
            <w:gridSpan w:val="3"/>
            <w:vMerge w:val="restart"/>
            <w:tcMar>
              <w:top w:w="30" w:type="dxa"/>
              <w:left w:w="20" w:type="dxa"/>
              <w:bottom w:w="30" w:type="dxa"/>
              <w:right w:w="20" w:type="dxa"/>
            </w:tcMar>
            <w:vAlign w:val="bottom"/>
            <w:hideMark/>
          </w:tcPr>
          <w:p w:rsidR="00000000" w:rsidRDefault="002223F7">
            <w:pPr>
              <w:spacing w:after="100"/>
              <w:ind w:firstLine="360"/>
              <w:jc w:val="center"/>
              <w:rPr>
                <w:rFonts w:eastAsia="Times New Roman"/>
              </w:rPr>
            </w:pPr>
            <w:r>
              <w:rPr>
                <w:rFonts w:ascii="Arial" w:eastAsia="Times New Roman" w:hAnsi="Arial" w:cs="Arial"/>
                <w:b/>
                <w:bCs/>
                <w:color w:val="000000"/>
                <w:sz w:val="20"/>
                <w:szCs w:val="20"/>
              </w:rPr>
              <w:t>Amount of gain (loss) recognized in Accumulated other comprehensive income (loss), net of income tax (expense) benefit</w:t>
            </w:r>
          </w:p>
        </w:tc>
        <w:tc>
          <w:tcPr>
            <w:tcW w:w="0" w:type="auto"/>
            <w:gridSpan w:val="3"/>
            <w:tcMar>
              <w:top w:w="0" w:type="dxa"/>
              <w:left w:w="20" w:type="dxa"/>
              <w:bottom w:w="0" w:type="dxa"/>
              <w:right w:w="20" w:type="dxa"/>
            </w:tcMar>
            <w:vAlign w:val="center"/>
            <w:hideMark/>
          </w:tcPr>
          <w:p w:rsidR="00000000" w:rsidRDefault="002223F7">
            <w:pPr>
              <w:spacing w:after="100"/>
              <w:ind w:firstLine="36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Year Ended December 31,</w:t>
            </w:r>
          </w:p>
        </w:tc>
      </w:tr>
      <w:tr w:rsidR="00000000">
        <w:trPr>
          <w:divId w:val="1498110410"/>
          <w:trHeight w:val="300"/>
        </w:trPr>
        <w:tc>
          <w:tcPr>
            <w:tcW w:w="0" w:type="auto"/>
            <w:gridSpan w:val="3"/>
            <w:vMerge/>
            <w:vAlign w:val="center"/>
            <w:hideMark/>
          </w:tcPr>
          <w:p w:rsidR="00000000" w:rsidRDefault="002223F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2020</w:t>
            </w:r>
          </w:p>
        </w:tc>
      </w:tr>
      <w:tr w:rsidR="00000000">
        <w:trPr>
          <w:divId w:val="149811041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2223F7">
            <w:pPr>
              <w:spacing w:after="100"/>
              <w:rPr>
                <w:rFonts w:eastAsia="Times New Roman"/>
              </w:rPr>
            </w:pPr>
            <w:r>
              <w:rPr>
                <w:rFonts w:ascii="Arial" w:eastAsia="Times New Roman" w:hAnsi="Arial" w:cs="Arial"/>
                <w:color w:val="000000"/>
                <w:sz w:val="20"/>
                <w:szCs w:val="20"/>
              </w:rPr>
              <w:t>Commodity contracts (Revenue)</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2223F7">
            <w:pPr>
              <w:spacing w:after="100"/>
              <w:jc w:val="right"/>
              <w:rPr>
                <w:rFonts w:eastAsia="Times New Roman"/>
              </w:rPr>
            </w:pPr>
            <w:r>
              <w:rPr>
                <w:rFonts w:ascii="Arial" w:eastAsia="Times New Roman" w:hAnsi="Arial" w:cs="Arial"/>
                <w:color w:val="000000"/>
                <w:sz w:val="20"/>
                <w:szCs w:val="20"/>
              </w:rPr>
              <w:t>(114.7)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2223F7">
            <w:pPr>
              <w:spacing w:after="100"/>
              <w:jc w:val="right"/>
              <w:rPr>
                <w:rFonts w:eastAsia="Times New Roman"/>
              </w:rPr>
            </w:pPr>
            <w:r>
              <w:rPr>
                <w:rFonts w:ascii="Arial" w:eastAsia="Times New Roman" w:hAnsi="Arial" w:cs="Arial"/>
                <w:color w:val="000000"/>
                <w:sz w:val="20"/>
                <w:szCs w:val="20"/>
              </w:rPr>
              <w:t>31.6 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2223F7">
            <w:pPr>
              <w:spacing w:after="100"/>
              <w:jc w:val="right"/>
              <w:rPr>
                <w:rFonts w:eastAsia="Times New Roman"/>
              </w:rPr>
            </w:pPr>
            <w:r>
              <w:rPr>
                <w:rFonts w:ascii="Arial" w:eastAsia="Times New Roman" w:hAnsi="Arial" w:cs="Arial"/>
                <w:color w:val="000000"/>
                <w:sz w:val="20"/>
                <w:szCs w:val="20"/>
              </w:rPr>
              <w:t>(20.8)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2223F7">
            <w:pPr>
              <w:spacing w:after="100"/>
              <w:jc w:val="right"/>
              <w:rPr>
                <w:rFonts w:eastAsia="Times New Roman"/>
              </w:rPr>
            </w:pPr>
          </w:p>
        </w:tc>
      </w:tr>
      <w:tr w:rsidR="00000000">
        <w:trPr>
          <w:divId w:val="1498110410"/>
        </w:trPr>
        <w:tc>
          <w:tcPr>
            <w:tcW w:w="0" w:type="auto"/>
            <w:gridSpan w:val="3"/>
            <w:shd w:val="clear" w:color="auto" w:fill="FFFFFF"/>
            <w:tcMar>
              <w:top w:w="30" w:type="dxa"/>
              <w:left w:w="20" w:type="dxa"/>
              <w:bottom w:w="30" w:type="dxa"/>
              <w:right w:w="20" w:type="dxa"/>
            </w:tcMar>
            <w:vAlign w:val="center"/>
            <w:hideMark/>
          </w:tcPr>
          <w:p w:rsidR="00000000" w:rsidRDefault="002223F7">
            <w:pPr>
              <w:spacing w:after="100"/>
              <w:rPr>
                <w:rFonts w:eastAsia="Times New Roman"/>
              </w:rPr>
            </w:pPr>
            <w:r>
              <w:rPr>
                <w:rFonts w:ascii="Arial" w:eastAsia="Times New Roman" w:hAnsi="Arial" w:cs="Arial"/>
                <w:color w:val="000000"/>
                <w:sz w:val="20"/>
                <w:szCs w:val="20"/>
              </w:rPr>
              <w:t>Commodity contracts (Cost of revenue)</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2223F7">
            <w:pPr>
              <w:spacing w:after="100"/>
              <w:jc w:val="right"/>
              <w:rPr>
                <w:rFonts w:eastAsia="Times New Roman"/>
              </w:rPr>
            </w:pPr>
            <w:r>
              <w:rPr>
                <w:rFonts w:ascii="Arial" w:eastAsia="Times New Roman" w:hAnsi="Arial" w:cs="Arial"/>
                <w:color w:val="000000"/>
                <w:sz w:val="20"/>
                <w:szCs w:val="20"/>
              </w:rPr>
              <w:t>2.1 </w:t>
            </w:r>
          </w:p>
        </w:tc>
        <w:tc>
          <w:tcPr>
            <w:tcW w:w="0" w:type="auto"/>
            <w:shd w:val="clear" w:color="auto" w:fill="FFFFFF"/>
            <w:tcMar>
              <w:top w:w="30" w:type="dxa"/>
              <w:left w:w="0" w:type="dxa"/>
              <w:bottom w:w="30" w:type="dxa"/>
              <w:right w:w="20" w:type="dxa"/>
            </w:tcMar>
            <w:vAlign w:val="center"/>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2223F7">
            <w:pPr>
              <w:spacing w:after="100"/>
              <w:jc w:val="right"/>
              <w:rPr>
                <w:rFonts w:eastAsia="Times New Roman"/>
              </w:rPr>
            </w:pPr>
            <w:r>
              <w:rPr>
                <w:rFonts w:ascii="Arial" w:eastAsia="Times New Roman" w:hAnsi="Arial" w:cs="Arial"/>
                <w:color w:val="000000"/>
                <w:sz w:val="20"/>
                <w:szCs w:val="20"/>
              </w:rPr>
              <w:t>166.1 </w:t>
            </w:r>
          </w:p>
        </w:tc>
        <w:tc>
          <w:tcPr>
            <w:tcW w:w="0" w:type="auto"/>
            <w:shd w:val="clear" w:color="auto" w:fill="FFFFFF"/>
            <w:tcMar>
              <w:top w:w="30" w:type="dxa"/>
              <w:left w:w="0" w:type="dxa"/>
              <w:bottom w:w="30" w:type="dxa"/>
              <w:right w:w="20" w:type="dxa"/>
            </w:tcMar>
            <w:vAlign w:val="center"/>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2223F7">
            <w:pPr>
              <w:spacing w:after="100"/>
              <w:jc w:val="right"/>
              <w:rPr>
                <w:rFonts w:eastAsia="Times New Roman"/>
              </w:rPr>
            </w:pPr>
            <w:r>
              <w:rPr>
                <w:rFonts w:ascii="Arial" w:eastAsia="Times New Roman" w:hAnsi="Arial" w:cs="Arial"/>
                <w:color w:val="000000"/>
                <w:sz w:val="20"/>
                <w:szCs w:val="20"/>
              </w:rPr>
              <w:t>(126.4)</w:t>
            </w:r>
          </w:p>
        </w:tc>
        <w:tc>
          <w:tcPr>
            <w:tcW w:w="0" w:type="auto"/>
            <w:shd w:val="clear" w:color="auto" w:fill="FFFFFF"/>
            <w:tcMar>
              <w:top w:w="30" w:type="dxa"/>
              <w:left w:w="0" w:type="dxa"/>
              <w:bottom w:w="30" w:type="dxa"/>
              <w:right w:w="20" w:type="dxa"/>
            </w:tcMar>
            <w:vAlign w:val="center"/>
            <w:hideMark/>
          </w:tcPr>
          <w:p w:rsidR="00000000" w:rsidRDefault="002223F7">
            <w:pPr>
              <w:spacing w:after="100"/>
              <w:jc w:val="right"/>
              <w:rPr>
                <w:rFonts w:eastAsia="Times New Roman"/>
              </w:rPr>
            </w:pPr>
          </w:p>
        </w:tc>
      </w:tr>
      <w:tr w:rsidR="00000000">
        <w:trPr>
          <w:divId w:val="149811041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2223F7">
            <w:pPr>
              <w:spacing w:after="100"/>
              <w:jc w:val="right"/>
              <w:rPr>
                <w:rFonts w:eastAsia="Times New Roman"/>
              </w:rPr>
            </w:pPr>
            <w:r>
              <w:rPr>
                <w:rFonts w:ascii="Arial" w:eastAsia="Times New Roman" w:hAnsi="Arial" w:cs="Arial"/>
                <w:color w:val="000000"/>
                <w:sz w:val="20"/>
                <w:szCs w:val="20"/>
              </w:rPr>
              <w:t>11.3 </w:t>
            </w:r>
          </w:p>
        </w:tc>
        <w:tc>
          <w:tcPr>
            <w:tcW w:w="0" w:type="auto"/>
            <w:shd w:val="clear" w:color="auto" w:fill="CCEEFF"/>
            <w:tcMar>
              <w:top w:w="30" w:type="dxa"/>
              <w:left w:w="0" w:type="dxa"/>
              <w:bottom w:w="30" w:type="dxa"/>
              <w:right w:w="20" w:type="dxa"/>
            </w:tcMar>
            <w:vAlign w:val="center"/>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2223F7">
            <w:pPr>
              <w:spacing w:after="100"/>
              <w:jc w:val="right"/>
              <w:rPr>
                <w:rFonts w:eastAsia="Times New Roman"/>
              </w:rPr>
            </w:pPr>
            <w:r>
              <w:rPr>
                <w:rFonts w:ascii="Arial" w:eastAsia="Times New Roman" w:hAnsi="Arial" w:cs="Arial"/>
                <w:color w:val="000000"/>
                <w:sz w:val="20"/>
                <w:szCs w:val="20"/>
              </w:rPr>
              <w:t>5.5 </w:t>
            </w:r>
          </w:p>
        </w:tc>
        <w:tc>
          <w:tcPr>
            <w:tcW w:w="0" w:type="auto"/>
            <w:shd w:val="clear" w:color="auto" w:fill="CCEEFF"/>
            <w:tcMar>
              <w:top w:w="30" w:type="dxa"/>
              <w:left w:w="0" w:type="dxa"/>
              <w:bottom w:w="30" w:type="dxa"/>
              <w:right w:w="20" w:type="dxa"/>
            </w:tcMar>
            <w:vAlign w:val="center"/>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2223F7">
            <w:pPr>
              <w:spacing w:after="100"/>
              <w:jc w:val="right"/>
              <w:rPr>
                <w:rFonts w:eastAsia="Times New Roman"/>
              </w:rPr>
            </w:pPr>
            <w:r>
              <w:rPr>
                <w:rFonts w:ascii="Arial" w:eastAsia="Times New Roman" w:hAnsi="Arial" w:cs="Arial"/>
                <w:color w:val="000000"/>
                <w:sz w:val="20"/>
                <w:szCs w:val="20"/>
              </w:rPr>
              <w:t>(3.2)</w:t>
            </w:r>
          </w:p>
        </w:tc>
        <w:tc>
          <w:tcPr>
            <w:tcW w:w="0" w:type="auto"/>
            <w:shd w:val="clear" w:color="auto" w:fill="CCEEFF"/>
            <w:tcMar>
              <w:top w:w="30" w:type="dxa"/>
              <w:left w:w="0" w:type="dxa"/>
              <w:bottom w:w="30" w:type="dxa"/>
              <w:right w:w="20" w:type="dxa"/>
            </w:tcMar>
            <w:vAlign w:val="center"/>
            <w:hideMark/>
          </w:tcPr>
          <w:p w:rsidR="00000000" w:rsidRDefault="002223F7">
            <w:pPr>
              <w:spacing w:after="100"/>
              <w:jc w:val="right"/>
              <w:rPr>
                <w:rFonts w:eastAsia="Times New Roman"/>
              </w:rPr>
            </w:pPr>
          </w:p>
        </w:tc>
      </w:tr>
      <w:tr w:rsidR="00000000">
        <w:trPr>
          <w:divId w:val="149811041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gain (loss)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2223F7">
            <w:pPr>
              <w:spacing w:after="100"/>
              <w:jc w:val="right"/>
              <w:rPr>
                <w:rFonts w:eastAsia="Times New Roman"/>
              </w:rPr>
            </w:pPr>
            <w:r>
              <w:rPr>
                <w:rFonts w:ascii="Arial" w:eastAsia="Times New Roman" w:hAnsi="Arial" w:cs="Arial"/>
                <w:color w:val="000000"/>
                <w:sz w:val="20"/>
                <w:szCs w:val="20"/>
              </w:rPr>
              <w:t>(101.3)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2223F7">
            <w:pPr>
              <w:spacing w:after="100"/>
              <w:jc w:val="right"/>
              <w:rPr>
                <w:rFonts w:eastAsia="Times New Roman"/>
              </w:rPr>
            </w:pPr>
            <w:r>
              <w:rPr>
                <w:rFonts w:ascii="Arial" w:eastAsia="Times New Roman" w:hAnsi="Arial" w:cs="Arial"/>
                <w:color w:val="000000"/>
                <w:sz w:val="20"/>
                <w:szCs w:val="20"/>
              </w:rPr>
              <w:t>203.2 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2223F7">
            <w:pPr>
              <w:spacing w:after="100"/>
              <w:jc w:val="right"/>
              <w:rPr>
                <w:rFonts w:eastAsia="Times New Roman"/>
              </w:rPr>
            </w:pPr>
            <w:r>
              <w:rPr>
                <w:rFonts w:ascii="Arial" w:eastAsia="Times New Roman" w:hAnsi="Arial" w:cs="Arial"/>
                <w:color w:val="000000"/>
                <w:sz w:val="20"/>
                <w:szCs w:val="20"/>
              </w:rPr>
              <w:t>(150.4)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2223F7">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016"/>
        <w:gridCol w:w="144"/>
        <w:gridCol w:w="144"/>
        <w:gridCol w:w="144"/>
        <w:gridCol w:w="144"/>
        <w:gridCol w:w="144"/>
        <w:gridCol w:w="1814"/>
        <w:gridCol w:w="144"/>
        <w:gridCol w:w="144"/>
        <w:gridCol w:w="144"/>
        <w:gridCol w:w="144"/>
        <w:gridCol w:w="144"/>
        <w:gridCol w:w="878"/>
        <w:gridCol w:w="144"/>
        <w:gridCol w:w="144"/>
        <w:gridCol w:w="144"/>
        <w:gridCol w:w="144"/>
        <w:gridCol w:w="144"/>
        <w:gridCol w:w="951"/>
        <w:gridCol w:w="144"/>
        <w:gridCol w:w="144"/>
        <w:gridCol w:w="144"/>
        <w:gridCol w:w="144"/>
        <w:gridCol w:w="144"/>
        <w:gridCol w:w="880"/>
        <w:gridCol w:w="144"/>
      </w:tblGrid>
      <w:tr w:rsidR="00000000">
        <w:tc>
          <w:tcPr>
            <w:tcW w:w="50" w:type="pct"/>
            <w:vAlign w:val="center"/>
            <w:hideMark/>
          </w:tcPr>
          <w:p w:rsidR="00000000" w:rsidRDefault="002223F7">
            <w:pPr>
              <w:jc w:val="both"/>
              <w:rPr>
                <w:rFonts w:eastAsia="Times New Roman"/>
              </w:rPr>
            </w:pPr>
          </w:p>
        </w:tc>
        <w:tc>
          <w:tcPr>
            <w:tcW w:w="1816"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1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1092"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2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73"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30"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trHeight w:val="420"/>
        </w:trPr>
        <w:tc>
          <w:tcPr>
            <w:tcW w:w="0" w:type="auto"/>
            <w:gridSpan w:val="3"/>
            <w:vMerge w:val="restart"/>
            <w:tcMar>
              <w:top w:w="30" w:type="dxa"/>
              <w:left w:w="20" w:type="dxa"/>
              <w:bottom w:w="30" w:type="dxa"/>
              <w:right w:w="20" w:type="dxa"/>
            </w:tcMar>
            <w:vAlign w:val="bottom"/>
            <w:hideMark/>
          </w:tcPr>
          <w:p w:rsidR="00000000" w:rsidRDefault="002223F7">
            <w:pPr>
              <w:spacing w:after="100"/>
              <w:ind w:firstLine="360"/>
              <w:jc w:val="center"/>
              <w:rPr>
                <w:rFonts w:eastAsia="Times New Roman"/>
              </w:rPr>
            </w:pPr>
            <w:r>
              <w:rPr>
                <w:rFonts w:ascii="Arial" w:eastAsia="Times New Roman" w:hAnsi="Arial" w:cs="Arial"/>
                <w:b/>
                <w:bCs/>
                <w:color w:val="000000"/>
                <w:sz w:val="16"/>
                <w:szCs w:val="16"/>
              </w:rPr>
              <w:t>Amount of gain (loss) reclassified from Accumulated other comprehensive income (loss) into Net income, net of income tax (expense) benefit</w:t>
            </w:r>
          </w:p>
        </w:tc>
        <w:tc>
          <w:tcPr>
            <w:tcW w:w="0" w:type="auto"/>
            <w:gridSpan w:val="3"/>
            <w:tcMar>
              <w:top w:w="0" w:type="dxa"/>
              <w:left w:w="20" w:type="dxa"/>
              <w:bottom w:w="0" w:type="dxa"/>
              <w:right w:w="20" w:type="dxa"/>
            </w:tcMar>
            <w:vAlign w:val="center"/>
            <w:hideMark/>
          </w:tcPr>
          <w:p w:rsidR="00000000" w:rsidRDefault="002223F7">
            <w:pPr>
              <w:spacing w:after="100"/>
              <w:ind w:firstLine="360"/>
              <w:jc w:val="center"/>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Year Ended December 31,</w:t>
            </w:r>
          </w:p>
        </w:tc>
      </w:tr>
      <w:tr w:rsidR="00000000">
        <w:trPr>
          <w:trHeight w:val="300"/>
        </w:trPr>
        <w:tc>
          <w:tcPr>
            <w:tcW w:w="0" w:type="auto"/>
            <w:gridSpan w:val="3"/>
            <w:vMerge/>
            <w:vAlign w:val="center"/>
            <w:hideMark/>
          </w:tcPr>
          <w:p w:rsidR="00000000" w:rsidRDefault="002223F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2223F7">
            <w:pPr>
              <w:spacing w:after="100"/>
              <w:rPr>
                <w:rFonts w:eastAsia="Times New Roman"/>
              </w:rPr>
            </w:pPr>
            <w:r>
              <w:rPr>
                <w:rFonts w:ascii="Arial" w:eastAsia="Times New Roman" w:hAnsi="Arial" w:cs="Arial"/>
                <w:b/>
                <w:bCs/>
                <w:color w:val="000000"/>
                <w:sz w:val="20"/>
                <w:szCs w:val="20"/>
              </w:rPr>
              <w:t>Location</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2020</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2223F7">
            <w:pPr>
              <w:spacing w:after="100"/>
              <w:rPr>
                <w:rFonts w:eastAsia="Times New Roman"/>
              </w:rPr>
            </w:pPr>
            <w:r>
              <w:rPr>
                <w:rFonts w:ascii="Arial" w:eastAsia="Times New Roman" w:hAnsi="Arial" w:cs="Arial"/>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2223F7">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2223F7">
            <w:pPr>
              <w:spacing w:after="100"/>
              <w:jc w:val="right"/>
              <w:rPr>
                <w:rFonts w:eastAsia="Times New Roman"/>
              </w:rPr>
            </w:pPr>
            <w:r>
              <w:rPr>
                <w:rFonts w:ascii="Arial" w:eastAsia="Times New Roman" w:hAnsi="Arial" w:cs="Arial"/>
                <w:color w:val="000000"/>
                <w:sz w:val="20"/>
                <w:szCs w:val="20"/>
              </w:rPr>
              <w:t>(121.7)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2223F7">
            <w:pPr>
              <w:spacing w:after="100"/>
              <w:jc w:val="right"/>
              <w:rPr>
                <w:rFonts w:eastAsia="Times New Roman"/>
              </w:rPr>
            </w:pPr>
            <w:r>
              <w:rPr>
                <w:rFonts w:ascii="Arial" w:eastAsia="Times New Roman" w:hAnsi="Arial" w:cs="Arial"/>
                <w:color w:val="000000"/>
                <w:sz w:val="20"/>
                <w:szCs w:val="20"/>
              </w:rPr>
              <w:t>(43.0)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2223F7">
            <w:pPr>
              <w:spacing w:after="100"/>
              <w:jc w:val="right"/>
              <w:rPr>
                <w:rFonts w:eastAsia="Times New Roman"/>
              </w:rPr>
            </w:pPr>
            <w:r>
              <w:rPr>
                <w:rFonts w:ascii="Arial" w:eastAsia="Times New Roman" w:hAnsi="Arial" w:cs="Arial"/>
                <w:color w:val="000000"/>
                <w:sz w:val="20"/>
                <w:szCs w:val="20"/>
              </w:rPr>
              <w:t>31.3 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2223F7">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2223F7">
            <w:pPr>
              <w:spacing w:after="100"/>
              <w:rPr>
                <w:rFonts w:eastAsia="Times New Roman"/>
              </w:rPr>
            </w:pPr>
            <w:r>
              <w:rPr>
                <w:rFonts w:ascii="Arial" w:eastAsia="Times New Roman" w:hAnsi="Arial" w:cs="Arial"/>
                <w:color w:val="000000"/>
                <w:sz w:val="20"/>
                <w:szCs w:val="20"/>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2223F7">
            <w:pPr>
              <w:spacing w:after="100"/>
              <w:rPr>
                <w:rFonts w:eastAsia="Times New Roman"/>
              </w:rPr>
            </w:pPr>
            <w:r>
              <w:rPr>
                <w:rFonts w:ascii="Arial" w:eastAsia="Times New Roman" w:hAnsi="Arial" w:cs="Arial"/>
                <w:color w:val="000000"/>
                <w:sz w:val="20"/>
                <w:szCs w:val="20"/>
              </w:rPr>
              <w:t>Cost of revenue</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2223F7">
            <w:pPr>
              <w:spacing w:after="100"/>
              <w:jc w:val="right"/>
              <w:rPr>
                <w:rFonts w:eastAsia="Times New Roman"/>
              </w:rPr>
            </w:pPr>
            <w:r>
              <w:rPr>
                <w:rFonts w:ascii="Arial" w:eastAsia="Times New Roman" w:hAnsi="Arial" w:cs="Arial"/>
                <w:color w:val="000000"/>
                <w:sz w:val="20"/>
                <w:szCs w:val="20"/>
              </w:rPr>
              <w:t>1.9 </w:t>
            </w:r>
          </w:p>
        </w:tc>
        <w:tc>
          <w:tcPr>
            <w:tcW w:w="0" w:type="auto"/>
            <w:shd w:val="clear" w:color="auto" w:fill="FFFFFF"/>
            <w:tcMar>
              <w:top w:w="30" w:type="dxa"/>
              <w:left w:w="0" w:type="dxa"/>
              <w:bottom w:w="30" w:type="dxa"/>
              <w:right w:w="20" w:type="dxa"/>
            </w:tcMar>
            <w:vAlign w:val="center"/>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2223F7">
            <w:pPr>
              <w:spacing w:after="100"/>
              <w:jc w:val="right"/>
              <w:rPr>
                <w:rFonts w:eastAsia="Times New Roman"/>
              </w:rPr>
            </w:pPr>
            <w:r>
              <w:rPr>
                <w:rFonts w:ascii="Arial" w:eastAsia="Times New Roman" w:hAnsi="Arial" w:cs="Arial"/>
                <w:color w:val="000000"/>
                <w:sz w:val="20"/>
                <w:szCs w:val="20"/>
              </w:rPr>
              <w:t>237.7 </w:t>
            </w:r>
          </w:p>
        </w:tc>
        <w:tc>
          <w:tcPr>
            <w:tcW w:w="0" w:type="auto"/>
            <w:shd w:val="clear" w:color="auto" w:fill="FFFFFF"/>
            <w:tcMar>
              <w:top w:w="30" w:type="dxa"/>
              <w:left w:w="0" w:type="dxa"/>
              <w:bottom w:w="30" w:type="dxa"/>
              <w:right w:w="20" w:type="dxa"/>
            </w:tcMar>
            <w:vAlign w:val="center"/>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2223F7">
            <w:pPr>
              <w:spacing w:after="100"/>
              <w:jc w:val="right"/>
              <w:rPr>
                <w:rFonts w:eastAsia="Times New Roman"/>
              </w:rPr>
            </w:pPr>
            <w:r>
              <w:rPr>
                <w:rFonts w:ascii="Arial" w:eastAsia="Times New Roman" w:hAnsi="Arial" w:cs="Arial"/>
                <w:color w:val="000000"/>
                <w:sz w:val="20"/>
                <w:szCs w:val="20"/>
              </w:rPr>
              <w:t>(181.1)</w:t>
            </w:r>
          </w:p>
        </w:tc>
        <w:tc>
          <w:tcPr>
            <w:tcW w:w="0" w:type="auto"/>
            <w:shd w:val="clear" w:color="auto" w:fill="FFFFFF"/>
            <w:tcMar>
              <w:top w:w="30" w:type="dxa"/>
              <w:left w:w="0" w:type="dxa"/>
              <w:bottom w:w="30" w:type="dxa"/>
              <w:right w:w="20" w:type="dxa"/>
            </w:tcMar>
            <w:vAlign w:val="center"/>
            <w:hideMark/>
          </w:tcPr>
          <w:p w:rsidR="00000000" w:rsidRDefault="002223F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Interest expense and other financing costs, net</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(3.1)</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(0.5)</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c>
          <w:tcPr>
            <w:tcW w:w="0" w:type="auto"/>
            <w:gridSpan w:val="9"/>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gain (loss)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2223F7">
            <w:pPr>
              <w:spacing w:after="100"/>
              <w:jc w:val="right"/>
              <w:rPr>
                <w:rFonts w:eastAsia="Times New Roman"/>
              </w:rPr>
            </w:pPr>
            <w:r>
              <w:rPr>
                <w:rFonts w:ascii="Arial" w:eastAsia="Times New Roman" w:hAnsi="Arial" w:cs="Arial"/>
                <w:color w:val="000000"/>
                <w:sz w:val="20"/>
                <w:szCs w:val="20"/>
              </w:rPr>
              <w:t>(122.9)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2223F7">
            <w:pPr>
              <w:spacing w:after="100"/>
              <w:jc w:val="right"/>
              <w:rPr>
                <w:rFonts w:eastAsia="Times New Roman"/>
              </w:rPr>
            </w:pPr>
            <w:r>
              <w:rPr>
                <w:rFonts w:ascii="Arial" w:eastAsia="Times New Roman" w:hAnsi="Arial" w:cs="Arial"/>
                <w:color w:val="000000"/>
                <w:sz w:val="20"/>
                <w:szCs w:val="20"/>
              </w:rPr>
              <w:t>193.6 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2223F7">
            <w:pPr>
              <w:spacing w:after="100"/>
              <w:jc w:val="right"/>
              <w:rPr>
                <w:rFonts w:eastAsia="Times New Roman"/>
              </w:rPr>
            </w:pPr>
            <w:r>
              <w:rPr>
                <w:rFonts w:ascii="Arial" w:eastAsia="Times New Roman" w:hAnsi="Arial" w:cs="Arial"/>
                <w:color w:val="000000"/>
                <w:sz w:val="20"/>
                <w:szCs w:val="20"/>
              </w:rPr>
              <w:t>(150.3)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2223F7">
            <w:pPr>
              <w:spacing w:after="100"/>
              <w:jc w:val="right"/>
              <w:rPr>
                <w:rFonts w:eastAsia="Times New Roman"/>
              </w:rPr>
            </w:pPr>
          </w:p>
        </w:tc>
      </w:tr>
    </w:tbl>
    <w:p w:rsidR="00000000" w:rsidRDefault="002223F7">
      <w:pPr>
        <w:divId w:val="1140269090"/>
        <w:rPr>
          <w:rFonts w:eastAsia="Times New Roman"/>
        </w:rPr>
      </w:pPr>
      <w:r>
        <w:rPr>
          <w:rFonts w:ascii="Arial" w:eastAsia="Times New Roman" w:hAnsi="Arial" w:cs="Arial"/>
          <w:color w:val="000000"/>
          <w:sz w:val="20"/>
          <w:szCs w:val="20"/>
          <w:u w:val="single"/>
        </w:rPr>
        <w:t>Derivatives N</w:t>
      </w:r>
      <w:r>
        <w:rPr>
          <w:rFonts w:ascii="Arial" w:eastAsia="Times New Roman" w:hAnsi="Arial" w:cs="Arial"/>
          <w:color w:val="000000"/>
          <w:sz w:val="20"/>
          <w:szCs w:val="20"/>
          <w:u w:val="single"/>
        </w:rPr>
        <w:t>ot Designated as Hedging Instruments</w:t>
      </w:r>
    </w:p>
    <w:p w:rsidR="00000000" w:rsidRDefault="002223F7">
      <w:pPr>
        <w:jc w:val="both"/>
        <w:divId w:val="1420058703"/>
        <w:rPr>
          <w:rFonts w:eastAsia="Times New Roman"/>
        </w:rPr>
      </w:pPr>
      <w:r>
        <w:rPr>
          <w:rFonts w:ascii="Arial" w:eastAsia="Times New Roman" w:hAnsi="Arial" w:cs="Arial"/>
          <w:color w:val="000000"/>
          <w:sz w:val="20"/>
          <w:szCs w:val="20"/>
        </w:rPr>
        <w:t xml:space="preserve">The following table presents the amount and financial statement location in our Consolidated Statements of Income and Comprehensive Income of realized and unrealized gains (losses) recognized on derivative instruments not designated as hedging instruments </w:t>
      </w:r>
      <w:r>
        <w:rPr>
          <w:rFonts w:ascii="Arial" w:eastAsia="Times New Roman" w:hAnsi="Arial" w:cs="Arial"/>
          <w:color w:val="000000"/>
          <w:sz w:val="20"/>
          <w:szCs w:val="20"/>
        </w:rPr>
        <w:t>(in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693"/>
        <w:gridCol w:w="36"/>
        <w:gridCol w:w="36"/>
        <w:gridCol w:w="36"/>
        <w:gridCol w:w="36"/>
        <w:gridCol w:w="38"/>
        <w:gridCol w:w="2070"/>
        <w:gridCol w:w="37"/>
        <w:gridCol w:w="36"/>
        <w:gridCol w:w="36"/>
        <w:gridCol w:w="36"/>
        <w:gridCol w:w="132"/>
        <w:gridCol w:w="819"/>
        <w:gridCol w:w="36"/>
        <w:gridCol w:w="36"/>
        <w:gridCol w:w="36"/>
        <w:gridCol w:w="36"/>
        <w:gridCol w:w="132"/>
        <w:gridCol w:w="819"/>
        <w:gridCol w:w="36"/>
        <w:gridCol w:w="36"/>
        <w:gridCol w:w="36"/>
        <w:gridCol w:w="36"/>
        <w:gridCol w:w="132"/>
        <w:gridCol w:w="821"/>
        <w:gridCol w:w="36"/>
      </w:tblGrid>
      <w:tr w:rsidR="00000000">
        <w:trPr>
          <w:divId w:val="698433232"/>
          <w:jc w:val="center"/>
        </w:trPr>
        <w:tc>
          <w:tcPr>
            <w:tcW w:w="50" w:type="pct"/>
            <w:vAlign w:val="center"/>
            <w:hideMark/>
          </w:tcPr>
          <w:p w:rsidR="00000000" w:rsidRDefault="002223F7">
            <w:pPr>
              <w:jc w:val="both"/>
              <w:rPr>
                <w:rFonts w:eastAsia="Times New Roman"/>
              </w:rPr>
            </w:pPr>
          </w:p>
        </w:tc>
        <w:tc>
          <w:tcPr>
            <w:tcW w:w="1648"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1282"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2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2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30"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698433232"/>
          <w:trHeight w:val="300"/>
          <w:jc w:val="center"/>
        </w:trPr>
        <w:tc>
          <w:tcPr>
            <w:tcW w:w="0" w:type="auto"/>
            <w:gridSpan w:val="3"/>
            <w:vMerge w:val="restart"/>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20"/>
                <w:szCs w:val="20"/>
              </w:rPr>
              <w:t xml:space="preserve">Derivative Instruments - </w:t>
            </w:r>
            <w:r>
              <w:rPr>
                <w:rFonts w:ascii="Arial" w:eastAsia="Times New Roman" w:hAnsi="Arial" w:cs="Arial"/>
                <w:b/>
                <w:bCs/>
                <w:color w:val="000000"/>
                <w:sz w:val="20"/>
                <w:szCs w:val="20"/>
              </w:rPr>
              <w:br/>
              <w:t>Non-designated</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20"/>
                <w:szCs w:val="20"/>
              </w:rPr>
              <w:t>Location</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Year Ended December 31,</w:t>
            </w:r>
          </w:p>
        </w:tc>
      </w:tr>
      <w:tr w:rsidR="00000000">
        <w:trPr>
          <w:divId w:val="698433232"/>
          <w:trHeight w:val="300"/>
          <w:jc w:val="center"/>
        </w:trPr>
        <w:tc>
          <w:tcPr>
            <w:tcW w:w="0" w:type="auto"/>
            <w:gridSpan w:val="3"/>
            <w:vMerge/>
            <w:vAlign w:val="center"/>
            <w:hideMark/>
          </w:tcPr>
          <w:p w:rsidR="00000000" w:rsidRDefault="002223F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vMerge/>
            <w:vAlign w:val="center"/>
            <w:hideMark/>
          </w:tcPr>
          <w:p w:rsidR="00000000" w:rsidRDefault="002223F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2020</w:t>
            </w:r>
          </w:p>
        </w:tc>
      </w:tr>
      <w:tr w:rsidR="00000000">
        <w:trPr>
          <w:divId w:val="698433232"/>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230.7 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235.2 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698433232"/>
          <w:jc w:val="center"/>
        </w:trPr>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Cost of revenue</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(14.2)</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(121.1)</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698433232"/>
          <w:jc w:val="center"/>
        </w:trPr>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231.3 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698433232"/>
          <w:jc w:val="center"/>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Revenue</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698433232"/>
          <w:jc w:val="center"/>
        </w:trPr>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Other income (expense), net</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13.4)</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698433232"/>
          <w:jc w:val="center"/>
        </w:trPr>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(16.6)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698433232"/>
          <w:jc w:val="center"/>
        </w:trPr>
        <w:tc>
          <w:tcPr>
            <w:tcW w:w="0" w:type="auto"/>
            <w:gridSpan w:val="9"/>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gains (losses)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232.9 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97.5 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jc w:val="center"/>
        <w:divId w:val="1386417133"/>
        <w:rPr>
          <w:rFonts w:eastAsia="Times New Roman"/>
        </w:rPr>
      </w:pPr>
      <w:r>
        <w:rPr>
          <w:rFonts w:ascii="Arial" w:eastAsia="Times New Roman" w:hAnsi="Arial" w:cs="Arial"/>
          <w:color w:val="000000"/>
          <w:sz w:val="16"/>
          <w:szCs w:val="16"/>
        </w:rPr>
        <w:t>61</w:t>
      </w:r>
    </w:p>
    <w:p w:rsidR="00000000" w:rsidRDefault="002223F7">
      <w:pPr>
        <w:rPr>
          <w:rFonts w:eastAsia="Times New Roman"/>
        </w:rPr>
      </w:pPr>
      <w:r>
        <w:rPr>
          <w:rFonts w:eastAsia="Times New Roman"/>
        </w:rPr>
        <w:pict>
          <v:rect id="_x0000_i1092" style="width:0;height:1.5pt" o:hralign="center" o:hrstd="t" o:hr="t" fillcolor="#a0a0a0" stroked="f"/>
        </w:pict>
      </w:r>
    </w:p>
    <w:p w:rsidR="00000000" w:rsidRDefault="002223F7">
      <w:pPr>
        <w:jc w:val="both"/>
        <w:divId w:val="1686638887"/>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divId w:val="1391919834"/>
        <w:rPr>
          <w:rFonts w:eastAsia="Times New Roman"/>
        </w:rPr>
      </w:pPr>
      <w:r>
        <w:rPr>
          <w:rFonts w:ascii="Arial" w:eastAsia="Times New Roman" w:hAnsi="Arial" w:cs="Arial"/>
          <w:b/>
          <w:bCs/>
          <w:color w:val="000000"/>
          <w:sz w:val="20"/>
          <w:szCs w:val="20"/>
        </w:rPr>
        <w:t>Credit-Risk-Related Contingent Features</w:t>
      </w:r>
    </w:p>
    <w:p w:rsidR="00000000" w:rsidRDefault="002223F7">
      <w:pPr>
        <w:jc w:val="both"/>
        <w:divId w:val="1915696300"/>
        <w:rPr>
          <w:rFonts w:eastAsia="Times New Roman"/>
        </w:rPr>
      </w:pPr>
      <w:r>
        <w:rPr>
          <w:rFonts w:ascii="Arial" w:eastAsia="Times New Roman" w:hAnsi="Arial" w:cs="Arial"/>
          <w:color w:val="000000"/>
          <w:sz w:val="20"/>
          <w:szCs w:val="20"/>
        </w:rPr>
        <w:t>We enter into derivative contracts which may require us to post collateral periodically. Certain of these derivative contracts contain credit-risk-related contingent clauses which are triggered by credit events. These credit events may include the requirem</w:t>
      </w:r>
      <w:r>
        <w:rPr>
          <w:rFonts w:ascii="Arial" w:eastAsia="Times New Roman" w:hAnsi="Arial" w:cs="Arial"/>
          <w:color w:val="000000"/>
          <w:sz w:val="20"/>
          <w:szCs w:val="20"/>
        </w:rPr>
        <w:t>ent to post additional collateral or the immediate settlement of the derivative instruments upon the occurrence of a credit downgrade or if certain defined financial ratios fall below an established threshold.</w:t>
      </w:r>
    </w:p>
    <w:p w:rsidR="00000000" w:rsidRDefault="002223F7">
      <w:pPr>
        <w:jc w:val="both"/>
        <w:divId w:val="1280331861"/>
        <w:rPr>
          <w:rFonts w:eastAsia="Times New Roman"/>
        </w:rPr>
      </w:pPr>
      <w:r>
        <w:rPr>
          <w:rFonts w:ascii="Arial" w:eastAsia="Times New Roman" w:hAnsi="Arial" w:cs="Arial"/>
          <w:color w:val="000000"/>
          <w:sz w:val="20"/>
          <w:szCs w:val="20"/>
        </w:rPr>
        <w:t>The following table presents the potential col</w:t>
      </w:r>
      <w:r>
        <w:rPr>
          <w:rFonts w:ascii="Arial" w:eastAsia="Times New Roman" w:hAnsi="Arial" w:cs="Arial"/>
          <w:color w:val="000000"/>
          <w:sz w:val="20"/>
          <w:szCs w:val="20"/>
        </w:rPr>
        <w:t>lateral requirements for derivative liabilities with credit-risk-contingent features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394"/>
        <w:gridCol w:w="37"/>
        <w:gridCol w:w="36"/>
        <w:gridCol w:w="36"/>
        <w:gridCol w:w="36"/>
        <w:gridCol w:w="132"/>
        <w:gridCol w:w="1142"/>
        <w:gridCol w:w="36"/>
        <w:gridCol w:w="36"/>
        <w:gridCol w:w="36"/>
        <w:gridCol w:w="36"/>
        <w:gridCol w:w="132"/>
        <w:gridCol w:w="1143"/>
        <w:gridCol w:w="36"/>
      </w:tblGrid>
      <w:tr w:rsidR="00000000">
        <w:trPr>
          <w:divId w:val="981692272"/>
          <w:jc w:val="center"/>
        </w:trPr>
        <w:tc>
          <w:tcPr>
            <w:tcW w:w="50" w:type="pct"/>
            <w:vAlign w:val="center"/>
            <w:hideMark/>
          </w:tcPr>
          <w:p w:rsidR="00000000" w:rsidRDefault="002223F7">
            <w:pPr>
              <w:jc w:val="both"/>
              <w:rPr>
                <w:rFonts w:eastAsia="Times New Roman"/>
              </w:rPr>
            </w:pPr>
          </w:p>
        </w:tc>
        <w:tc>
          <w:tcPr>
            <w:tcW w:w="3278"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72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72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981692272"/>
          <w:jc w:val="center"/>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As of December 31,</w:t>
            </w:r>
          </w:p>
        </w:tc>
      </w:tr>
      <w:tr w:rsidR="00000000">
        <w:trPr>
          <w:divId w:val="981692272"/>
          <w:jc w:val="center"/>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2021</w:t>
            </w:r>
          </w:p>
        </w:tc>
      </w:tr>
      <w:tr w:rsidR="00000000">
        <w:trPr>
          <w:divId w:val="981692272"/>
          <w:jc w:val="center"/>
        </w:trPr>
        <w:tc>
          <w:tcPr>
            <w:tcW w:w="0" w:type="auto"/>
            <w:gridSpan w:val="3"/>
            <w:shd w:val="clear" w:color="auto" w:fill="CCEEFF"/>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Net derivative liability positions with credit contingent features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2223F7">
            <w:pPr>
              <w:spacing w:after="100"/>
              <w:jc w:val="right"/>
              <w:rPr>
                <w:rFonts w:eastAsia="Times New Roman"/>
              </w:rPr>
            </w:pPr>
            <w:r>
              <w:rPr>
                <w:rFonts w:ascii="Arial" w:eastAsia="Times New Roman" w:hAnsi="Arial" w:cs="Arial"/>
                <w:color w:val="000000"/>
                <w:sz w:val="20"/>
                <w:szCs w:val="20"/>
              </w:rPr>
              <w:t>72.5 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rsidR="00000000" w:rsidRDefault="002223F7">
            <w:pPr>
              <w:spacing w:after="100"/>
              <w:jc w:val="right"/>
              <w:rPr>
                <w:rFonts w:eastAsia="Times New Roman"/>
              </w:rPr>
            </w:pPr>
            <w:r>
              <w:rPr>
                <w:rFonts w:ascii="Arial" w:eastAsia="Times New Roman" w:hAnsi="Arial" w:cs="Arial"/>
                <w:color w:val="000000"/>
                <w:sz w:val="20"/>
                <w:szCs w:val="20"/>
              </w:rPr>
              <w:t>3.3 </w:t>
            </w:r>
          </w:p>
        </w:tc>
        <w:tc>
          <w:tcPr>
            <w:tcW w:w="0" w:type="auto"/>
            <w:tcBorders>
              <w:top w:val="single" w:sz="8" w:space="0" w:color="000000"/>
            </w:tcBorders>
            <w:shd w:val="clear" w:color="auto" w:fill="CCEEFF"/>
            <w:tcMar>
              <w:top w:w="30" w:type="dxa"/>
              <w:left w:w="0" w:type="dxa"/>
              <w:bottom w:w="30" w:type="dxa"/>
              <w:right w:w="20" w:type="dxa"/>
            </w:tcMar>
            <w:hideMark/>
          </w:tcPr>
          <w:p w:rsidR="00000000" w:rsidRDefault="002223F7">
            <w:pPr>
              <w:spacing w:after="100"/>
              <w:jc w:val="right"/>
              <w:rPr>
                <w:rFonts w:eastAsia="Times New Roman"/>
              </w:rPr>
            </w:pPr>
          </w:p>
        </w:tc>
      </w:tr>
      <w:tr w:rsidR="00000000">
        <w:trPr>
          <w:divId w:val="981692272"/>
          <w:jc w:val="center"/>
        </w:trPr>
        <w:tc>
          <w:tcPr>
            <w:tcW w:w="0" w:type="auto"/>
            <w:gridSpan w:val="3"/>
            <w:shd w:val="clear" w:color="auto" w:fill="FFFFFF"/>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Collateral posted and held by our counterparties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2223F7">
            <w:pPr>
              <w:spacing w:after="100"/>
              <w:jc w:val="right"/>
              <w:rPr>
                <w:rFonts w:eastAsia="Times New Roman"/>
              </w:rPr>
            </w:pPr>
            <w:r>
              <w:rPr>
                <w:rFonts w:ascii="Arial" w:eastAsia="Times New Roman" w:hAnsi="Arial" w:cs="Arial"/>
                <w:color w:val="000000"/>
                <w:sz w:val="20"/>
                <w:szCs w:val="20"/>
              </w:rPr>
              <w:t>(28.7)</w:t>
            </w:r>
          </w:p>
        </w:tc>
        <w:tc>
          <w:tcPr>
            <w:tcW w:w="0" w:type="auto"/>
            <w:shd w:val="clear" w:color="auto" w:fill="FFFFFF"/>
            <w:tcMar>
              <w:top w:w="30" w:type="dxa"/>
              <w:left w:w="0" w:type="dxa"/>
              <w:bottom w:w="30" w:type="dxa"/>
              <w:right w:w="20" w:type="dxa"/>
            </w:tcMar>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hideMark/>
          </w:tcPr>
          <w:p w:rsidR="00000000" w:rsidRDefault="002223F7">
            <w:pPr>
              <w:spacing w:after="100"/>
              <w:jc w:val="right"/>
              <w:rPr>
                <w:rFonts w:eastAsia="Times New Roman"/>
              </w:rPr>
            </w:pPr>
          </w:p>
        </w:tc>
      </w:tr>
      <w:tr w:rsidR="00000000">
        <w:trPr>
          <w:divId w:val="981692272"/>
          <w:jc w:val="center"/>
        </w:trPr>
        <w:tc>
          <w:tcPr>
            <w:tcW w:w="0" w:type="auto"/>
            <w:gridSpan w:val="3"/>
            <w:shd w:val="clear" w:color="auto" w:fill="CCEEFF"/>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Maximum additional potential collateral requirements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2223F7">
            <w:pPr>
              <w:spacing w:after="100"/>
              <w:jc w:val="right"/>
              <w:rPr>
                <w:rFonts w:eastAsia="Times New Roman"/>
              </w:rPr>
            </w:pPr>
            <w:r>
              <w:rPr>
                <w:rFonts w:ascii="Arial" w:eastAsia="Times New Roman" w:hAnsi="Arial" w:cs="Arial"/>
                <w:color w:val="000000"/>
                <w:sz w:val="20"/>
                <w:szCs w:val="20"/>
              </w:rPr>
              <w:t>43.8 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2223F7">
            <w:pPr>
              <w:spacing w:after="100"/>
              <w:jc w:val="right"/>
              <w:rPr>
                <w:rFonts w:eastAsia="Times New Roman"/>
              </w:rPr>
            </w:pPr>
            <w:r>
              <w:rPr>
                <w:rFonts w:ascii="Arial" w:eastAsia="Times New Roman" w:hAnsi="Arial" w:cs="Arial"/>
                <w:color w:val="000000"/>
                <w:sz w:val="20"/>
                <w:szCs w:val="20"/>
              </w:rPr>
              <w:t>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2223F7">
            <w:pPr>
              <w:spacing w:after="100"/>
              <w:jc w:val="right"/>
              <w:rPr>
                <w:rFonts w:eastAsia="Times New Roman"/>
              </w:rPr>
            </w:pPr>
          </w:p>
        </w:tc>
      </w:tr>
    </w:tbl>
    <w:p w:rsidR="00000000" w:rsidRDefault="002223F7">
      <w:pPr>
        <w:divId w:val="1019890499"/>
        <w:rPr>
          <w:rFonts w:eastAsia="Times New Roman"/>
        </w:rPr>
      </w:pPr>
      <w:r>
        <w:rPr>
          <w:rFonts w:ascii="Arial" w:eastAsia="Times New Roman" w:hAnsi="Arial" w:cs="Arial"/>
          <w:b/>
          <w:bCs/>
          <w:color w:val="000000"/>
          <w:sz w:val="20"/>
          <w:szCs w:val="20"/>
        </w:rPr>
        <w:t>5. Fair Va</w:t>
      </w:r>
      <w:r>
        <w:rPr>
          <w:rFonts w:ascii="Arial" w:eastAsia="Times New Roman" w:hAnsi="Arial" w:cs="Arial"/>
          <w:b/>
          <w:bCs/>
          <w:color w:val="000000"/>
          <w:sz w:val="20"/>
          <w:szCs w:val="20"/>
        </w:rPr>
        <w:t>lue Measurements</w:t>
      </w:r>
    </w:p>
    <w:p w:rsidR="00000000" w:rsidRDefault="002223F7">
      <w:pPr>
        <w:jc w:val="both"/>
        <w:divId w:val="2027974658"/>
        <w:rPr>
          <w:rFonts w:eastAsia="Times New Roman"/>
        </w:rPr>
      </w:pPr>
      <w:r>
        <w:rPr>
          <w:rFonts w:ascii="Arial" w:eastAsia="Times New Roman" w:hAnsi="Arial" w:cs="Arial"/>
          <w:color w:val="000000"/>
          <w:sz w:val="20"/>
          <w:szCs w:val="20"/>
        </w:rPr>
        <w:t>The carrying amounts of cash and cash equivalents, net accounts receivable, accounts payable and accrued expenses and other current liabilities approximate fair value based on their short-term maturities. The carrying values of our debt an</w:t>
      </w:r>
      <w:r>
        <w:rPr>
          <w:rFonts w:ascii="Arial" w:eastAsia="Times New Roman" w:hAnsi="Arial" w:cs="Arial"/>
          <w:color w:val="000000"/>
          <w:sz w:val="20"/>
          <w:szCs w:val="20"/>
        </w:rPr>
        <w:t>d notes receivable approximate fair value as these instruments bear interest either at variable rates or fixed rates, which are not significantly different from market rates. The fair value measurements for our debt and notes receivable are considered to b</w:t>
      </w:r>
      <w:r>
        <w:rPr>
          <w:rFonts w:ascii="Arial" w:eastAsia="Times New Roman" w:hAnsi="Arial" w:cs="Arial"/>
          <w:color w:val="000000"/>
          <w:sz w:val="20"/>
          <w:szCs w:val="20"/>
        </w:rPr>
        <w:t>e Level 2 measurements based on the fair value hierarchy.</w:t>
      </w:r>
    </w:p>
    <w:p w:rsidR="00000000" w:rsidRDefault="002223F7">
      <w:pPr>
        <w:divId w:val="500320485"/>
        <w:rPr>
          <w:rFonts w:eastAsia="Times New Roman"/>
        </w:rPr>
      </w:pPr>
      <w:r>
        <w:rPr>
          <w:rFonts w:ascii="Arial" w:eastAsia="Times New Roman" w:hAnsi="Arial" w:cs="Arial"/>
          <w:b/>
          <w:bCs/>
          <w:color w:val="000000"/>
          <w:sz w:val="20"/>
          <w:szCs w:val="20"/>
        </w:rPr>
        <w:t>Recurring Fair Value Measurements</w:t>
      </w:r>
    </w:p>
    <w:p w:rsidR="00000000" w:rsidRDefault="002223F7">
      <w:pPr>
        <w:jc w:val="both"/>
        <w:divId w:val="174803417"/>
        <w:rPr>
          <w:rFonts w:eastAsia="Times New Roman"/>
        </w:rPr>
      </w:pPr>
      <w:r>
        <w:rPr>
          <w:rFonts w:ascii="Arial" w:eastAsia="Times New Roman" w:hAnsi="Arial" w:cs="Arial"/>
          <w:color w:val="000000"/>
          <w:sz w:val="20"/>
          <w:szCs w:val="20"/>
        </w:rPr>
        <w:t>The following tables present information about our gross assets and liabilities that are measured at fair value on a recurring basis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3923"/>
        <w:gridCol w:w="36"/>
        <w:gridCol w:w="36"/>
        <w:gridCol w:w="36"/>
        <w:gridCol w:w="36"/>
        <w:gridCol w:w="132"/>
        <w:gridCol w:w="799"/>
        <w:gridCol w:w="36"/>
        <w:gridCol w:w="36"/>
        <w:gridCol w:w="36"/>
        <w:gridCol w:w="36"/>
        <w:gridCol w:w="132"/>
        <w:gridCol w:w="801"/>
        <w:gridCol w:w="36"/>
        <w:gridCol w:w="36"/>
        <w:gridCol w:w="36"/>
        <w:gridCol w:w="36"/>
        <w:gridCol w:w="133"/>
        <w:gridCol w:w="801"/>
        <w:gridCol w:w="37"/>
        <w:gridCol w:w="36"/>
        <w:gridCol w:w="36"/>
        <w:gridCol w:w="36"/>
        <w:gridCol w:w="132"/>
        <w:gridCol w:w="802"/>
        <w:gridCol w:w="36"/>
      </w:tblGrid>
      <w:tr w:rsidR="00000000">
        <w:trPr>
          <w:divId w:val="1520318744"/>
        </w:trPr>
        <w:tc>
          <w:tcPr>
            <w:tcW w:w="50" w:type="pct"/>
            <w:vAlign w:val="center"/>
            <w:hideMark/>
          </w:tcPr>
          <w:p w:rsidR="00000000" w:rsidRDefault="002223F7">
            <w:pPr>
              <w:jc w:val="both"/>
              <w:rPr>
                <w:rFonts w:eastAsia="Times New Roman"/>
              </w:rPr>
            </w:pPr>
          </w:p>
        </w:tc>
        <w:tc>
          <w:tcPr>
            <w:tcW w:w="240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2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2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2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30"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1520318744"/>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24"/>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Fair Value Measurements as of December 31, 2022</w:t>
            </w:r>
          </w:p>
        </w:tc>
      </w:tr>
      <w:tr w:rsidR="00000000">
        <w:trPr>
          <w:divId w:val="1520318744"/>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Level 1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Level 2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Level 3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Total Fair Value</w:t>
            </w:r>
          </w:p>
        </w:tc>
      </w:tr>
      <w:tr w:rsidR="00000000">
        <w:trPr>
          <w:divId w:val="1520318744"/>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520318744"/>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496.2 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797.6 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1,298.0 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520318744"/>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Interest rate contract</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24.7 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24.7 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520318744"/>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24.7 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24.7 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520318744"/>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Cash surrender value of life insurance</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520318744"/>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assets at fair value</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496.2 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861.4 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1,361.8 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520318744"/>
          <w:trHeight w:val="300"/>
        </w:trPr>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520318744"/>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520318744"/>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Commodities contracts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497.4 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951.2 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1,452.1 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520318744"/>
        </w:trPr>
        <w:tc>
          <w:tcPr>
            <w:tcW w:w="0" w:type="auto"/>
            <w:gridSpan w:val="3"/>
            <w:vAlign w:val="center"/>
            <w:hideMark/>
          </w:tcPr>
          <w:p w:rsidR="00000000" w:rsidRDefault="002223F7">
            <w:pPr>
              <w:spacing w:after="100"/>
              <w:jc w:val="right"/>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1520318744"/>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38.7 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38.7 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520318744"/>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liabilities at fair value</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497.4 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989.9 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1,490.8 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jc w:val="center"/>
        <w:divId w:val="1865433723"/>
        <w:rPr>
          <w:rFonts w:eastAsia="Times New Roman"/>
        </w:rPr>
      </w:pPr>
      <w:r>
        <w:rPr>
          <w:rFonts w:ascii="Arial" w:eastAsia="Times New Roman" w:hAnsi="Arial" w:cs="Arial"/>
          <w:color w:val="000000"/>
          <w:sz w:val="16"/>
          <w:szCs w:val="16"/>
        </w:rPr>
        <w:t>62</w:t>
      </w:r>
    </w:p>
    <w:p w:rsidR="00000000" w:rsidRDefault="002223F7">
      <w:pPr>
        <w:rPr>
          <w:rFonts w:eastAsia="Times New Roman"/>
        </w:rPr>
      </w:pPr>
      <w:r>
        <w:rPr>
          <w:rFonts w:eastAsia="Times New Roman"/>
        </w:rPr>
        <w:pict>
          <v:rect id="_x0000_i1093" style="width:0;height:1.5pt" o:hralign="center" o:hrstd="t" o:hr="t" fillcolor="#a0a0a0" stroked="f"/>
        </w:pict>
      </w:r>
    </w:p>
    <w:p w:rsidR="00000000" w:rsidRDefault="002223F7">
      <w:pPr>
        <w:jc w:val="both"/>
        <w:divId w:val="1343387358"/>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923"/>
        <w:gridCol w:w="36"/>
        <w:gridCol w:w="36"/>
        <w:gridCol w:w="36"/>
        <w:gridCol w:w="36"/>
        <w:gridCol w:w="132"/>
        <w:gridCol w:w="799"/>
        <w:gridCol w:w="36"/>
        <w:gridCol w:w="36"/>
        <w:gridCol w:w="36"/>
        <w:gridCol w:w="36"/>
        <w:gridCol w:w="132"/>
        <w:gridCol w:w="801"/>
        <w:gridCol w:w="36"/>
        <w:gridCol w:w="36"/>
        <w:gridCol w:w="36"/>
        <w:gridCol w:w="36"/>
        <w:gridCol w:w="133"/>
        <w:gridCol w:w="801"/>
        <w:gridCol w:w="37"/>
        <w:gridCol w:w="36"/>
        <w:gridCol w:w="36"/>
        <w:gridCol w:w="36"/>
        <w:gridCol w:w="132"/>
        <w:gridCol w:w="802"/>
        <w:gridCol w:w="36"/>
      </w:tblGrid>
      <w:tr w:rsidR="00000000">
        <w:trPr>
          <w:divId w:val="152724472"/>
          <w:jc w:val="center"/>
        </w:trPr>
        <w:tc>
          <w:tcPr>
            <w:tcW w:w="50" w:type="pct"/>
            <w:vAlign w:val="center"/>
            <w:hideMark/>
          </w:tcPr>
          <w:p w:rsidR="00000000" w:rsidRDefault="002223F7">
            <w:pPr>
              <w:jc w:val="both"/>
              <w:rPr>
                <w:rFonts w:eastAsia="Times New Roman"/>
              </w:rPr>
            </w:pPr>
          </w:p>
        </w:tc>
        <w:tc>
          <w:tcPr>
            <w:tcW w:w="240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2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2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2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30"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152724472"/>
          <w:jc w:val="center"/>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24"/>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Fair Value Measurements as of December 31, 2021</w:t>
            </w:r>
          </w:p>
        </w:tc>
      </w:tr>
      <w:tr w:rsidR="00000000">
        <w:trPr>
          <w:divId w:val="152724472"/>
          <w:jc w:val="center"/>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Level 1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Level 2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Level 3 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Total Fair Value</w:t>
            </w:r>
          </w:p>
        </w:tc>
      </w:tr>
      <w:tr w:rsidR="00000000">
        <w:trPr>
          <w:divId w:val="152724472"/>
          <w:jc w:val="center"/>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52724472"/>
          <w:jc w:val="center"/>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513.3 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247.6 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763.5 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52724472"/>
          <w:jc w:val="center"/>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Interest rate contract</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52724472"/>
          <w:jc w:val="center"/>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52724472"/>
          <w:jc w:val="center"/>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Cash surrender value of life insurance</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52724472"/>
          <w:jc w:val="center"/>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assets at fair value</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513.3 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272.3 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788.3 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52724472"/>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52724472"/>
          <w:jc w:val="center"/>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52724472"/>
          <w:jc w:val="center"/>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Commodities contracts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361.5 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378.6 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743.9 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52724472"/>
          <w:jc w:val="center"/>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Interest rate contract</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52724472"/>
          <w:jc w:val="center"/>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52724472"/>
          <w:jc w:val="center"/>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liabilities at fair value</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361.5 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383.2 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748.5 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jc w:val="both"/>
        <w:divId w:val="957419885"/>
        <w:rPr>
          <w:rFonts w:eastAsia="Times New Roman"/>
        </w:rPr>
      </w:pPr>
      <w:r>
        <w:rPr>
          <w:rFonts w:ascii="Arial" w:eastAsia="Times New Roman" w:hAnsi="Arial" w:cs="Arial"/>
          <w:color w:val="000000"/>
          <w:sz w:val="20"/>
          <w:szCs w:val="20"/>
        </w:rPr>
        <w:t>For our derivative contracts, we may ente</w:t>
      </w:r>
      <w:r>
        <w:rPr>
          <w:rFonts w:ascii="Arial" w:eastAsia="Times New Roman" w:hAnsi="Arial" w:cs="Arial"/>
          <w:color w:val="000000"/>
          <w:sz w:val="20"/>
          <w:szCs w:val="20"/>
        </w:rPr>
        <w:t>r into master netting, collateral and offset agreements with counterparties. These agreements provide us the ability to offset a counterparty's rights and obligations, request additional collateral when necessary, or liquidate the collateral in the event o</w:t>
      </w:r>
      <w:r>
        <w:rPr>
          <w:rFonts w:ascii="Arial" w:eastAsia="Times New Roman" w:hAnsi="Arial" w:cs="Arial"/>
          <w:color w:val="000000"/>
          <w:sz w:val="20"/>
          <w:szCs w:val="20"/>
        </w:rPr>
        <w:t>f counterparty default. We net the fair value of cash collateral paid or received against fair value amounts recognized for net derivative positions executed with the same counterparty under the same master netting or offset agreement.</w:t>
      </w:r>
    </w:p>
    <w:p w:rsidR="00000000" w:rsidRDefault="002223F7">
      <w:pPr>
        <w:jc w:val="both"/>
        <w:divId w:val="210195888"/>
        <w:rPr>
          <w:rFonts w:eastAsia="Times New Roman"/>
        </w:rPr>
      </w:pPr>
      <w:r>
        <w:rPr>
          <w:rFonts w:ascii="Arial" w:eastAsia="Times New Roman" w:hAnsi="Arial" w:cs="Arial"/>
          <w:color w:val="000000"/>
          <w:sz w:val="20"/>
          <w:szCs w:val="20"/>
        </w:rPr>
        <w:t>We have elected to o</w:t>
      </w:r>
      <w:r>
        <w:rPr>
          <w:rFonts w:ascii="Arial" w:eastAsia="Times New Roman" w:hAnsi="Arial" w:cs="Arial"/>
          <w:color w:val="000000"/>
          <w:sz w:val="20"/>
          <w:szCs w:val="20"/>
        </w:rPr>
        <w:t>ffset the recognized fair value amounts for multiple derivative instruments executed with the same counterparty in our financial statements when a legal right of offset exists. The following tables summarize those derivative balances subject to the right o</w:t>
      </w:r>
      <w:r>
        <w:rPr>
          <w:rFonts w:ascii="Arial" w:eastAsia="Times New Roman" w:hAnsi="Arial" w:cs="Arial"/>
          <w:color w:val="000000"/>
          <w:sz w:val="20"/>
          <w:szCs w:val="20"/>
        </w:rPr>
        <w:t>f offset as presented on our Consolidated Balance Sheets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1344"/>
        <w:gridCol w:w="36"/>
        <w:gridCol w:w="36"/>
        <w:gridCol w:w="36"/>
        <w:gridCol w:w="36"/>
        <w:gridCol w:w="133"/>
        <w:gridCol w:w="1058"/>
        <w:gridCol w:w="36"/>
        <w:gridCol w:w="36"/>
        <w:gridCol w:w="36"/>
        <w:gridCol w:w="36"/>
        <w:gridCol w:w="133"/>
        <w:gridCol w:w="805"/>
        <w:gridCol w:w="36"/>
        <w:gridCol w:w="36"/>
        <w:gridCol w:w="36"/>
        <w:gridCol w:w="36"/>
        <w:gridCol w:w="133"/>
        <w:gridCol w:w="904"/>
        <w:gridCol w:w="36"/>
        <w:gridCol w:w="36"/>
        <w:gridCol w:w="36"/>
        <w:gridCol w:w="36"/>
        <w:gridCol w:w="133"/>
        <w:gridCol w:w="848"/>
        <w:gridCol w:w="36"/>
        <w:gridCol w:w="36"/>
        <w:gridCol w:w="36"/>
        <w:gridCol w:w="36"/>
        <w:gridCol w:w="133"/>
        <w:gridCol w:w="805"/>
        <w:gridCol w:w="36"/>
        <w:gridCol w:w="36"/>
        <w:gridCol w:w="36"/>
        <w:gridCol w:w="36"/>
        <w:gridCol w:w="133"/>
        <w:gridCol w:w="805"/>
        <w:gridCol w:w="36"/>
      </w:tblGrid>
      <w:tr w:rsidR="00000000">
        <w:trPr>
          <w:divId w:val="1682000845"/>
          <w:jc w:val="center"/>
        </w:trPr>
        <w:tc>
          <w:tcPr>
            <w:tcW w:w="50" w:type="pct"/>
            <w:vAlign w:val="center"/>
            <w:hideMark/>
          </w:tcPr>
          <w:p w:rsidR="00000000" w:rsidRDefault="002223F7">
            <w:pPr>
              <w:jc w:val="both"/>
              <w:rPr>
                <w:rFonts w:eastAsia="Times New Roman"/>
              </w:rPr>
            </w:pPr>
          </w:p>
        </w:tc>
        <w:tc>
          <w:tcPr>
            <w:tcW w:w="1523"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5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3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78"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4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3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3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1682000845"/>
          <w:jc w:val="center"/>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Fair Value as of December 31, 2022</w:t>
            </w:r>
          </w:p>
        </w:tc>
      </w:tr>
      <w:tr w:rsidR="00000000">
        <w:trPr>
          <w:divId w:val="1682000845"/>
          <w:jc w:val="center"/>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Gross Amounts Recognized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Gross Amounts Offset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333333"/>
                <w:sz w:val="20"/>
                <w:szCs w:val="20"/>
              </w:rPr>
              <w:t>Net Amounts Presented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Cash Collateral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Gross Amounts Without Right of Offset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333333"/>
                <w:sz w:val="20"/>
                <w:szCs w:val="20"/>
              </w:rPr>
              <w:t>Net Amounts</w:t>
            </w:r>
          </w:p>
        </w:tc>
      </w:tr>
      <w:tr w:rsidR="00000000">
        <w:trPr>
          <w:divId w:val="1682000845"/>
          <w:jc w:val="center"/>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682000845"/>
          <w:jc w:val="center"/>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1,298.0 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756.8 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541.1 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79.3 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461.9 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682000845"/>
          <w:jc w:val="center"/>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Interest rate contract</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24.7 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24.7 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24.7 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682000845"/>
          <w:jc w:val="center"/>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24.7 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20.9 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682000845"/>
          <w:jc w:val="center"/>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assets at fair value</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1,347.4 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777.7 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569.7 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490.5 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682000845"/>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682000845"/>
          <w:jc w:val="center"/>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682000845"/>
          <w:jc w:val="center"/>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1,452.1 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755.6 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696.4 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243.1 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453.3 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682000845"/>
          <w:jc w:val="center"/>
        </w:trPr>
        <w:tc>
          <w:tcPr>
            <w:tcW w:w="0" w:type="auto"/>
            <w:gridSpan w:val="3"/>
            <w:vAlign w:val="center"/>
            <w:hideMark/>
          </w:tcPr>
          <w:p w:rsidR="00000000" w:rsidRDefault="002223F7">
            <w:pPr>
              <w:spacing w:after="100"/>
              <w:jc w:val="right"/>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1682000845"/>
          <w:jc w:val="center"/>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38.7 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22.1 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16.7 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16.7 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682000845"/>
          <w:jc w:val="center"/>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liabilities at fair value</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1,490.8 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777.7 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713.1 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243.1 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470.0 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jc w:val="center"/>
        <w:divId w:val="606545247"/>
        <w:rPr>
          <w:rFonts w:eastAsia="Times New Roman"/>
        </w:rPr>
      </w:pPr>
      <w:r>
        <w:rPr>
          <w:rFonts w:ascii="Arial" w:eastAsia="Times New Roman" w:hAnsi="Arial" w:cs="Arial"/>
          <w:color w:val="000000"/>
          <w:sz w:val="16"/>
          <w:szCs w:val="16"/>
        </w:rPr>
        <w:t>63</w:t>
      </w:r>
    </w:p>
    <w:p w:rsidR="00000000" w:rsidRDefault="002223F7">
      <w:pPr>
        <w:rPr>
          <w:rFonts w:eastAsia="Times New Roman"/>
        </w:rPr>
      </w:pPr>
      <w:r>
        <w:rPr>
          <w:rFonts w:eastAsia="Times New Roman"/>
        </w:rPr>
        <w:pict>
          <v:rect id="_x0000_i1094" style="width:0;height:1.5pt" o:hralign="center" o:hrstd="t" o:hr="t" fillcolor="#a0a0a0" stroked="f"/>
        </w:pict>
      </w:r>
    </w:p>
    <w:p w:rsidR="00000000" w:rsidRDefault="002223F7">
      <w:pPr>
        <w:jc w:val="both"/>
        <w:divId w:val="1537038343"/>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1344"/>
        <w:gridCol w:w="36"/>
        <w:gridCol w:w="36"/>
        <w:gridCol w:w="36"/>
        <w:gridCol w:w="36"/>
        <w:gridCol w:w="133"/>
        <w:gridCol w:w="1058"/>
        <w:gridCol w:w="36"/>
        <w:gridCol w:w="36"/>
        <w:gridCol w:w="36"/>
        <w:gridCol w:w="36"/>
        <w:gridCol w:w="133"/>
        <w:gridCol w:w="805"/>
        <w:gridCol w:w="36"/>
        <w:gridCol w:w="36"/>
        <w:gridCol w:w="36"/>
        <w:gridCol w:w="36"/>
        <w:gridCol w:w="133"/>
        <w:gridCol w:w="904"/>
        <w:gridCol w:w="36"/>
        <w:gridCol w:w="36"/>
        <w:gridCol w:w="36"/>
        <w:gridCol w:w="36"/>
        <w:gridCol w:w="133"/>
        <w:gridCol w:w="848"/>
        <w:gridCol w:w="36"/>
        <w:gridCol w:w="36"/>
        <w:gridCol w:w="36"/>
        <w:gridCol w:w="36"/>
        <w:gridCol w:w="133"/>
        <w:gridCol w:w="805"/>
        <w:gridCol w:w="36"/>
        <w:gridCol w:w="36"/>
        <w:gridCol w:w="36"/>
        <w:gridCol w:w="36"/>
        <w:gridCol w:w="133"/>
        <w:gridCol w:w="805"/>
        <w:gridCol w:w="36"/>
      </w:tblGrid>
      <w:tr w:rsidR="00000000">
        <w:trPr>
          <w:divId w:val="248077304"/>
          <w:jc w:val="center"/>
        </w:trPr>
        <w:tc>
          <w:tcPr>
            <w:tcW w:w="50" w:type="pct"/>
            <w:vAlign w:val="center"/>
            <w:hideMark/>
          </w:tcPr>
          <w:p w:rsidR="00000000" w:rsidRDefault="002223F7">
            <w:pPr>
              <w:jc w:val="both"/>
              <w:rPr>
                <w:rFonts w:eastAsia="Times New Roman"/>
              </w:rPr>
            </w:pPr>
          </w:p>
        </w:tc>
        <w:tc>
          <w:tcPr>
            <w:tcW w:w="1523"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5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3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78"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4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3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3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248077304"/>
          <w:jc w:val="center"/>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Fair Value as of December 31, 2021</w:t>
            </w:r>
          </w:p>
        </w:tc>
      </w:tr>
      <w:tr w:rsidR="00000000">
        <w:trPr>
          <w:divId w:val="248077304"/>
          <w:jc w:val="center"/>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Gross Amounts Recognized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Gross Amounts Offset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333333"/>
                <w:sz w:val="20"/>
                <w:szCs w:val="20"/>
              </w:rPr>
              <w:t>Net Amounts Presented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Cash Collateral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Gross Amounts Without Right of Offset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333333"/>
                <w:sz w:val="20"/>
                <w:szCs w:val="20"/>
              </w:rPr>
              <w:t>Net Amounts</w:t>
            </w:r>
          </w:p>
        </w:tc>
      </w:tr>
      <w:tr w:rsidR="00000000">
        <w:trPr>
          <w:divId w:val="248077304"/>
          <w:jc w:val="center"/>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48077304"/>
          <w:jc w:val="center"/>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763.5 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513.1 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250.4 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242.8 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48077304"/>
          <w:jc w:val="center"/>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Interest rate contract</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48077304"/>
          <w:jc w:val="center"/>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48077304"/>
          <w:jc w:val="center"/>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assets at fair value</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773.6 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515.6 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258.0 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250.4 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48077304"/>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48077304"/>
          <w:jc w:val="center"/>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48077304"/>
          <w:jc w:val="center"/>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Commodities contracts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743.9 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513.1 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230.8 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227.7 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48077304"/>
          <w:jc w:val="center"/>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Interest rate contract</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48077304"/>
          <w:jc w:val="center"/>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4.3 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48077304"/>
          <w:jc w:val="center"/>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liabilities at fair value</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748.5 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515.6 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232.8 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229.7 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jc w:val="both"/>
        <w:divId w:val="1480610416"/>
        <w:rPr>
          <w:rFonts w:eastAsia="Times New Roman"/>
        </w:rPr>
      </w:pPr>
      <w:r>
        <w:rPr>
          <w:rFonts w:ascii="Arial" w:eastAsia="Times New Roman" w:hAnsi="Arial" w:cs="Arial"/>
          <w:color w:val="000000"/>
          <w:sz w:val="20"/>
          <w:szCs w:val="20"/>
        </w:rPr>
        <w:t>At December 31, 2022 and 2021, we did not present any amounts gross on our Consolidated Balance Sheets where we had the right to offset.</w:t>
      </w:r>
    </w:p>
    <w:p w:rsidR="00000000" w:rsidRDefault="002223F7">
      <w:pPr>
        <w:divId w:val="1031805670"/>
        <w:rPr>
          <w:rFonts w:eastAsia="Times New Roman"/>
        </w:rPr>
      </w:pPr>
      <w:r>
        <w:rPr>
          <w:rFonts w:ascii="Arial" w:eastAsia="Times New Roman" w:hAnsi="Arial" w:cs="Arial"/>
          <w:b/>
          <w:bCs/>
          <w:color w:val="000000"/>
          <w:sz w:val="20"/>
          <w:szCs w:val="20"/>
        </w:rPr>
        <w:t>Concentration of Credit Risk</w:t>
      </w:r>
    </w:p>
    <w:p w:rsidR="00000000" w:rsidRDefault="002223F7">
      <w:pPr>
        <w:jc w:val="both"/>
        <w:divId w:val="2084064258"/>
        <w:rPr>
          <w:rFonts w:eastAsia="Times New Roman"/>
        </w:rPr>
      </w:pPr>
      <w:r>
        <w:rPr>
          <w:rFonts w:ascii="Arial" w:eastAsia="Times New Roman" w:hAnsi="Arial" w:cs="Arial"/>
          <w:color w:val="000000"/>
          <w:sz w:val="20"/>
          <w:szCs w:val="20"/>
        </w:rPr>
        <w:t xml:space="preserve">Our individual over-the-counter ("OTC") counterparty exposure is managed within predetermined credit limits and includes the use of cash-call margins when appropriate, thereby reducing the risk of significant nonperformance. At December 31, 2022, three of </w:t>
      </w:r>
      <w:r>
        <w:rPr>
          <w:rFonts w:ascii="Arial" w:eastAsia="Times New Roman" w:hAnsi="Arial" w:cs="Arial"/>
          <w:color w:val="000000"/>
          <w:sz w:val="20"/>
          <w:szCs w:val="20"/>
        </w:rPr>
        <w:t>our counterparties with a total exposure of $171.2 million represented over 10% of our credit exposure to OTC derivative counterparties, for which we held cash collateral of $14.8 million.</w:t>
      </w:r>
    </w:p>
    <w:p w:rsidR="00000000" w:rsidRDefault="002223F7">
      <w:pPr>
        <w:jc w:val="both"/>
        <w:divId w:val="412699074"/>
        <w:rPr>
          <w:rFonts w:eastAsia="Times New Roman"/>
        </w:rPr>
      </w:pPr>
      <w:r>
        <w:rPr>
          <w:rFonts w:ascii="Arial" w:eastAsia="Times New Roman" w:hAnsi="Arial" w:cs="Arial"/>
          <w:b/>
          <w:bCs/>
          <w:color w:val="000000"/>
          <w:sz w:val="20"/>
          <w:szCs w:val="20"/>
        </w:rPr>
        <w:t>Nonrecurring Fair Value Measurements</w:t>
      </w:r>
    </w:p>
    <w:p w:rsidR="00000000" w:rsidRDefault="002223F7">
      <w:pPr>
        <w:jc w:val="both"/>
        <w:divId w:val="1103308218"/>
        <w:rPr>
          <w:rFonts w:eastAsia="Times New Roman"/>
        </w:rPr>
      </w:pPr>
      <w:r>
        <w:rPr>
          <w:rFonts w:ascii="Arial" w:eastAsia="Times New Roman" w:hAnsi="Arial" w:cs="Arial"/>
          <w:color w:val="000000"/>
          <w:sz w:val="20"/>
          <w:szCs w:val="20"/>
        </w:rPr>
        <w:t>The fair values of nonrecurrin</w:t>
      </w:r>
      <w:r>
        <w:rPr>
          <w:rFonts w:ascii="Arial" w:eastAsia="Times New Roman" w:hAnsi="Arial" w:cs="Arial"/>
          <w:color w:val="000000"/>
          <w:sz w:val="20"/>
          <w:szCs w:val="20"/>
        </w:rPr>
        <w:t>g assets or liabilities measured using Level 3 inputs were not material as of December 31, 2022 and 2021, respectively. The Flyers assets acquired and liabilities assumed were measured and recorded at their acquisition date fair values during the year ende</w:t>
      </w:r>
      <w:r>
        <w:rPr>
          <w:rFonts w:ascii="Arial" w:eastAsia="Times New Roman" w:hAnsi="Arial" w:cs="Arial"/>
          <w:color w:val="000000"/>
          <w:sz w:val="20"/>
          <w:szCs w:val="20"/>
        </w:rPr>
        <w:t>d December 31, 2022 as discussed in Note 3. Acquisitions and Divestitures.</w:t>
      </w:r>
    </w:p>
    <w:p w:rsidR="00000000" w:rsidRDefault="002223F7">
      <w:pPr>
        <w:jc w:val="both"/>
        <w:divId w:val="1389839630"/>
        <w:rPr>
          <w:rFonts w:eastAsia="Times New Roman"/>
        </w:rPr>
      </w:pPr>
      <w:r>
        <w:rPr>
          <w:rFonts w:ascii="Arial" w:eastAsia="Times New Roman" w:hAnsi="Arial" w:cs="Arial"/>
          <w:color w:val="000000"/>
          <w:sz w:val="20"/>
          <w:szCs w:val="20"/>
        </w:rPr>
        <w:t>During the second quarter of 2021, we identified an impairment indicator with respect to certain long-lived assets within the land segment. We determined that the carrying amount of</w:t>
      </w:r>
      <w:r>
        <w:rPr>
          <w:rFonts w:ascii="Arial" w:eastAsia="Times New Roman" w:hAnsi="Arial" w:cs="Arial"/>
          <w:color w:val="000000"/>
          <w:sz w:val="20"/>
          <w:szCs w:val="20"/>
        </w:rPr>
        <w:t xml:space="preserve"> the asset group was not recoverable and recognized an asset impairment of $4.7 million during the year ended December 31, 2021. The fair value of the asset group was measured using an income approach based on estimated future cash flows as of the measurem</w:t>
      </w:r>
      <w:r>
        <w:rPr>
          <w:rFonts w:ascii="Arial" w:eastAsia="Times New Roman" w:hAnsi="Arial" w:cs="Arial"/>
          <w:color w:val="000000"/>
          <w:sz w:val="20"/>
          <w:szCs w:val="20"/>
        </w:rPr>
        <w:t xml:space="preserve">ent date. Due to the significance of unobservable inputs, the measurement is categorized as Level 3. </w:t>
      </w:r>
    </w:p>
    <w:p w:rsidR="00000000" w:rsidRDefault="002223F7">
      <w:pPr>
        <w:jc w:val="both"/>
        <w:divId w:val="1019694683"/>
        <w:rPr>
          <w:rFonts w:eastAsia="Times New Roman"/>
        </w:rPr>
      </w:pPr>
      <w:r>
        <w:rPr>
          <w:rFonts w:ascii="Arial" w:eastAsia="Times New Roman" w:hAnsi="Arial" w:cs="Arial"/>
          <w:color w:val="000000"/>
          <w:sz w:val="20"/>
          <w:szCs w:val="20"/>
        </w:rPr>
        <w:t>During the fourth quarter of 2020, we measured and recorded at fair value an equity method investment as a result of an other-than-temporary impairment. I</w:t>
      </w:r>
      <w:r>
        <w:rPr>
          <w:rFonts w:ascii="Arial" w:eastAsia="Times New Roman" w:hAnsi="Arial" w:cs="Arial"/>
          <w:color w:val="000000"/>
          <w:sz w:val="20"/>
          <w:szCs w:val="20"/>
        </w:rPr>
        <w:t xml:space="preserve">n calculating fair value, we used a combination of an income and market approach. Under the market approach, we used a selection of global companies that compares with the investment. Under the income approach, we used estimated future cash flows based on </w:t>
      </w:r>
      <w:r>
        <w:rPr>
          <w:rFonts w:ascii="Arial" w:eastAsia="Times New Roman" w:hAnsi="Arial" w:cs="Arial"/>
          <w:color w:val="000000"/>
          <w:sz w:val="20"/>
          <w:szCs w:val="20"/>
        </w:rPr>
        <w:t>information available to us. Due to the significance of unobservable inputs, the measurement is categorized in Level 3.</w:t>
      </w:r>
    </w:p>
    <w:p w:rsidR="00000000" w:rsidRDefault="002223F7">
      <w:pPr>
        <w:jc w:val="center"/>
        <w:divId w:val="528835383"/>
        <w:rPr>
          <w:rFonts w:eastAsia="Times New Roman"/>
        </w:rPr>
      </w:pPr>
      <w:r>
        <w:rPr>
          <w:rFonts w:ascii="Arial" w:eastAsia="Times New Roman" w:hAnsi="Arial" w:cs="Arial"/>
          <w:color w:val="000000"/>
          <w:sz w:val="16"/>
          <w:szCs w:val="16"/>
        </w:rPr>
        <w:t>64</w:t>
      </w:r>
    </w:p>
    <w:p w:rsidR="00000000" w:rsidRDefault="002223F7">
      <w:pPr>
        <w:rPr>
          <w:rFonts w:eastAsia="Times New Roman"/>
        </w:rPr>
      </w:pPr>
      <w:r>
        <w:rPr>
          <w:rFonts w:eastAsia="Times New Roman"/>
        </w:rPr>
        <w:pict>
          <v:rect id="_x0000_i1095" style="width:0;height:1.5pt" o:hralign="center" o:hrstd="t" o:hr="t" fillcolor="#a0a0a0" stroked="f"/>
        </w:pict>
      </w:r>
    </w:p>
    <w:p w:rsidR="00000000" w:rsidRDefault="002223F7">
      <w:pPr>
        <w:jc w:val="both"/>
        <w:divId w:val="1902206824"/>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divId w:val="1041518971"/>
        <w:rPr>
          <w:rFonts w:eastAsia="Times New Roman"/>
        </w:rPr>
      </w:pPr>
      <w:r>
        <w:rPr>
          <w:rFonts w:ascii="Arial" w:eastAsia="Times New Roman" w:hAnsi="Arial" w:cs="Arial"/>
          <w:b/>
          <w:bCs/>
          <w:color w:val="000000"/>
          <w:sz w:val="20"/>
          <w:szCs w:val="20"/>
        </w:rPr>
        <w:t>6. Goodwill and Identifiable Intangible Assets</w:t>
      </w:r>
    </w:p>
    <w:p w:rsidR="00000000" w:rsidRDefault="002223F7">
      <w:pPr>
        <w:divId w:val="1808013003"/>
        <w:rPr>
          <w:rFonts w:eastAsia="Times New Roman"/>
        </w:rPr>
      </w:pPr>
      <w:r>
        <w:rPr>
          <w:rFonts w:ascii="Arial" w:eastAsia="Times New Roman" w:hAnsi="Arial" w:cs="Arial"/>
          <w:b/>
          <w:bCs/>
          <w:color w:val="000000"/>
          <w:sz w:val="20"/>
          <w:szCs w:val="20"/>
        </w:rPr>
        <w:t>Goodwill</w:t>
      </w:r>
    </w:p>
    <w:p w:rsidR="00000000" w:rsidRDefault="002223F7">
      <w:pPr>
        <w:jc w:val="both"/>
        <w:divId w:val="1866937206"/>
        <w:rPr>
          <w:rFonts w:eastAsia="Times New Roman"/>
        </w:rPr>
      </w:pPr>
      <w:r>
        <w:rPr>
          <w:rFonts w:ascii="Arial" w:eastAsia="Times New Roman" w:hAnsi="Arial" w:cs="Arial"/>
          <w:color w:val="000000"/>
          <w:sz w:val="20"/>
          <w:szCs w:val="20"/>
        </w:rPr>
        <w:t>The following table provides information regarding changes in goodwill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369"/>
        <w:gridCol w:w="37"/>
        <w:gridCol w:w="133"/>
        <w:gridCol w:w="1064"/>
        <w:gridCol w:w="36"/>
        <w:gridCol w:w="36"/>
        <w:gridCol w:w="36"/>
        <w:gridCol w:w="36"/>
        <w:gridCol w:w="133"/>
        <w:gridCol w:w="1019"/>
        <w:gridCol w:w="36"/>
        <w:gridCol w:w="36"/>
        <w:gridCol w:w="36"/>
        <w:gridCol w:w="36"/>
        <w:gridCol w:w="36"/>
        <w:gridCol w:w="132"/>
        <w:gridCol w:w="1021"/>
        <w:gridCol w:w="36"/>
      </w:tblGrid>
      <w:tr w:rsidR="00000000">
        <w:trPr>
          <w:divId w:val="1620721687"/>
        </w:trPr>
        <w:tc>
          <w:tcPr>
            <w:tcW w:w="50" w:type="pct"/>
            <w:vAlign w:val="center"/>
            <w:hideMark/>
          </w:tcPr>
          <w:p w:rsidR="00000000" w:rsidRDefault="002223F7">
            <w:pPr>
              <w:jc w:val="both"/>
              <w:rPr>
                <w:rFonts w:eastAsia="Times New Roman"/>
              </w:rPr>
            </w:pPr>
          </w:p>
        </w:tc>
        <w:tc>
          <w:tcPr>
            <w:tcW w:w="2678"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26"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26"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6"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1620721687"/>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Aviation</w:t>
            </w:r>
            <w:r>
              <w:rPr>
                <w:rFonts w:ascii="Arial" w:eastAsia="Times New Roman" w:hAnsi="Arial" w:cs="Arial"/>
                <w:b/>
                <w:bCs/>
                <w:color w:val="000000"/>
                <w:sz w:val="20"/>
                <w:szCs w:val="20"/>
              </w:rPr>
              <w:br/>
            </w:r>
            <w:r>
              <w:rPr>
                <w:rFonts w:ascii="Arial" w:eastAsia="Times New Roman" w:hAnsi="Arial" w:cs="Arial"/>
                <w:b/>
                <w:bCs/>
                <w:color w:val="000000"/>
                <w:sz w:val="20"/>
                <w:szCs w:val="20"/>
              </w:rPr>
              <w:t>Segment</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Land</w:t>
            </w:r>
            <w:r>
              <w:rPr>
                <w:rFonts w:ascii="Arial" w:eastAsia="Times New Roman" w:hAnsi="Arial" w:cs="Arial"/>
                <w:b/>
                <w:bCs/>
                <w:color w:val="000000"/>
                <w:sz w:val="20"/>
                <w:szCs w:val="20"/>
              </w:rPr>
              <w:br/>
              <w:t>Segment</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vAlign w:val="center"/>
            <w:hideMark/>
          </w:tcPr>
          <w:p w:rsidR="00000000" w:rsidRDefault="002223F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Total</w:t>
            </w:r>
          </w:p>
        </w:tc>
      </w:tr>
      <w:tr w:rsidR="00000000">
        <w:trPr>
          <w:divId w:val="162072168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As of December 31,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398.8 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459.7 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858.6 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62072168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divId w:val="1427388942"/>
              <w:rPr>
                <w:rFonts w:eastAsia="Times New Roman"/>
              </w:rPr>
            </w:pPr>
            <w:r>
              <w:rPr>
                <w:rFonts w:ascii="Arial" w:eastAsia="Times New Roman" w:hAnsi="Arial" w:cs="Arial"/>
                <w:color w:val="000000"/>
                <w:sz w:val="20"/>
                <w:szCs w:val="20"/>
              </w:rPr>
              <w:t>2021 acquisitio</w:t>
            </w:r>
            <w:r>
              <w:rPr>
                <w:rFonts w:ascii="Arial" w:eastAsia="Times New Roman" w:hAnsi="Arial" w:cs="Arial"/>
                <w:color w:val="000000"/>
                <w:sz w:val="20"/>
                <w:szCs w:val="20"/>
              </w:rPr>
              <w:t>n</w:t>
            </w:r>
            <w:r>
              <w:rPr>
                <w:rFonts w:ascii="Arial" w:eastAsia="Times New Roman" w:hAnsi="Arial" w:cs="Arial"/>
                <w:color w:val="000000"/>
                <w:sz w:val="13"/>
                <w:szCs w:val="13"/>
              </w:rPr>
              <w:t xml:space="preserve"> (1</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62072168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Foreign currency translation of non-USD functional currency subsidiary goodwill</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(5.5)</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(4.2)</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62072168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As of December 31, 2021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400.1 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461.8 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861.9 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62072168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divId w:val="922641536"/>
              <w:rPr>
                <w:rFonts w:eastAsia="Times New Roman"/>
              </w:rPr>
            </w:pPr>
            <w:r>
              <w:rPr>
                <w:rFonts w:ascii="Arial" w:eastAsia="Times New Roman" w:hAnsi="Arial" w:cs="Arial"/>
                <w:color w:val="000000"/>
                <w:sz w:val="20"/>
                <w:szCs w:val="20"/>
              </w:rPr>
              <w:t>2022 acquisitions</w:t>
            </w:r>
            <w:r>
              <w:rPr>
                <w:rFonts w:ascii="Arial" w:eastAsia="Times New Roman" w:hAnsi="Arial" w:cs="Arial"/>
                <w:color w:val="000000"/>
                <w:sz w:val="20"/>
                <w:szCs w:val="20"/>
              </w:rPr>
              <w:t xml:space="preserve"> </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388.0 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388.7 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62072168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Foreign currency translation of non-USD functional currency subsidiary goodwill</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(3.2)</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(14.4)</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(17.6)</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62072168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As of December 31, 2022</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397.6 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835.3 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1,233.0 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ind w:hanging="360"/>
        <w:jc w:val="both"/>
        <w:divId w:val="1513035173"/>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 xml:space="preserve">See Note 3. Acquisitions and Divestitures for additional information. </w:t>
      </w:r>
    </w:p>
    <w:p w:rsidR="00000000" w:rsidRDefault="002223F7">
      <w:pPr>
        <w:divId w:val="2053112664"/>
        <w:rPr>
          <w:rFonts w:eastAsia="Times New Roman"/>
        </w:rPr>
      </w:pPr>
      <w:r>
        <w:rPr>
          <w:rFonts w:ascii="Arial" w:eastAsia="Times New Roman" w:hAnsi="Arial" w:cs="Arial"/>
          <w:b/>
          <w:bCs/>
          <w:color w:val="000000"/>
          <w:sz w:val="20"/>
          <w:szCs w:val="20"/>
        </w:rPr>
        <w:t>Identifiable Intangible Assets</w:t>
      </w:r>
    </w:p>
    <w:p w:rsidR="00000000" w:rsidRDefault="002223F7">
      <w:pPr>
        <w:jc w:val="both"/>
        <w:divId w:val="1311599855"/>
        <w:rPr>
          <w:rFonts w:eastAsia="Times New Roman"/>
        </w:rPr>
      </w:pPr>
      <w:r>
        <w:rPr>
          <w:rFonts w:ascii="Arial" w:eastAsia="Times New Roman" w:hAnsi="Arial" w:cs="Arial"/>
          <w:color w:val="000000"/>
          <w:sz w:val="20"/>
          <w:szCs w:val="20"/>
        </w:rPr>
        <w:t>The following table provides information about our identifiable intangible assets (in millions):</w:t>
      </w:r>
    </w:p>
    <w:tbl>
      <w:tblPr>
        <w:tblW w:w="5000" w:type="pct"/>
        <w:tblCellMar>
          <w:top w:w="15" w:type="dxa"/>
          <w:left w:w="15" w:type="dxa"/>
          <w:bottom w:w="15" w:type="dxa"/>
          <w:right w:w="15" w:type="dxa"/>
        </w:tblCellMar>
        <w:tblLook w:val="04A0" w:firstRow="1" w:lastRow="0" w:firstColumn="1" w:lastColumn="0" w:noHBand="0" w:noVBand="1"/>
      </w:tblPr>
      <w:tblGrid>
        <w:gridCol w:w="42"/>
        <w:gridCol w:w="1638"/>
        <w:gridCol w:w="36"/>
        <w:gridCol w:w="133"/>
        <w:gridCol w:w="761"/>
        <w:gridCol w:w="36"/>
        <w:gridCol w:w="36"/>
        <w:gridCol w:w="36"/>
        <w:gridCol w:w="36"/>
        <w:gridCol w:w="133"/>
        <w:gridCol w:w="1201"/>
        <w:gridCol w:w="36"/>
        <w:gridCol w:w="36"/>
        <w:gridCol w:w="36"/>
        <w:gridCol w:w="36"/>
        <w:gridCol w:w="132"/>
        <w:gridCol w:w="557"/>
        <w:gridCol w:w="36"/>
        <w:gridCol w:w="36"/>
        <w:gridCol w:w="36"/>
        <w:gridCol w:w="36"/>
        <w:gridCol w:w="133"/>
        <w:gridCol w:w="761"/>
        <w:gridCol w:w="36"/>
        <w:gridCol w:w="36"/>
        <w:gridCol w:w="36"/>
        <w:gridCol w:w="36"/>
        <w:gridCol w:w="133"/>
        <w:gridCol w:w="1201"/>
        <w:gridCol w:w="36"/>
        <w:gridCol w:w="36"/>
        <w:gridCol w:w="36"/>
        <w:gridCol w:w="36"/>
        <w:gridCol w:w="132"/>
        <w:gridCol w:w="557"/>
        <w:gridCol w:w="36"/>
      </w:tblGrid>
      <w:tr w:rsidR="00000000">
        <w:trPr>
          <w:divId w:val="1468936975"/>
        </w:trPr>
        <w:tc>
          <w:tcPr>
            <w:tcW w:w="50" w:type="pct"/>
            <w:vAlign w:val="center"/>
            <w:hideMark/>
          </w:tcPr>
          <w:p w:rsidR="00000000" w:rsidRDefault="002223F7">
            <w:pPr>
              <w:jc w:val="both"/>
              <w:rPr>
                <w:rFonts w:eastAsia="Times New Roman"/>
              </w:rPr>
            </w:pPr>
          </w:p>
        </w:tc>
        <w:tc>
          <w:tcPr>
            <w:tcW w:w="1370"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12"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9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383"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12"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9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383"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1468936975"/>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As of December 31, 2022</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As of December 31, 2021</w:t>
            </w:r>
          </w:p>
        </w:tc>
      </w:tr>
      <w:tr w:rsidR="00000000">
        <w:trPr>
          <w:divId w:val="1468936975"/>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Gross</w:t>
            </w:r>
            <w:r>
              <w:rPr>
                <w:rFonts w:ascii="Arial" w:eastAsia="Times New Roman" w:hAnsi="Arial" w:cs="Arial"/>
                <w:b/>
                <w:bCs/>
                <w:color w:val="000000"/>
                <w:sz w:val="20"/>
                <w:szCs w:val="20"/>
              </w:rPr>
              <w:br/>
              <w:t>Carrying</w:t>
            </w:r>
            <w:r>
              <w:rPr>
                <w:rFonts w:ascii="Arial" w:eastAsia="Times New Roman" w:hAnsi="Arial" w:cs="Arial"/>
                <w:b/>
                <w:bCs/>
                <w:color w:val="000000"/>
                <w:sz w:val="20"/>
                <w:szCs w:val="20"/>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Accumulated</w:t>
            </w:r>
            <w:r>
              <w:rPr>
                <w:rFonts w:ascii="Arial" w:eastAsia="Times New Roman" w:hAnsi="Arial" w:cs="Arial"/>
                <w:b/>
                <w:bCs/>
                <w:color w:val="000000"/>
                <w:sz w:val="20"/>
                <w:szCs w:val="20"/>
              </w:rPr>
              <w:br/>
              <w:t>Amortization</w:t>
            </w:r>
            <w:r>
              <w:rPr>
                <w:rFonts w:ascii="Arial" w:eastAsia="Times New Roman" w:hAnsi="Arial" w:cs="Arial"/>
                <w:b/>
                <w:bCs/>
                <w:color w:val="000000"/>
                <w:sz w:val="20"/>
                <w:szCs w:val="20"/>
              </w:rPr>
              <w:t xml:space="preserve"> </w:t>
            </w:r>
            <w:r>
              <w:rPr>
                <w:rFonts w:ascii="Arial" w:eastAsia="Times New Roman" w:hAnsi="Arial" w:cs="Arial"/>
                <w:b/>
                <w:bCs/>
                <w:color w:val="000000"/>
                <w:sz w:val="13"/>
                <w:szCs w:val="13"/>
              </w:rPr>
              <w:t>(1</w:t>
            </w:r>
            <w:r>
              <w:rPr>
                <w:rFonts w:ascii="Arial" w:eastAsia="Times New Roman" w:hAnsi="Arial" w:cs="Arial"/>
                <w:b/>
                <w:bCs/>
                <w:color w:val="000000"/>
                <w:sz w:val="13"/>
                <w:szCs w:val="13"/>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Net</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Gross</w:t>
            </w:r>
            <w:r>
              <w:rPr>
                <w:rFonts w:ascii="Arial" w:eastAsia="Times New Roman" w:hAnsi="Arial" w:cs="Arial"/>
                <w:b/>
                <w:bCs/>
                <w:color w:val="000000"/>
                <w:sz w:val="20"/>
                <w:szCs w:val="20"/>
              </w:rPr>
              <w:br/>
              <w:t>Carrying</w:t>
            </w:r>
            <w:r>
              <w:rPr>
                <w:rFonts w:ascii="Arial" w:eastAsia="Times New Roman" w:hAnsi="Arial" w:cs="Arial"/>
                <w:b/>
                <w:bCs/>
                <w:color w:val="000000"/>
                <w:sz w:val="20"/>
                <w:szCs w:val="20"/>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Accumulated</w:t>
            </w:r>
            <w:r>
              <w:rPr>
                <w:rFonts w:ascii="Arial" w:eastAsia="Times New Roman" w:hAnsi="Arial" w:cs="Arial"/>
                <w:b/>
                <w:bCs/>
                <w:color w:val="000000"/>
                <w:sz w:val="20"/>
                <w:szCs w:val="20"/>
              </w:rPr>
              <w:br/>
              <w:t>Amortization</w:t>
            </w:r>
            <w:r>
              <w:rPr>
                <w:rFonts w:ascii="Arial" w:eastAsia="Times New Roman" w:hAnsi="Arial" w:cs="Arial"/>
                <w:b/>
                <w:bCs/>
                <w:color w:val="000000"/>
                <w:sz w:val="20"/>
                <w:szCs w:val="20"/>
              </w:rPr>
              <w:t xml:space="preserve"> </w:t>
            </w:r>
            <w:r>
              <w:rPr>
                <w:rFonts w:ascii="Arial" w:eastAsia="Times New Roman" w:hAnsi="Arial" w:cs="Arial"/>
                <w:b/>
                <w:bCs/>
                <w:color w:val="000000"/>
                <w:sz w:val="13"/>
                <w:szCs w:val="13"/>
              </w:rPr>
              <w:t>(1</w:t>
            </w:r>
            <w:r>
              <w:rPr>
                <w:rFonts w:ascii="Arial" w:eastAsia="Times New Roman" w:hAnsi="Arial" w:cs="Arial"/>
                <w:b/>
                <w:bCs/>
                <w:color w:val="000000"/>
                <w:sz w:val="13"/>
                <w:szCs w:val="13"/>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Net</w:t>
            </w:r>
          </w:p>
        </w:tc>
      </w:tr>
      <w:tr w:rsidR="00000000">
        <w:trPr>
          <w:divId w:val="1468936975"/>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Intangible assets subject to amortization:</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468936975"/>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Customer relationships</w:t>
            </w: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509.0 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292.6 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216.4 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406.5 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261.9 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144.6 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468936975"/>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Supplier agreements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69.0 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25.0 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44.0 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31.9 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19.5 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468936975"/>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Others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54.3 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32.1 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22.2 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37.2 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30.4 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468936975"/>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intangible assets subject to amortization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632.3 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349.7 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282.5 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475.6 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311.8 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163.8 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468936975"/>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Intangible assets not subject to amortization:</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468936975"/>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Trademark / trade name rights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53.6 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53.6 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25.3 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25.3 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468936975"/>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intangible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685.9 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349.7 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336.2 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500.9 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311.8 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189.1 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ind w:hanging="360"/>
        <w:jc w:val="both"/>
        <w:divId w:val="1264267956"/>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Includes the impact of foreign exchange.</w:t>
      </w:r>
    </w:p>
    <w:p w:rsidR="00000000" w:rsidRDefault="002223F7">
      <w:pPr>
        <w:jc w:val="both"/>
        <w:divId w:val="1043752798"/>
        <w:rPr>
          <w:rFonts w:eastAsia="Times New Roman"/>
        </w:rPr>
      </w:pPr>
      <w:r>
        <w:rPr>
          <w:rFonts w:ascii="Arial" w:eastAsia="Times New Roman" w:hAnsi="Arial" w:cs="Arial"/>
          <w:color w:val="000000"/>
          <w:sz w:val="20"/>
          <w:szCs w:val="20"/>
        </w:rPr>
        <w:t>Intangible amortization expense for 2022, 2021 and 2020 was $43.4 million, $30.1 million and $33.1 million, respectively.</w:t>
      </w:r>
    </w:p>
    <w:p w:rsidR="00000000" w:rsidRDefault="002223F7">
      <w:pPr>
        <w:jc w:val="both"/>
        <w:divId w:val="614990040"/>
        <w:rPr>
          <w:rFonts w:eastAsia="Times New Roman"/>
        </w:rPr>
      </w:pPr>
      <w:r>
        <w:rPr>
          <w:rFonts w:ascii="Arial" w:eastAsia="Times New Roman" w:hAnsi="Arial" w:cs="Arial"/>
          <w:color w:val="000000"/>
          <w:sz w:val="20"/>
          <w:szCs w:val="20"/>
        </w:rPr>
        <w:t>The future estimated amortization of our identifiable intangib</w:t>
      </w:r>
      <w:r>
        <w:rPr>
          <w:rFonts w:ascii="Arial" w:eastAsia="Times New Roman" w:hAnsi="Arial" w:cs="Arial"/>
          <w:color w:val="000000"/>
          <w:sz w:val="20"/>
          <w:szCs w:val="20"/>
        </w:rPr>
        <w:t>le assets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7"/>
        <w:gridCol w:w="6880"/>
        <w:gridCol w:w="37"/>
        <w:gridCol w:w="133"/>
        <w:gridCol w:w="1173"/>
        <w:gridCol w:w="36"/>
      </w:tblGrid>
      <w:tr w:rsidR="00000000">
        <w:trPr>
          <w:divId w:val="185406817"/>
        </w:trPr>
        <w:tc>
          <w:tcPr>
            <w:tcW w:w="50" w:type="pct"/>
            <w:vAlign w:val="center"/>
            <w:hideMark/>
          </w:tcPr>
          <w:p w:rsidR="00000000" w:rsidRDefault="002223F7">
            <w:pPr>
              <w:jc w:val="both"/>
              <w:rPr>
                <w:rFonts w:eastAsia="Times New Roman"/>
              </w:rPr>
            </w:pPr>
          </w:p>
        </w:tc>
        <w:tc>
          <w:tcPr>
            <w:tcW w:w="4162"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72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185406817"/>
        </w:trPr>
        <w:tc>
          <w:tcPr>
            <w:tcW w:w="0" w:type="auto"/>
            <w:gridSpan w:val="6"/>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20"/>
                <w:szCs w:val="20"/>
              </w:rPr>
              <w:t>Year Ended December 31,</w:t>
            </w:r>
          </w:p>
        </w:tc>
      </w:tr>
      <w:tr w:rsidR="00000000">
        <w:trPr>
          <w:divId w:val="18540681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2023</w:t>
            </w: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36.1 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8540681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2024</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34.7 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8540681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2025</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33.0 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8540681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2026</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27.8 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8540681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2027</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23.4 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8540681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Thereafter</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127.6 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8540681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282.5 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jc w:val="center"/>
        <w:divId w:val="1233273794"/>
        <w:rPr>
          <w:rFonts w:eastAsia="Times New Roman"/>
        </w:rPr>
      </w:pPr>
      <w:r>
        <w:rPr>
          <w:rFonts w:ascii="Arial" w:eastAsia="Times New Roman" w:hAnsi="Arial" w:cs="Arial"/>
          <w:color w:val="000000"/>
          <w:sz w:val="16"/>
          <w:szCs w:val="16"/>
        </w:rPr>
        <w:t>65</w:t>
      </w:r>
    </w:p>
    <w:p w:rsidR="00000000" w:rsidRDefault="002223F7">
      <w:pPr>
        <w:rPr>
          <w:rFonts w:eastAsia="Times New Roman"/>
        </w:rPr>
      </w:pPr>
      <w:r>
        <w:rPr>
          <w:rFonts w:eastAsia="Times New Roman"/>
        </w:rPr>
        <w:pict>
          <v:rect id="_x0000_i1096" style="width:0;height:1.5pt" o:hralign="center" o:hrstd="t" o:hr="t" fillcolor="#a0a0a0" stroked="f"/>
        </w:pict>
      </w:r>
    </w:p>
    <w:p w:rsidR="00000000" w:rsidRDefault="002223F7">
      <w:pPr>
        <w:jc w:val="both"/>
        <w:divId w:val="1324312999"/>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divId w:val="429392820"/>
        <w:rPr>
          <w:rFonts w:eastAsia="Times New Roman"/>
        </w:rPr>
      </w:pPr>
      <w:r>
        <w:rPr>
          <w:rFonts w:ascii="Arial" w:eastAsia="Times New Roman" w:hAnsi="Arial" w:cs="Arial"/>
          <w:b/>
          <w:bCs/>
          <w:color w:val="000000"/>
          <w:sz w:val="20"/>
          <w:szCs w:val="20"/>
        </w:rPr>
        <w:t>7. Debt, Interest Income, Expense, and Other Finance Costs</w:t>
      </w:r>
    </w:p>
    <w:p w:rsidR="00000000" w:rsidRDefault="002223F7">
      <w:pPr>
        <w:jc w:val="both"/>
        <w:divId w:val="259458544"/>
        <w:rPr>
          <w:rFonts w:eastAsia="Times New Roman"/>
        </w:rPr>
      </w:pPr>
      <w:r>
        <w:rPr>
          <w:rFonts w:ascii="Arial" w:eastAsia="Times New Roman" w:hAnsi="Arial" w:cs="Arial"/>
          <w:color w:val="000000"/>
          <w:sz w:val="20"/>
          <w:szCs w:val="20"/>
        </w:rPr>
        <w:t>The following table provide</w:t>
      </w:r>
      <w:r>
        <w:rPr>
          <w:rFonts w:ascii="Arial" w:eastAsia="Times New Roman" w:hAnsi="Arial" w:cs="Arial"/>
          <w:color w:val="000000"/>
          <w:sz w:val="20"/>
          <w:szCs w:val="20"/>
        </w:rPr>
        <w:t>s information about our debt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5649"/>
        <w:gridCol w:w="38"/>
        <w:gridCol w:w="133"/>
        <w:gridCol w:w="1073"/>
        <w:gridCol w:w="37"/>
        <w:gridCol w:w="37"/>
        <w:gridCol w:w="51"/>
        <w:gridCol w:w="36"/>
        <w:gridCol w:w="132"/>
        <w:gridCol w:w="1045"/>
        <w:gridCol w:w="36"/>
      </w:tblGrid>
      <w:tr w:rsidR="00000000">
        <w:trPr>
          <w:divId w:val="373774600"/>
        </w:trPr>
        <w:tc>
          <w:tcPr>
            <w:tcW w:w="50" w:type="pct"/>
            <w:vAlign w:val="center"/>
            <w:hideMark/>
          </w:tcPr>
          <w:p w:rsidR="00000000" w:rsidRDefault="002223F7">
            <w:pPr>
              <w:jc w:val="both"/>
              <w:rPr>
                <w:rFonts w:eastAsia="Times New Roman"/>
              </w:rPr>
            </w:pPr>
          </w:p>
        </w:tc>
        <w:tc>
          <w:tcPr>
            <w:tcW w:w="343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6"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373774600"/>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As of December 31,</w:t>
            </w:r>
          </w:p>
        </w:tc>
      </w:tr>
      <w:tr w:rsidR="00000000">
        <w:trPr>
          <w:divId w:val="373774600"/>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2021</w:t>
            </w:r>
          </w:p>
        </w:tc>
      </w:tr>
      <w:tr w:rsidR="00000000">
        <w:trPr>
          <w:divId w:val="37377460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Credit Facility</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339.0 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37377460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Term Loan</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488.4 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484.1 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37377460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divId w:val="1428187133"/>
              <w:rPr>
                <w:rFonts w:eastAsia="Times New Roman"/>
              </w:rPr>
            </w:pPr>
            <w:r>
              <w:rPr>
                <w:rFonts w:ascii="Arial" w:eastAsia="Times New Roman" w:hAnsi="Arial" w:cs="Arial"/>
                <w:color w:val="000000"/>
                <w:sz w:val="20"/>
                <w:szCs w:val="20"/>
              </w:rPr>
              <w:t>Finance lease</w:t>
            </w:r>
            <w:r>
              <w:rPr>
                <w:rFonts w:ascii="Arial" w:eastAsia="Times New Roman" w:hAnsi="Arial" w:cs="Arial"/>
                <w:color w:val="000000"/>
                <w:sz w:val="20"/>
                <w:szCs w:val="20"/>
              </w:rPr>
              <w:t>s</w:t>
            </w:r>
            <w:r>
              <w:rPr>
                <w:rFonts w:ascii="Arial" w:eastAsia="Times New Roman" w:hAnsi="Arial" w:cs="Arial"/>
                <w:color w:val="000000"/>
                <w:sz w:val="13"/>
                <w:szCs w:val="13"/>
              </w:rPr>
              <w:t xml:space="preserve"> (1</w:t>
            </w:r>
            <w:r>
              <w:rPr>
                <w:rFonts w:ascii="Arial" w:eastAsia="Times New Roman" w:hAnsi="Arial" w:cs="Arial"/>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15.4 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21.2 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37377460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37377460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debt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845.7 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508.7 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37377460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Less: Current maturities of long-term debt and finance leases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15.8 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30.6 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37377460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Long-term debt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829.9 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478.1 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ind w:hanging="360"/>
        <w:jc w:val="both"/>
        <w:divId w:val="499541404"/>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See Note 13. Leases for additional information.</w:t>
      </w:r>
    </w:p>
    <w:p w:rsidR="00000000" w:rsidRDefault="002223F7">
      <w:pPr>
        <w:divId w:val="853612941"/>
        <w:rPr>
          <w:rFonts w:eastAsia="Times New Roman"/>
        </w:rPr>
      </w:pPr>
      <w:r>
        <w:rPr>
          <w:rFonts w:ascii="Arial" w:eastAsia="Times New Roman" w:hAnsi="Arial" w:cs="Arial"/>
          <w:b/>
          <w:bCs/>
          <w:color w:val="000000"/>
          <w:sz w:val="20"/>
          <w:szCs w:val="20"/>
        </w:rPr>
        <w:t>Credit Agreement</w:t>
      </w:r>
    </w:p>
    <w:p w:rsidR="00000000" w:rsidRDefault="002223F7">
      <w:pPr>
        <w:jc w:val="both"/>
        <w:divId w:val="1379742233"/>
        <w:rPr>
          <w:rFonts w:eastAsia="Times New Roman"/>
        </w:rPr>
      </w:pPr>
      <w:r>
        <w:rPr>
          <w:rFonts w:ascii="Arial" w:eastAsia="Times New Roman" w:hAnsi="Arial" w:cs="Arial"/>
          <w:color w:val="000000"/>
          <w:sz w:val="20"/>
          <w:szCs w:val="20"/>
        </w:rPr>
        <w:t xml:space="preserve">Our Credit Agreement matures in April 2027 and provides for a revolving credit facility and term loan borrowings. On April 1, 2022, we entered into Amendment No. 8 to the Fourth Amended and Restated Credit Agreement, as further modified by Amendment No. 9 </w:t>
      </w:r>
      <w:r>
        <w:rPr>
          <w:rFonts w:ascii="Arial" w:eastAsia="Times New Roman" w:hAnsi="Arial" w:cs="Arial"/>
          <w:color w:val="000000"/>
          <w:sz w:val="20"/>
          <w:szCs w:val="20"/>
        </w:rPr>
        <w:t xml:space="preserve">dated July 12, 2022 (as amended, the "Credit Agreement"), to: (i) increase the revolving credit facility provided under the Credit Agreement (the "Credit Facility") to $1.5 billion and provide a term loan of $500.0 million ("Term Loan"), thereby replacing </w:t>
      </w:r>
      <w:r>
        <w:rPr>
          <w:rFonts w:ascii="Arial" w:eastAsia="Times New Roman" w:hAnsi="Arial" w:cs="Arial"/>
          <w:color w:val="000000"/>
          <w:sz w:val="20"/>
          <w:szCs w:val="20"/>
        </w:rPr>
        <w:t>the existing term loan and increasing the total facility to $2.0 billion; (ii) modify the pricing of the loans, including the reference rates for various currencies to reflect the discontinuation of LIBOR; (iii) extend the maturity to April 1, 2027; and (i</w:t>
      </w:r>
      <w:r>
        <w:rPr>
          <w:rFonts w:ascii="Arial" w:eastAsia="Times New Roman" w:hAnsi="Arial" w:cs="Arial"/>
          <w:color w:val="000000"/>
          <w:sz w:val="20"/>
          <w:szCs w:val="20"/>
        </w:rPr>
        <w:t>v) modify certain financial and other covenants to provide greater operating flexibility.</w:t>
      </w:r>
    </w:p>
    <w:p w:rsidR="00000000" w:rsidRDefault="002223F7">
      <w:pPr>
        <w:jc w:val="both"/>
        <w:divId w:val="119225067"/>
        <w:rPr>
          <w:rFonts w:eastAsia="Times New Roman"/>
        </w:rPr>
      </w:pPr>
      <w:r>
        <w:rPr>
          <w:rFonts w:ascii="Arial" w:eastAsia="Times New Roman" w:hAnsi="Arial" w:cs="Arial"/>
          <w:color w:val="000000"/>
          <w:sz w:val="20"/>
          <w:szCs w:val="20"/>
        </w:rPr>
        <w:t xml:space="preserve">Under the Credit Facility, up to $1.5 billion aggregate principal amount may be borrowed, repaid and redrawn, based upon specific financial ratios and subject to the </w:t>
      </w:r>
      <w:r>
        <w:rPr>
          <w:rFonts w:ascii="Arial" w:eastAsia="Times New Roman" w:hAnsi="Arial" w:cs="Arial"/>
          <w:color w:val="000000"/>
          <w:sz w:val="20"/>
          <w:szCs w:val="20"/>
        </w:rPr>
        <w:t>satisfaction of other customary conditions to borrowing. Our Credit Facility includes a sublimit of $400.0 million for the issuance of letters of credit and bankers' acceptances, and we have the right to request increases in available borrowings up to an a</w:t>
      </w:r>
      <w:r>
        <w:rPr>
          <w:rFonts w:ascii="Arial" w:eastAsia="Times New Roman" w:hAnsi="Arial" w:cs="Arial"/>
          <w:color w:val="000000"/>
          <w:sz w:val="20"/>
          <w:szCs w:val="20"/>
        </w:rPr>
        <w:t>dditional $200.0 million, subject to the satisfaction of certain conditions.</w:t>
      </w:r>
    </w:p>
    <w:p w:rsidR="00000000" w:rsidRDefault="002223F7">
      <w:pPr>
        <w:jc w:val="both"/>
        <w:divId w:val="1747726142"/>
        <w:rPr>
          <w:rFonts w:eastAsia="Times New Roman"/>
        </w:rPr>
      </w:pPr>
      <w:r>
        <w:rPr>
          <w:rFonts w:ascii="Arial" w:eastAsia="Times New Roman" w:hAnsi="Arial" w:cs="Arial"/>
          <w:color w:val="000000"/>
          <w:sz w:val="20"/>
          <w:szCs w:val="20"/>
        </w:rPr>
        <w:t>As of December 31, 2022 and 2021, we had issued letters of credit under the Credit Facility totaling $38.3 million and $46.6 million, respectively. As of December 31, 2022 and 202</w:t>
      </w:r>
      <w:r>
        <w:rPr>
          <w:rFonts w:ascii="Arial" w:eastAsia="Times New Roman" w:hAnsi="Arial" w:cs="Arial"/>
          <w:color w:val="000000"/>
          <w:sz w:val="20"/>
          <w:szCs w:val="20"/>
        </w:rPr>
        <w:t xml:space="preserve">1, the unused portion of our Credit Facility was $1.1 billion and $1.2 billion, respectively. The unused portion of our Credit Facility is limited by, among other things, our consolidated total leverage ratio, which limits the total amount of indebtedness </w:t>
      </w:r>
      <w:r>
        <w:rPr>
          <w:rFonts w:ascii="Arial" w:eastAsia="Times New Roman" w:hAnsi="Arial" w:cs="Arial"/>
          <w:color w:val="000000"/>
          <w:sz w:val="20"/>
          <w:szCs w:val="20"/>
        </w:rPr>
        <w:t>we may incur, and may, therefore, fluctuate from period to period.</w:t>
      </w:r>
    </w:p>
    <w:p w:rsidR="00000000" w:rsidRDefault="002223F7">
      <w:pPr>
        <w:jc w:val="both"/>
        <w:divId w:val="1658336908"/>
        <w:rPr>
          <w:rFonts w:eastAsia="Times New Roman"/>
        </w:rPr>
      </w:pPr>
      <w:r>
        <w:rPr>
          <w:rFonts w:ascii="Arial" w:eastAsia="Times New Roman" w:hAnsi="Arial" w:cs="Arial"/>
          <w:color w:val="000000"/>
          <w:sz w:val="20"/>
          <w:szCs w:val="20"/>
        </w:rPr>
        <w:t>Borrowings under our Credit Facility and Term Loan related to base rate loans or Eurodollar rate loans bear floating interest rates plus applicable margins. As of December 31, 2022, the app</w:t>
      </w:r>
      <w:r>
        <w:rPr>
          <w:rFonts w:ascii="Arial" w:eastAsia="Times New Roman" w:hAnsi="Arial" w:cs="Arial"/>
          <w:color w:val="000000"/>
          <w:sz w:val="20"/>
          <w:szCs w:val="20"/>
        </w:rPr>
        <w:t>licable margins for base rate loans and Eurodollar rate loans were 0.75% and 1.75%, respectively.</w:t>
      </w:r>
    </w:p>
    <w:p w:rsidR="00000000" w:rsidRDefault="002223F7">
      <w:pPr>
        <w:jc w:val="both"/>
        <w:divId w:val="628828965"/>
        <w:rPr>
          <w:rFonts w:eastAsia="Times New Roman"/>
        </w:rPr>
      </w:pPr>
      <w:r>
        <w:rPr>
          <w:rFonts w:ascii="Arial" w:eastAsia="Times New Roman" w:hAnsi="Arial" w:cs="Arial"/>
          <w:color w:val="000000"/>
          <w:sz w:val="20"/>
          <w:szCs w:val="20"/>
        </w:rPr>
        <w:t xml:space="preserve">Our Credit Agreement contains certain financial and other covenants with which we are required to comply. As of December 31, 2022, we were in compliance with </w:t>
      </w:r>
      <w:r>
        <w:rPr>
          <w:rFonts w:ascii="Arial" w:eastAsia="Times New Roman" w:hAnsi="Arial" w:cs="Arial"/>
          <w:color w:val="000000"/>
          <w:sz w:val="20"/>
          <w:szCs w:val="20"/>
        </w:rPr>
        <w:t>all financial covenants contained in our Credit Agreement.</w:t>
      </w:r>
    </w:p>
    <w:p w:rsidR="00000000" w:rsidRDefault="002223F7">
      <w:pPr>
        <w:divId w:val="1092823190"/>
        <w:rPr>
          <w:rFonts w:eastAsia="Times New Roman"/>
        </w:rPr>
      </w:pPr>
      <w:r>
        <w:rPr>
          <w:rFonts w:ascii="Arial" w:eastAsia="Times New Roman" w:hAnsi="Arial" w:cs="Arial"/>
          <w:b/>
          <w:bCs/>
          <w:color w:val="000000"/>
          <w:sz w:val="20"/>
          <w:szCs w:val="20"/>
        </w:rPr>
        <w:t>Other Credit Lines</w:t>
      </w:r>
    </w:p>
    <w:p w:rsidR="00000000" w:rsidRDefault="002223F7">
      <w:pPr>
        <w:jc w:val="both"/>
        <w:divId w:val="644428640"/>
        <w:rPr>
          <w:rFonts w:eastAsia="Times New Roman"/>
        </w:rPr>
      </w:pPr>
      <w:r>
        <w:rPr>
          <w:rFonts w:ascii="Arial" w:eastAsia="Times New Roman" w:hAnsi="Arial" w:cs="Arial"/>
          <w:color w:val="000000"/>
          <w:sz w:val="20"/>
          <w:szCs w:val="20"/>
        </w:rPr>
        <w:t>Outside of our Credit Facility, we have other uncommitted credit lines primarily for the issuance of letters of credit, bank guarantees and bankers’ acceptances. These credit lin</w:t>
      </w:r>
      <w:r>
        <w:rPr>
          <w:rFonts w:ascii="Arial" w:eastAsia="Times New Roman" w:hAnsi="Arial" w:cs="Arial"/>
          <w:color w:val="000000"/>
          <w:sz w:val="20"/>
          <w:szCs w:val="20"/>
        </w:rPr>
        <w:t xml:space="preserve">es are renewable on an annual basis and are subject to fees at market rates. As of December 31, 2022 and 2021, our outstanding letters of credit and bank guarantees under these credit lines totaled $523.1 million and $404.0 million, respectively. </w:t>
      </w:r>
    </w:p>
    <w:p w:rsidR="00000000" w:rsidRDefault="002223F7">
      <w:pPr>
        <w:jc w:val="both"/>
        <w:divId w:val="140925257"/>
        <w:rPr>
          <w:rFonts w:eastAsia="Times New Roman"/>
        </w:rPr>
      </w:pPr>
      <w:r>
        <w:rPr>
          <w:rFonts w:ascii="Arial" w:eastAsia="Times New Roman" w:hAnsi="Arial" w:cs="Arial"/>
          <w:color w:val="000000"/>
          <w:sz w:val="20"/>
          <w:szCs w:val="20"/>
        </w:rPr>
        <w:t>Substant</w:t>
      </w:r>
      <w:r>
        <w:rPr>
          <w:rFonts w:ascii="Arial" w:eastAsia="Times New Roman" w:hAnsi="Arial" w:cs="Arial"/>
          <w:color w:val="000000"/>
          <w:sz w:val="20"/>
          <w:szCs w:val="20"/>
        </w:rPr>
        <w:t>ially all of the letters of credit and bank guarantees issued under our Credit Facility and the uncommitted credit lines were provided to suppliers in the normal course of business and generally expire within one year of issuance. Expired letters of credit</w:t>
      </w:r>
      <w:r>
        <w:rPr>
          <w:rFonts w:ascii="Arial" w:eastAsia="Times New Roman" w:hAnsi="Arial" w:cs="Arial"/>
          <w:color w:val="000000"/>
          <w:sz w:val="20"/>
          <w:szCs w:val="20"/>
        </w:rPr>
        <w:t xml:space="preserve"> and bank guarantees are renewed as needed.</w:t>
      </w:r>
    </w:p>
    <w:p w:rsidR="00000000" w:rsidRDefault="002223F7">
      <w:pPr>
        <w:jc w:val="center"/>
        <w:divId w:val="1932274346"/>
        <w:rPr>
          <w:rFonts w:eastAsia="Times New Roman"/>
        </w:rPr>
      </w:pPr>
      <w:r>
        <w:rPr>
          <w:rFonts w:ascii="Arial" w:eastAsia="Times New Roman" w:hAnsi="Arial" w:cs="Arial"/>
          <w:color w:val="000000"/>
          <w:sz w:val="16"/>
          <w:szCs w:val="16"/>
        </w:rPr>
        <w:t>66</w:t>
      </w:r>
    </w:p>
    <w:p w:rsidR="00000000" w:rsidRDefault="002223F7">
      <w:pPr>
        <w:rPr>
          <w:rFonts w:eastAsia="Times New Roman"/>
        </w:rPr>
      </w:pPr>
      <w:r>
        <w:rPr>
          <w:rFonts w:eastAsia="Times New Roman"/>
        </w:rPr>
        <w:pict>
          <v:rect id="_x0000_i1097" style="width:0;height:1.5pt" o:hralign="center" o:hrstd="t" o:hr="t" fillcolor="#a0a0a0" stroked="f"/>
        </w:pict>
      </w:r>
    </w:p>
    <w:p w:rsidR="00000000" w:rsidRDefault="002223F7">
      <w:pPr>
        <w:jc w:val="both"/>
        <w:divId w:val="498926991"/>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divId w:val="20010862"/>
        <w:rPr>
          <w:rFonts w:eastAsia="Times New Roman"/>
        </w:rPr>
      </w:pPr>
      <w:r>
        <w:rPr>
          <w:rFonts w:ascii="Arial" w:eastAsia="Times New Roman" w:hAnsi="Arial" w:cs="Arial"/>
          <w:b/>
          <w:bCs/>
          <w:color w:val="000000"/>
          <w:sz w:val="20"/>
          <w:szCs w:val="20"/>
        </w:rPr>
        <w:t>Annual Maturities</w:t>
      </w:r>
    </w:p>
    <w:p w:rsidR="00000000" w:rsidRDefault="002223F7">
      <w:pPr>
        <w:jc w:val="both"/>
        <w:divId w:val="667563836"/>
        <w:rPr>
          <w:rFonts w:eastAsia="Times New Roman"/>
        </w:rPr>
      </w:pPr>
      <w:r>
        <w:rPr>
          <w:rFonts w:ascii="Arial" w:eastAsia="Times New Roman" w:hAnsi="Arial" w:cs="Arial"/>
          <w:color w:val="000000"/>
          <w:sz w:val="20"/>
          <w:szCs w:val="20"/>
        </w:rPr>
        <w:t>As of December 31, 2022, the aggregate annual maturities of debt are</w:t>
      </w:r>
      <w:r>
        <w:rPr>
          <w:rFonts w:ascii="Arial" w:eastAsia="Times New Roman" w:hAnsi="Arial" w:cs="Arial"/>
          <w:color w:val="000000"/>
          <w:sz w:val="20"/>
          <w:szCs w:val="20"/>
        </w:rPr>
        <w:t xml:space="preserv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7"/>
        <w:gridCol w:w="6880"/>
        <w:gridCol w:w="37"/>
        <w:gridCol w:w="133"/>
        <w:gridCol w:w="1173"/>
        <w:gridCol w:w="36"/>
      </w:tblGrid>
      <w:tr w:rsidR="00000000">
        <w:trPr>
          <w:divId w:val="571505657"/>
        </w:trPr>
        <w:tc>
          <w:tcPr>
            <w:tcW w:w="50" w:type="pct"/>
            <w:vAlign w:val="center"/>
            <w:hideMark/>
          </w:tcPr>
          <w:p w:rsidR="00000000" w:rsidRDefault="002223F7">
            <w:pPr>
              <w:jc w:val="both"/>
              <w:rPr>
                <w:rFonts w:eastAsia="Times New Roman"/>
              </w:rPr>
            </w:pPr>
          </w:p>
        </w:tc>
        <w:tc>
          <w:tcPr>
            <w:tcW w:w="4162"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72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571505657"/>
        </w:trPr>
        <w:tc>
          <w:tcPr>
            <w:tcW w:w="0" w:type="auto"/>
            <w:gridSpan w:val="6"/>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20"/>
                <w:szCs w:val="20"/>
              </w:rPr>
              <w:t>Year Ended December 31,</w:t>
            </w:r>
          </w:p>
        </w:tc>
      </w:tr>
      <w:tr w:rsidR="00000000">
        <w:trPr>
          <w:divId w:val="57150565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2023</w:t>
            </w: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15.8 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57150565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2024</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27.3 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57150565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2025</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27.6 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57150565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2026</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27.5 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57150565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2027</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747.1 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57150565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Thereafter</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57150565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845.7 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divId w:val="931666385"/>
        <w:rPr>
          <w:rFonts w:eastAsia="Times New Roman"/>
        </w:rPr>
      </w:pPr>
      <w:r>
        <w:rPr>
          <w:rFonts w:ascii="Arial" w:eastAsia="Times New Roman" w:hAnsi="Arial" w:cs="Arial"/>
          <w:b/>
          <w:bCs/>
          <w:color w:val="000000"/>
          <w:sz w:val="20"/>
          <w:szCs w:val="20"/>
        </w:rPr>
        <w:t>Interest Income, Expense, and Other Financing Costs</w:t>
      </w:r>
    </w:p>
    <w:p w:rsidR="00000000" w:rsidRDefault="002223F7">
      <w:pPr>
        <w:jc w:val="both"/>
        <w:divId w:val="143931626"/>
        <w:rPr>
          <w:rFonts w:eastAsia="Times New Roman"/>
        </w:rPr>
      </w:pPr>
      <w:r>
        <w:rPr>
          <w:rFonts w:ascii="Arial" w:eastAsia="Times New Roman" w:hAnsi="Arial" w:cs="Arial"/>
          <w:color w:val="000000"/>
          <w:sz w:val="20"/>
          <w:szCs w:val="20"/>
        </w:rPr>
        <w:t>The following table provides additional information about our interest income, interest expense and other financing costs, net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343"/>
        <w:gridCol w:w="37"/>
        <w:gridCol w:w="132"/>
        <w:gridCol w:w="1068"/>
        <w:gridCol w:w="36"/>
        <w:gridCol w:w="36"/>
        <w:gridCol w:w="36"/>
        <w:gridCol w:w="36"/>
        <w:gridCol w:w="132"/>
        <w:gridCol w:w="1049"/>
        <w:gridCol w:w="36"/>
        <w:gridCol w:w="36"/>
        <w:gridCol w:w="36"/>
        <w:gridCol w:w="36"/>
        <w:gridCol w:w="132"/>
        <w:gridCol w:w="1051"/>
        <w:gridCol w:w="36"/>
      </w:tblGrid>
      <w:tr w:rsidR="00000000">
        <w:trPr>
          <w:divId w:val="2124954248"/>
        </w:trPr>
        <w:tc>
          <w:tcPr>
            <w:tcW w:w="50" w:type="pct"/>
            <w:vAlign w:val="center"/>
            <w:hideMark/>
          </w:tcPr>
          <w:p w:rsidR="00000000" w:rsidRDefault="002223F7">
            <w:pPr>
              <w:jc w:val="both"/>
              <w:rPr>
                <w:rFonts w:eastAsia="Times New Roman"/>
              </w:rPr>
            </w:pPr>
          </w:p>
        </w:tc>
        <w:tc>
          <w:tcPr>
            <w:tcW w:w="264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6"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2124954248"/>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Year Ended December 31,</w:t>
            </w:r>
          </w:p>
        </w:tc>
      </w:tr>
      <w:tr w:rsidR="00000000">
        <w:trPr>
          <w:divId w:val="2124954248"/>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2020</w:t>
            </w:r>
          </w:p>
        </w:tc>
      </w:tr>
      <w:tr w:rsidR="00000000">
        <w:trPr>
          <w:divId w:val="2124954248"/>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Interest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124954248"/>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Interest expense and other financing costs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(117.4)</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(47.2)</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(48.6)</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124954248"/>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Interest expense and other financing costs,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(110.6)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(40.2)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(44.9)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jc w:val="both"/>
        <w:divId w:val="141429221"/>
        <w:rPr>
          <w:rFonts w:eastAsia="Times New Roman"/>
        </w:rPr>
      </w:pPr>
      <w:r>
        <w:rPr>
          <w:rFonts w:ascii="Arial" w:eastAsia="Times New Roman" w:hAnsi="Arial" w:cs="Arial"/>
          <w:color w:val="000000"/>
          <w:sz w:val="20"/>
          <w:szCs w:val="20"/>
        </w:rPr>
        <w:t>The weighted average interest rate on our short-term debt was 5.2% and 2.0% as of December 31, 2022 and 2021, respectively.</w:t>
      </w:r>
    </w:p>
    <w:p w:rsidR="00000000" w:rsidRDefault="002223F7">
      <w:pPr>
        <w:divId w:val="397557768"/>
        <w:rPr>
          <w:rFonts w:eastAsia="Times New Roman"/>
        </w:rPr>
      </w:pPr>
      <w:r>
        <w:rPr>
          <w:rFonts w:ascii="Arial" w:eastAsia="Times New Roman" w:hAnsi="Arial" w:cs="Arial"/>
          <w:b/>
          <w:bCs/>
          <w:color w:val="000000"/>
          <w:sz w:val="20"/>
          <w:szCs w:val="20"/>
        </w:rPr>
        <w:t>8. Property and Equipment</w:t>
      </w:r>
    </w:p>
    <w:p w:rsidR="00000000" w:rsidRDefault="002223F7">
      <w:pPr>
        <w:jc w:val="both"/>
        <w:divId w:val="268465817"/>
        <w:rPr>
          <w:rFonts w:eastAsia="Times New Roman"/>
        </w:rPr>
      </w:pPr>
      <w:r>
        <w:rPr>
          <w:rFonts w:ascii="Arial" w:eastAsia="Times New Roman" w:hAnsi="Arial" w:cs="Arial"/>
          <w:color w:val="000000"/>
          <w:sz w:val="20"/>
          <w:szCs w:val="20"/>
        </w:rPr>
        <w:t>The amount of property and equipment and their respective estimated useful lives are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246"/>
        <w:gridCol w:w="36"/>
        <w:gridCol w:w="36"/>
        <w:gridCol w:w="36"/>
        <w:gridCol w:w="36"/>
        <w:gridCol w:w="133"/>
        <w:gridCol w:w="1038"/>
        <w:gridCol w:w="37"/>
        <w:gridCol w:w="37"/>
        <w:gridCol w:w="51"/>
        <w:gridCol w:w="36"/>
        <w:gridCol w:w="132"/>
        <w:gridCol w:w="1023"/>
        <w:gridCol w:w="36"/>
        <w:gridCol w:w="36"/>
        <w:gridCol w:w="36"/>
        <w:gridCol w:w="36"/>
        <w:gridCol w:w="84"/>
        <w:gridCol w:w="1127"/>
        <w:gridCol w:w="36"/>
      </w:tblGrid>
      <w:tr w:rsidR="00000000">
        <w:trPr>
          <w:divId w:val="604312180"/>
        </w:trPr>
        <w:tc>
          <w:tcPr>
            <w:tcW w:w="50" w:type="pct"/>
            <w:vAlign w:val="center"/>
            <w:hideMark/>
          </w:tcPr>
          <w:p w:rsidR="00000000" w:rsidRDefault="002223F7">
            <w:pPr>
              <w:jc w:val="both"/>
              <w:rPr>
                <w:rFonts w:eastAsia="Times New Roman"/>
              </w:rPr>
            </w:pPr>
          </w:p>
        </w:tc>
        <w:tc>
          <w:tcPr>
            <w:tcW w:w="2598"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6"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604312180"/>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As of December 31,</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Estimated</w:t>
            </w:r>
          </w:p>
        </w:tc>
      </w:tr>
      <w:tr w:rsidR="00000000">
        <w:trPr>
          <w:divId w:val="604312180"/>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Useful Lives</w:t>
            </w:r>
          </w:p>
        </w:tc>
      </w:tr>
      <w:tr w:rsidR="00000000">
        <w:trPr>
          <w:divId w:val="60431218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Land</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Indefinite</w:t>
            </w:r>
          </w:p>
        </w:tc>
      </w:tr>
      <w:tr w:rsidR="00000000">
        <w:trPr>
          <w:divId w:val="60431218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Buildings and leasehold improvements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103.6 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77.4 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3 - 40 years</w:t>
            </w:r>
          </w:p>
        </w:tc>
      </w:tr>
      <w:tr w:rsidR="00000000">
        <w:trPr>
          <w:divId w:val="60431218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divId w:val="152180789"/>
              <w:rPr>
                <w:rFonts w:eastAsia="Times New Roman"/>
              </w:rPr>
            </w:pPr>
            <w:r>
              <w:rPr>
                <w:rFonts w:ascii="Arial" w:eastAsia="Times New Roman" w:hAnsi="Arial" w:cs="Arial"/>
                <w:color w:val="000000"/>
                <w:sz w:val="20"/>
                <w:szCs w:val="20"/>
              </w:rPr>
              <w:t>Office equipment, furniture and fixtures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15.7 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3 - 7 years</w:t>
            </w:r>
          </w:p>
        </w:tc>
      </w:tr>
      <w:tr w:rsidR="00000000">
        <w:trPr>
          <w:divId w:val="60431218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divId w:val="654142933"/>
              <w:rPr>
                <w:rFonts w:eastAsia="Times New Roman"/>
              </w:rPr>
            </w:pPr>
            <w:r>
              <w:rPr>
                <w:rFonts w:ascii="Arial" w:eastAsia="Times New Roman" w:hAnsi="Arial" w:cs="Arial"/>
                <w:color w:val="000000"/>
                <w:sz w:val="20"/>
                <w:szCs w:val="20"/>
              </w:rPr>
              <w:t>Computer equipment and software costs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292.2 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258.4 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 xml:space="preserve">3 - 9 </w:t>
            </w:r>
            <w:r>
              <w:rPr>
                <w:rFonts w:ascii="Arial" w:eastAsia="Times New Roman" w:hAnsi="Arial" w:cs="Arial"/>
                <w:color w:val="000000"/>
                <w:sz w:val="20"/>
                <w:szCs w:val="20"/>
              </w:rPr>
              <w:t>years</w:t>
            </w:r>
          </w:p>
        </w:tc>
      </w:tr>
      <w:tr w:rsidR="00000000">
        <w:trPr>
          <w:divId w:val="60431218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divId w:val="767778951"/>
              <w:rPr>
                <w:rFonts w:eastAsia="Times New Roman"/>
              </w:rPr>
            </w:pPr>
            <w:r>
              <w:rPr>
                <w:rFonts w:ascii="Arial" w:eastAsia="Times New Roman" w:hAnsi="Arial" w:cs="Arial"/>
                <w:color w:val="000000"/>
                <w:sz w:val="20"/>
                <w:szCs w:val="20"/>
              </w:rPr>
              <w:t>Machinery, equipment and vehicle</w:t>
            </w:r>
            <w:r>
              <w:rPr>
                <w:rFonts w:ascii="Arial" w:eastAsia="Times New Roman" w:hAnsi="Arial" w:cs="Arial"/>
                <w:color w:val="000000"/>
                <w:sz w:val="20"/>
                <w:szCs w:val="20"/>
              </w:rPr>
              <w:t>s</w:t>
            </w:r>
            <w:r>
              <w:rPr>
                <w:rFonts w:ascii="Arial" w:eastAsia="Times New Roman" w:hAnsi="Arial" w:cs="Arial"/>
                <w:color w:val="000000"/>
                <w:sz w:val="13"/>
                <w:szCs w:val="13"/>
              </w:rPr>
              <w:t xml:space="preserve"> (1</w:t>
            </w:r>
            <w:r>
              <w:rPr>
                <w:rFonts w:ascii="Arial" w:eastAsia="Times New Roman" w:hAnsi="Arial" w:cs="Arial"/>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395.4 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316.9 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3 - 40 years</w:t>
            </w:r>
          </w:p>
        </w:tc>
      </w:tr>
      <w:tr w:rsidR="00000000">
        <w:trPr>
          <w:divId w:val="60431218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divId w:val="1382710659"/>
              <w:rPr>
                <w:rFonts w:eastAsia="Times New Roman"/>
              </w:rPr>
            </w:pPr>
            <w:r>
              <w:rPr>
                <w:rFonts w:ascii="Arial" w:eastAsia="Times New Roman" w:hAnsi="Arial" w:cs="Arial"/>
                <w:color w:val="000000"/>
                <w:sz w:val="20"/>
                <w:szCs w:val="20"/>
              </w:rPr>
              <w:t>Total property and equipment</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879.6 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687.3 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60431218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divId w:val="853114001"/>
              <w:rPr>
                <w:rFonts w:eastAsia="Times New Roman"/>
              </w:rPr>
            </w:pPr>
            <w:r>
              <w:rPr>
                <w:rFonts w:ascii="Arial" w:eastAsia="Times New Roman" w:hAnsi="Arial" w:cs="Arial"/>
                <w:color w:val="000000"/>
                <w:sz w:val="20"/>
                <w:szCs w:val="20"/>
              </w:rPr>
              <w:t>Less: Accumulated depreciation and amortizatio</w:t>
            </w:r>
            <w:r>
              <w:rPr>
                <w:rFonts w:ascii="Arial" w:eastAsia="Times New Roman" w:hAnsi="Arial" w:cs="Arial"/>
                <w:color w:val="000000"/>
                <w:sz w:val="20"/>
                <w:szCs w:val="20"/>
              </w:rPr>
              <w:t>n</w:t>
            </w:r>
            <w:r>
              <w:rPr>
                <w:rFonts w:ascii="Arial" w:eastAsia="Times New Roman" w:hAnsi="Arial" w:cs="Arial"/>
                <w:color w:val="000000"/>
                <w:sz w:val="13"/>
                <w:szCs w:val="13"/>
              </w:rPr>
              <w:t xml:space="preserve"> (1</w:t>
            </w:r>
            <w:r>
              <w:rPr>
                <w:rFonts w:ascii="Arial" w:eastAsia="Times New Roman" w:hAnsi="Arial" w:cs="Arial"/>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395.4 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338.4 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60431218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divId w:val="1715078433"/>
              <w:rPr>
                <w:rFonts w:eastAsia="Times New Roman"/>
              </w:rPr>
            </w:pPr>
            <w:r>
              <w:rPr>
                <w:rFonts w:ascii="Arial" w:eastAsia="Times New Roman" w:hAnsi="Arial" w:cs="Arial"/>
                <w:color w:val="000000"/>
                <w:sz w:val="20"/>
                <w:szCs w:val="20"/>
              </w:rPr>
              <w:t>Total property and equipment, net</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484.2 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348.9 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bl>
    <w:p w:rsidR="00000000" w:rsidRDefault="002223F7">
      <w:pPr>
        <w:ind w:hanging="360"/>
        <w:jc w:val="both"/>
        <w:divId w:val="1773087104"/>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Includes right of use assets associated with finance leases. See Note 13. Leases for additional information.</w:t>
      </w:r>
    </w:p>
    <w:p w:rsidR="00000000" w:rsidRDefault="002223F7">
      <w:pPr>
        <w:jc w:val="both"/>
        <w:divId w:val="702172619"/>
        <w:rPr>
          <w:rFonts w:eastAsia="Times New Roman"/>
        </w:rPr>
      </w:pPr>
      <w:r>
        <w:rPr>
          <w:rFonts w:ascii="Arial" w:eastAsia="Times New Roman" w:hAnsi="Arial" w:cs="Arial"/>
          <w:color w:val="000000"/>
          <w:sz w:val="20"/>
          <w:szCs w:val="20"/>
        </w:rPr>
        <w:t>For 2022, 2021 and 2020, we recorded depreciation expense of $64.4 million, $50.8 million and $52.7 million, respectively.</w:t>
      </w:r>
    </w:p>
    <w:p w:rsidR="00000000" w:rsidRDefault="002223F7">
      <w:pPr>
        <w:jc w:val="both"/>
        <w:divId w:val="273906066"/>
        <w:rPr>
          <w:rFonts w:eastAsia="Times New Roman"/>
        </w:rPr>
      </w:pPr>
      <w:r>
        <w:rPr>
          <w:rFonts w:ascii="Arial" w:eastAsia="Times New Roman" w:hAnsi="Arial" w:cs="Arial"/>
          <w:color w:val="000000"/>
          <w:sz w:val="20"/>
          <w:szCs w:val="20"/>
        </w:rPr>
        <w:t>The amount of computer software costs, including capitalized internally developed software costs and certain hosting arrangement costs, included in property and equipment are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5650"/>
        <w:gridCol w:w="37"/>
        <w:gridCol w:w="133"/>
        <w:gridCol w:w="1073"/>
        <w:gridCol w:w="37"/>
        <w:gridCol w:w="37"/>
        <w:gridCol w:w="51"/>
        <w:gridCol w:w="36"/>
        <w:gridCol w:w="132"/>
        <w:gridCol w:w="1046"/>
        <w:gridCol w:w="36"/>
      </w:tblGrid>
      <w:tr w:rsidR="00000000">
        <w:trPr>
          <w:divId w:val="924150150"/>
        </w:trPr>
        <w:tc>
          <w:tcPr>
            <w:tcW w:w="50" w:type="pct"/>
            <w:vAlign w:val="center"/>
            <w:hideMark/>
          </w:tcPr>
          <w:p w:rsidR="00000000" w:rsidRDefault="002223F7">
            <w:pPr>
              <w:jc w:val="both"/>
              <w:rPr>
                <w:rFonts w:eastAsia="Times New Roman"/>
              </w:rPr>
            </w:pPr>
          </w:p>
        </w:tc>
        <w:tc>
          <w:tcPr>
            <w:tcW w:w="343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6"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924150150"/>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As of December 31,</w:t>
            </w:r>
          </w:p>
        </w:tc>
      </w:tr>
      <w:tr w:rsidR="00000000">
        <w:trPr>
          <w:divId w:val="924150150"/>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2021</w:t>
            </w:r>
          </w:p>
        </w:tc>
      </w:tr>
      <w:tr w:rsidR="00000000">
        <w:trPr>
          <w:divId w:val="92415015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Computer software costs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249.5 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217.9 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92415015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Less: Accumulated amortization</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150.2 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131.1 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92415015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Computer software costs,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99.3 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jc w:val="center"/>
        <w:divId w:val="1831434712"/>
        <w:rPr>
          <w:rFonts w:eastAsia="Times New Roman"/>
        </w:rPr>
      </w:pPr>
      <w:r>
        <w:rPr>
          <w:rFonts w:ascii="Arial" w:eastAsia="Times New Roman" w:hAnsi="Arial" w:cs="Arial"/>
          <w:color w:val="000000"/>
          <w:sz w:val="16"/>
          <w:szCs w:val="16"/>
        </w:rPr>
        <w:t>67</w:t>
      </w:r>
    </w:p>
    <w:p w:rsidR="00000000" w:rsidRDefault="002223F7">
      <w:pPr>
        <w:rPr>
          <w:rFonts w:eastAsia="Times New Roman"/>
        </w:rPr>
      </w:pPr>
      <w:r>
        <w:rPr>
          <w:rFonts w:eastAsia="Times New Roman"/>
        </w:rPr>
        <w:pict>
          <v:rect id="_x0000_i1098" style="width:0;height:1.5pt" o:hralign="center" o:hrstd="t" o:hr="t" fillcolor="#a0a0a0" stroked="f"/>
        </w:pict>
      </w:r>
    </w:p>
    <w:p w:rsidR="00000000" w:rsidRDefault="002223F7">
      <w:pPr>
        <w:jc w:val="both"/>
        <w:divId w:val="1528254427"/>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1783962315"/>
        <w:rPr>
          <w:rFonts w:eastAsia="Times New Roman"/>
        </w:rPr>
      </w:pPr>
      <w:r>
        <w:rPr>
          <w:rFonts w:ascii="Arial" w:eastAsia="Times New Roman" w:hAnsi="Arial" w:cs="Arial"/>
          <w:color w:val="000000"/>
          <w:sz w:val="20"/>
          <w:szCs w:val="20"/>
        </w:rPr>
        <w:t>Included in capitalized computer software costs are costs incurred in connection with software development in progress of $5.2 million and $5.2 million as of December 31, 2022 and 2021, respectively. For 2022, 2021 and 2020, we recorded amortization expens</w:t>
      </w:r>
      <w:r>
        <w:rPr>
          <w:rFonts w:ascii="Arial" w:eastAsia="Times New Roman" w:hAnsi="Arial" w:cs="Arial"/>
          <w:color w:val="000000"/>
          <w:sz w:val="20"/>
          <w:szCs w:val="20"/>
        </w:rPr>
        <w:t>e related to computer software costs of $21.0 million, $17.6 million and $18.5 million, respectively.</w:t>
      </w:r>
    </w:p>
    <w:p w:rsidR="00000000" w:rsidRDefault="002223F7">
      <w:pPr>
        <w:divId w:val="1536385631"/>
        <w:rPr>
          <w:rFonts w:eastAsia="Times New Roman"/>
        </w:rPr>
      </w:pPr>
      <w:r>
        <w:rPr>
          <w:rFonts w:ascii="Arial" w:eastAsia="Times New Roman" w:hAnsi="Arial" w:cs="Arial"/>
          <w:b/>
          <w:bCs/>
          <w:color w:val="000000"/>
          <w:sz w:val="20"/>
          <w:szCs w:val="20"/>
        </w:rPr>
        <w:t>9. Revenue from Contracts with Customers</w:t>
      </w:r>
    </w:p>
    <w:p w:rsidR="00000000" w:rsidRDefault="002223F7">
      <w:pPr>
        <w:jc w:val="both"/>
        <w:divId w:val="213322231"/>
        <w:rPr>
          <w:rFonts w:eastAsia="Times New Roman"/>
        </w:rPr>
      </w:pPr>
      <w:r>
        <w:rPr>
          <w:rFonts w:ascii="Arial" w:eastAsia="Times New Roman" w:hAnsi="Arial" w:cs="Arial"/>
          <w:color w:val="000000"/>
          <w:sz w:val="20"/>
          <w:szCs w:val="20"/>
        </w:rPr>
        <w:t>The majority of our consolidated revenues are generated through the sale of fuel and fuel-related products. Our c</w:t>
      </w:r>
      <w:r>
        <w:rPr>
          <w:rFonts w:ascii="Arial" w:eastAsia="Times New Roman" w:hAnsi="Arial" w:cs="Arial"/>
          <w:color w:val="000000"/>
          <w:sz w:val="20"/>
          <w:szCs w:val="20"/>
        </w:rPr>
        <w:t>ontracts with customers, which are primarily master sales agreements in combination with different types of nominations or standalone agreements, generally require us to deliver fuel and fuel-related products, while other arrangements require us to complet</w:t>
      </w:r>
      <w:r>
        <w:rPr>
          <w:rFonts w:ascii="Arial" w:eastAsia="Times New Roman" w:hAnsi="Arial" w:cs="Arial"/>
          <w:color w:val="000000"/>
          <w:sz w:val="20"/>
          <w:szCs w:val="20"/>
        </w:rPr>
        <w:t>e agreed-upon services. As our contracts go through a formal credit approval process, we only enter into contracts when we determine the amount we expect to be entitled to is probable of collection. Our billing and payment terms generally include monthly i</w:t>
      </w:r>
      <w:r>
        <w:rPr>
          <w:rFonts w:ascii="Arial" w:eastAsia="Times New Roman" w:hAnsi="Arial" w:cs="Arial"/>
          <w:color w:val="000000"/>
          <w:sz w:val="20"/>
          <w:szCs w:val="20"/>
        </w:rPr>
        <w:t>nvoicing with average payment terms of one to three months.</w:t>
      </w:r>
    </w:p>
    <w:p w:rsidR="00000000" w:rsidRDefault="002223F7">
      <w:pPr>
        <w:jc w:val="both"/>
        <w:divId w:val="1265571057"/>
        <w:rPr>
          <w:rFonts w:eastAsia="Times New Roman"/>
        </w:rPr>
      </w:pPr>
      <w:r>
        <w:rPr>
          <w:rFonts w:ascii="Arial" w:eastAsia="Times New Roman" w:hAnsi="Arial" w:cs="Arial"/>
          <w:color w:val="000000"/>
          <w:sz w:val="20"/>
          <w:szCs w:val="20"/>
        </w:rPr>
        <w:t>We have concluded that each gallon or barrel represents a separate performance obligation, and revenue is recognized at the point in time when control of each gallon or barrel transfers to our cus</w:t>
      </w:r>
      <w:r>
        <w:rPr>
          <w:rFonts w:ascii="Arial" w:eastAsia="Times New Roman" w:hAnsi="Arial" w:cs="Arial"/>
          <w:color w:val="000000"/>
          <w:sz w:val="20"/>
          <w:szCs w:val="20"/>
        </w:rPr>
        <w:t>tomer. We may incur costs for the transportation of products to the delivery points. Reimbursements of such costs are normally included in the transaction price.</w:t>
      </w:r>
    </w:p>
    <w:p w:rsidR="00000000" w:rsidRDefault="002223F7">
      <w:pPr>
        <w:jc w:val="both"/>
        <w:divId w:val="1615164118"/>
        <w:rPr>
          <w:rFonts w:eastAsia="Times New Roman"/>
        </w:rPr>
      </w:pPr>
      <w:r>
        <w:rPr>
          <w:rFonts w:ascii="Arial" w:eastAsia="Times New Roman" w:hAnsi="Arial" w:cs="Arial"/>
          <w:color w:val="000000"/>
          <w:sz w:val="20"/>
          <w:szCs w:val="20"/>
        </w:rPr>
        <w:t>Our contracts may contain fixed pricing, variable pricing, or a combination. The pricing struc</w:t>
      </w:r>
      <w:r>
        <w:rPr>
          <w:rFonts w:ascii="Arial" w:eastAsia="Times New Roman" w:hAnsi="Arial" w:cs="Arial"/>
          <w:color w:val="000000"/>
          <w:sz w:val="20"/>
          <w:szCs w:val="20"/>
        </w:rPr>
        <w:t>tures of our fuel sales that involve variable prices, such as market or index-based pricing or reimbursements of costs, typically correspond to our efforts to transfer the promised fuel, and we recognize revenue based on those variable prices for the relat</w:t>
      </w:r>
      <w:r>
        <w:rPr>
          <w:rFonts w:ascii="Arial" w:eastAsia="Times New Roman" w:hAnsi="Arial" w:cs="Arial"/>
          <w:color w:val="000000"/>
          <w:sz w:val="20"/>
          <w:szCs w:val="20"/>
        </w:rPr>
        <w:t>ed gallons or barrels that we have delivered.</w:t>
      </w:r>
    </w:p>
    <w:p w:rsidR="00000000" w:rsidRDefault="002223F7">
      <w:pPr>
        <w:jc w:val="both"/>
        <w:divId w:val="485246802"/>
        <w:rPr>
          <w:rFonts w:eastAsia="Times New Roman"/>
        </w:rPr>
      </w:pPr>
      <w:r>
        <w:rPr>
          <w:rFonts w:ascii="Arial" w:eastAsia="Times New Roman" w:hAnsi="Arial" w:cs="Arial"/>
          <w:color w:val="000000"/>
          <w:sz w:val="20"/>
          <w:szCs w:val="20"/>
        </w:rPr>
        <w:t xml:space="preserve">Our contracts with customers may include multi-year sales contracts, which are priced at market-based indices and require minimum volume purchase commitments from our customers. The consideration expected from </w:t>
      </w:r>
      <w:r>
        <w:rPr>
          <w:rFonts w:ascii="Arial" w:eastAsia="Times New Roman" w:hAnsi="Arial" w:cs="Arial"/>
          <w:color w:val="000000"/>
          <w:sz w:val="20"/>
          <w:szCs w:val="20"/>
        </w:rPr>
        <w:t xml:space="preserve">these contracts is considered variable due to the market-based pricing and the variability is not resolved until delivery is made to our customers. We also have fixed price fuel and fuel-related product sale contracts with a contract term of less than one </w:t>
      </w:r>
      <w:r>
        <w:rPr>
          <w:rFonts w:ascii="Arial" w:eastAsia="Times New Roman" w:hAnsi="Arial" w:cs="Arial"/>
          <w:color w:val="000000"/>
          <w:sz w:val="20"/>
          <w:szCs w:val="20"/>
        </w:rPr>
        <w:t>year (typically one month).</w:t>
      </w:r>
    </w:p>
    <w:p w:rsidR="00000000" w:rsidRDefault="002223F7">
      <w:pPr>
        <w:jc w:val="both"/>
        <w:divId w:val="865678052"/>
        <w:rPr>
          <w:rFonts w:eastAsia="Times New Roman"/>
        </w:rPr>
      </w:pPr>
      <w:r>
        <w:rPr>
          <w:rFonts w:ascii="Arial" w:eastAsia="Times New Roman" w:hAnsi="Arial" w:cs="Arial"/>
          <w:color w:val="000000"/>
          <w:sz w:val="20"/>
          <w:szCs w:val="20"/>
        </w:rPr>
        <w:t>We also earn an immaterial amount of revenue from contracts to provide services, including energy procurement advisory services, international trip planning support, and transaction and payment management processing, which typic</w:t>
      </w:r>
      <w:r>
        <w:rPr>
          <w:rFonts w:ascii="Arial" w:eastAsia="Times New Roman" w:hAnsi="Arial" w:cs="Arial"/>
          <w:color w:val="000000"/>
          <w:sz w:val="20"/>
          <w:szCs w:val="20"/>
        </w:rPr>
        <w:t>ally represent a single performance obligation for the series of daily services.</w:t>
      </w:r>
    </w:p>
    <w:p w:rsidR="00000000" w:rsidRDefault="002223F7">
      <w:pPr>
        <w:jc w:val="center"/>
        <w:divId w:val="2034065078"/>
        <w:rPr>
          <w:rFonts w:eastAsia="Times New Roman"/>
        </w:rPr>
      </w:pPr>
      <w:r>
        <w:rPr>
          <w:rFonts w:ascii="Arial" w:eastAsia="Times New Roman" w:hAnsi="Arial" w:cs="Arial"/>
          <w:color w:val="000000"/>
          <w:sz w:val="16"/>
          <w:szCs w:val="16"/>
        </w:rPr>
        <w:t>68</w:t>
      </w:r>
    </w:p>
    <w:p w:rsidR="00000000" w:rsidRDefault="002223F7">
      <w:pPr>
        <w:rPr>
          <w:rFonts w:eastAsia="Times New Roman"/>
        </w:rPr>
      </w:pPr>
      <w:r>
        <w:rPr>
          <w:rFonts w:eastAsia="Times New Roman"/>
        </w:rPr>
        <w:pict>
          <v:rect id="_x0000_i1099" style="width:0;height:1.5pt" o:hralign="center" o:hrstd="t" o:hr="t" fillcolor="#a0a0a0" stroked="f"/>
        </w:pict>
      </w:r>
    </w:p>
    <w:p w:rsidR="00000000" w:rsidRDefault="002223F7">
      <w:pPr>
        <w:jc w:val="both"/>
        <w:divId w:val="256906790"/>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divId w:val="1431774838"/>
        <w:rPr>
          <w:rFonts w:eastAsia="Times New Roman"/>
        </w:rPr>
      </w:pPr>
      <w:r>
        <w:rPr>
          <w:rFonts w:ascii="Arial" w:eastAsia="Times New Roman" w:hAnsi="Arial" w:cs="Arial"/>
          <w:b/>
          <w:bCs/>
          <w:color w:val="000000"/>
          <w:sz w:val="20"/>
          <w:szCs w:val="20"/>
        </w:rPr>
        <w:t>Disaggregated revenue</w:t>
      </w:r>
    </w:p>
    <w:p w:rsidR="00000000" w:rsidRDefault="002223F7">
      <w:pPr>
        <w:jc w:val="both"/>
        <w:divId w:val="498429132"/>
        <w:rPr>
          <w:rFonts w:eastAsia="Times New Roman"/>
        </w:rPr>
      </w:pPr>
      <w:r>
        <w:rPr>
          <w:rFonts w:ascii="Arial" w:eastAsia="Times New Roman" w:hAnsi="Arial" w:cs="Arial"/>
          <w:color w:val="000000"/>
          <w:sz w:val="20"/>
          <w:szCs w:val="20"/>
        </w:rPr>
        <w:t>The following table presents our revenues from contracts with cu</w:t>
      </w:r>
      <w:r>
        <w:rPr>
          <w:rFonts w:ascii="Arial" w:eastAsia="Times New Roman" w:hAnsi="Arial" w:cs="Arial"/>
          <w:color w:val="000000"/>
          <w:sz w:val="20"/>
          <w:szCs w:val="20"/>
        </w:rPr>
        <w:t>stomers disaggregated by major geographic areas in which we conduct business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257"/>
        <w:gridCol w:w="38"/>
        <w:gridCol w:w="36"/>
        <w:gridCol w:w="36"/>
        <w:gridCol w:w="36"/>
        <w:gridCol w:w="132"/>
        <w:gridCol w:w="1047"/>
        <w:gridCol w:w="36"/>
        <w:gridCol w:w="36"/>
        <w:gridCol w:w="36"/>
        <w:gridCol w:w="36"/>
        <w:gridCol w:w="132"/>
        <w:gridCol w:w="1047"/>
        <w:gridCol w:w="36"/>
        <w:gridCol w:w="36"/>
        <w:gridCol w:w="36"/>
        <w:gridCol w:w="36"/>
        <w:gridCol w:w="132"/>
        <w:gridCol w:w="1050"/>
        <w:gridCol w:w="36"/>
      </w:tblGrid>
      <w:tr w:rsidR="00000000">
        <w:trPr>
          <w:divId w:val="521284370"/>
        </w:trPr>
        <w:tc>
          <w:tcPr>
            <w:tcW w:w="50" w:type="pct"/>
            <w:vAlign w:val="center"/>
            <w:hideMark/>
          </w:tcPr>
          <w:p w:rsidR="00000000" w:rsidRDefault="002223F7">
            <w:pPr>
              <w:jc w:val="both"/>
              <w:rPr>
                <w:rFonts w:eastAsia="Times New Roman"/>
              </w:rPr>
            </w:pPr>
          </w:p>
        </w:tc>
        <w:tc>
          <w:tcPr>
            <w:tcW w:w="2598"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6"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521284370"/>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For the Year Ended December 31,</w:t>
            </w:r>
          </w:p>
        </w:tc>
      </w:tr>
      <w:tr w:rsidR="00000000">
        <w:trPr>
          <w:divId w:val="521284370"/>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2020</w:t>
            </w:r>
          </w:p>
        </w:tc>
      </w:tr>
      <w:tr w:rsidR="00000000">
        <w:trPr>
          <w:divId w:val="52128437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Aviation</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1,200.9 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682.8 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542.1 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52128437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Land</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9.9 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36.8 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52128437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Marine</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5,851.6 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3,419.5 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2,436.8 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521284370"/>
        </w:trPr>
        <w:tc>
          <w:tcPr>
            <w:tcW w:w="0" w:type="auto"/>
            <w:gridSpan w:val="3"/>
            <w:shd w:val="clear" w:color="auto" w:fill="CCEEFF"/>
            <w:tcMar>
              <w:top w:w="30" w:type="dxa"/>
              <w:left w:w="155"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Asia Pacific</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7,062.4 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4,139.2 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2,989.4 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521284370"/>
          <w:trHeight w:val="240"/>
        </w:trPr>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52128437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Aviation</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4,481.0 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1,903.1 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1,403.4 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52128437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Land</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4,141.1 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2,491.8 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1,744.5 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52128437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Marine</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3,739.7 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2,364.6 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1,630.8 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521284370"/>
        </w:trPr>
        <w:tc>
          <w:tcPr>
            <w:tcW w:w="0" w:type="auto"/>
            <w:gridSpan w:val="3"/>
            <w:shd w:val="clear" w:color="auto" w:fill="FFFFFF"/>
            <w:tcMar>
              <w:top w:w="30" w:type="dxa"/>
              <w:left w:w="155"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EMEA</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12,361.8 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6,759.5 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4,778.7 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521284370"/>
          <w:trHeight w:val="240"/>
        </w:trPr>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52128437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Aviation</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4,703.5 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2,092.4 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1,069.9 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52128437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Land</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907.1 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590.6 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440.1 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52128437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Marine</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1,099.7 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621.3 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483.5 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521284370"/>
        </w:trPr>
        <w:tc>
          <w:tcPr>
            <w:tcW w:w="0" w:type="auto"/>
            <w:gridSpan w:val="3"/>
            <w:shd w:val="clear" w:color="auto" w:fill="CCEEFF"/>
            <w:tcMar>
              <w:top w:w="30" w:type="dxa"/>
              <w:left w:w="155"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LATAM</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6,710.3 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3,304.3 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1,993.5 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521284370"/>
          <w:trHeight w:val="240"/>
        </w:trPr>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52128437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Aviation</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16,689.0 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8,533.1 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4,618.4 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52128437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Land</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14,028.8 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7,251.5 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4,359.6 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52128437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Marine</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2,263.7 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1,220.0 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851.6 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521284370"/>
        </w:trPr>
        <w:tc>
          <w:tcPr>
            <w:tcW w:w="0" w:type="auto"/>
            <w:gridSpan w:val="3"/>
            <w:shd w:val="clear" w:color="auto" w:fill="FFFFFF"/>
            <w:tcMar>
              <w:top w:w="30" w:type="dxa"/>
              <w:left w:w="155"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North America</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32,981.6 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17,004.7 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9,829.6 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521284370"/>
          <w:trHeight w:val="240"/>
        </w:trPr>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52128437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divId w:val="2146193483"/>
              <w:rPr>
                <w:rFonts w:eastAsia="Times New Roman"/>
              </w:rPr>
            </w:pPr>
            <w:r>
              <w:rPr>
                <w:rFonts w:ascii="Arial" w:eastAsia="Times New Roman" w:hAnsi="Arial" w:cs="Arial"/>
                <w:color w:val="000000"/>
                <w:sz w:val="20"/>
                <w:szCs w:val="20"/>
              </w:rPr>
              <w:t>Other revenues (excluded from ASC 606</w:t>
            </w:r>
            <w:r>
              <w:rPr>
                <w:rFonts w:ascii="Arial" w:eastAsia="Times New Roman" w:hAnsi="Arial" w:cs="Arial"/>
                <w:color w:val="000000"/>
                <w:sz w:val="20"/>
                <w:szCs w:val="20"/>
              </w:rPr>
              <w:t>)</w:t>
            </w:r>
            <w:r>
              <w:rPr>
                <w:rFonts w:ascii="Arial" w:eastAsia="Times New Roman" w:hAnsi="Arial" w:cs="Arial"/>
                <w:color w:val="000000"/>
                <w:sz w:val="13"/>
                <w:szCs w:val="13"/>
              </w:rPr>
              <w:t xml:space="preserve"> (1</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(72.9)</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129.2 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767.1 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521284370"/>
          <w:trHeight w:val="240"/>
        </w:trPr>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52128437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revenue</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59,043.1 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31,337.0 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20,358.3 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ind w:hanging="360"/>
        <w:jc w:val="both"/>
        <w:divId w:val="1458404459"/>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Includes revenue from derivatives, leases, and other transactions that we account for under separate guidance.</w:t>
      </w:r>
    </w:p>
    <w:p w:rsidR="00000000" w:rsidRDefault="002223F7">
      <w:pPr>
        <w:divId w:val="1415973333"/>
        <w:rPr>
          <w:rFonts w:eastAsia="Times New Roman"/>
        </w:rPr>
      </w:pPr>
      <w:r>
        <w:rPr>
          <w:rFonts w:ascii="Arial" w:eastAsia="Times New Roman" w:hAnsi="Arial" w:cs="Arial"/>
          <w:b/>
          <w:bCs/>
          <w:color w:val="000000"/>
          <w:sz w:val="20"/>
          <w:szCs w:val="20"/>
        </w:rPr>
        <w:t>Accounts receivable, contract assets and contrac</w:t>
      </w:r>
      <w:r>
        <w:rPr>
          <w:rFonts w:ascii="Arial" w:eastAsia="Times New Roman" w:hAnsi="Arial" w:cs="Arial"/>
          <w:b/>
          <w:bCs/>
          <w:color w:val="000000"/>
          <w:sz w:val="20"/>
          <w:szCs w:val="20"/>
        </w:rPr>
        <w:t>t liabilities</w:t>
      </w:r>
    </w:p>
    <w:p w:rsidR="00000000" w:rsidRDefault="002223F7">
      <w:pPr>
        <w:jc w:val="both"/>
        <w:divId w:val="1186207940"/>
        <w:rPr>
          <w:rFonts w:eastAsia="Times New Roman"/>
        </w:rPr>
      </w:pPr>
      <w:r>
        <w:rPr>
          <w:rFonts w:ascii="Arial" w:eastAsia="Times New Roman" w:hAnsi="Arial" w:cs="Arial"/>
          <w:color w:val="000000"/>
          <w:sz w:val="20"/>
          <w:szCs w:val="20"/>
        </w:rPr>
        <w:t>The nature of the receivables related to revenue from contracts with customers and other revenues (excluded from ASC 606) are substantially similar, as they are both generated from transactions with the same type of counterparties (e.g., sepa</w:t>
      </w:r>
      <w:r>
        <w:rPr>
          <w:rFonts w:ascii="Arial" w:eastAsia="Times New Roman" w:hAnsi="Arial" w:cs="Arial"/>
          <w:color w:val="000000"/>
          <w:sz w:val="20"/>
          <w:szCs w:val="20"/>
        </w:rPr>
        <w:t>rate fuel sales and storage lease with the same counterparty) and are entered into utilizing the same credit approval and monitoring procedures for all customers. As such, we believe the risk associated with the cash flows from the different types of recei</w:t>
      </w:r>
      <w:r>
        <w:rPr>
          <w:rFonts w:ascii="Arial" w:eastAsia="Times New Roman" w:hAnsi="Arial" w:cs="Arial"/>
          <w:color w:val="000000"/>
          <w:sz w:val="20"/>
          <w:szCs w:val="20"/>
        </w:rPr>
        <w:t>vables is not meaningful to separately disaggregate the accounts receivable balance presented on our Consolidated Balance Sheets. As of December 31, 2022 and 2021, the contract assets and contracts liabilities recognized by the Company were not material.</w:t>
      </w:r>
    </w:p>
    <w:p w:rsidR="00000000" w:rsidRDefault="002223F7">
      <w:pPr>
        <w:divId w:val="642198786"/>
        <w:rPr>
          <w:rFonts w:eastAsia="Times New Roman"/>
        </w:rPr>
      </w:pPr>
      <w:r>
        <w:rPr>
          <w:rFonts w:ascii="Arial" w:eastAsia="Times New Roman" w:hAnsi="Arial" w:cs="Arial"/>
          <w:b/>
          <w:bCs/>
          <w:color w:val="000000"/>
          <w:sz w:val="20"/>
          <w:szCs w:val="20"/>
        </w:rPr>
        <w:t>1</w:t>
      </w:r>
      <w:r>
        <w:rPr>
          <w:rFonts w:ascii="Arial" w:eastAsia="Times New Roman" w:hAnsi="Arial" w:cs="Arial"/>
          <w:b/>
          <w:bCs/>
          <w:color w:val="000000"/>
          <w:sz w:val="20"/>
          <w:szCs w:val="20"/>
        </w:rPr>
        <w:t>0. Income Taxes</w:t>
      </w:r>
    </w:p>
    <w:p w:rsidR="00000000" w:rsidRDefault="002223F7">
      <w:pPr>
        <w:jc w:val="both"/>
        <w:divId w:val="727924528"/>
        <w:rPr>
          <w:rFonts w:eastAsia="Times New Roman"/>
        </w:rPr>
      </w:pPr>
      <w:r>
        <w:rPr>
          <w:rFonts w:ascii="Arial" w:eastAsia="Times New Roman" w:hAnsi="Arial" w:cs="Arial"/>
          <w:color w:val="000000"/>
          <w:sz w:val="20"/>
          <w:szCs w:val="20"/>
        </w:rPr>
        <w:t>U.S. and foreign income before income taxes consist of the following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343"/>
        <w:gridCol w:w="37"/>
        <w:gridCol w:w="132"/>
        <w:gridCol w:w="1068"/>
        <w:gridCol w:w="36"/>
        <w:gridCol w:w="36"/>
        <w:gridCol w:w="36"/>
        <w:gridCol w:w="36"/>
        <w:gridCol w:w="132"/>
        <w:gridCol w:w="1049"/>
        <w:gridCol w:w="36"/>
        <w:gridCol w:w="36"/>
        <w:gridCol w:w="36"/>
        <w:gridCol w:w="36"/>
        <w:gridCol w:w="132"/>
        <w:gridCol w:w="1051"/>
        <w:gridCol w:w="36"/>
      </w:tblGrid>
      <w:tr w:rsidR="00000000">
        <w:trPr>
          <w:divId w:val="1886719283"/>
        </w:trPr>
        <w:tc>
          <w:tcPr>
            <w:tcW w:w="50" w:type="pct"/>
            <w:vAlign w:val="center"/>
            <w:hideMark/>
          </w:tcPr>
          <w:p w:rsidR="00000000" w:rsidRDefault="002223F7">
            <w:pPr>
              <w:jc w:val="both"/>
              <w:rPr>
                <w:rFonts w:eastAsia="Times New Roman"/>
              </w:rPr>
            </w:pPr>
          </w:p>
        </w:tc>
        <w:tc>
          <w:tcPr>
            <w:tcW w:w="264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6"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1886719283"/>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Year Ended December 31,</w:t>
            </w:r>
          </w:p>
        </w:tc>
      </w:tr>
      <w:tr w:rsidR="00000000">
        <w:trPr>
          <w:divId w:val="1886719283"/>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2020</w:t>
            </w:r>
          </w:p>
        </w:tc>
      </w:tr>
      <w:tr w:rsidR="00000000">
        <w:trPr>
          <w:divId w:val="1886719283"/>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United States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(90.3)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(47.7)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886719283"/>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Foreign</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235.4 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147.8 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110.5 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886719283"/>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Income (loss) before income taxes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161.7 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jc w:val="center"/>
        <w:divId w:val="1856579931"/>
        <w:rPr>
          <w:rFonts w:eastAsia="Times New Roman"/>
        </w:rPr>
      </w:pPr>
      <w:r>
        <w:rPr>
          <w:rFonts w:ascii="Arial" w:eastAsia="Times New Roman" w:hAnsi="Arial" w:cs="Arial"/>
          <w:color w:val="000000"/>
          <w:sz w:val="16"/>
          <w:szCs w:val="16"/>
        </w:rPr>
        <w:t>69</w:t>
      </w:r>
    </w:p>
    <w:p w:rsidR="00000000" w:rsidRDefault="002223F7">
      <w:pPr>
        <w:rPr>
          <w:rFonts w:eastAsia="Times New Roman"/>
        </w:rPr>
      </w:pPr>
      <w:r>
        <w:rPr>
          <w:rFonts w:eastAsia="Times New Roman"/>
        </w:rPr>
        <w:pict>
          <v:rect id="_x0000_i1100" style="width:0;height:1.5pt" o:hralign="center" o:hrstd="t" o:hr="t" fillcolor="#a0a0a0" stroked="f"/>
        </w:pict>
      </w:r>
    </w:p>
    <w:p w:rsidR="00000000" w:rsidRDefault="002223F7">
      <w:pPr>
        <w:jc w:val="both"/>
        <w:divId w:val="1597789398"/>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1397360306"/>
        <w:rPr>
          <w:rFonts w:eastAsia="Times New Roman"/>
        </w:rPr>
      </w:pPr>
      <w:r>
        <w:rPr>
          <w:rFonts w:ascii="Arial" w:eastAsia="Times New Roman" w:hAnsi="Arial" w:cs="Arial"/>
          <w:color w:val="000000"/>
          <w:sz w:val="20"/>
          <w:szCs w:val="20"/>
        </w:rPr>
        <w:t>Our total income tax provision (benefit) related to income before income taxes consist</w:t>
      </w:r>
      <w:r>
        <w:rPr>
          <w:rFonts w:ascii="Arial" w:eastAsia="Times New Roman" w:hAnsi="Arial" w:cs="Arial"/>
          <w:color w:val="000000"/>
          <w:sz w:val="20"/>
          <w:szCs w:val="20"/>
        </w:rPr>
        <w:t>s of the following components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343"/>
        <w:gridCol w:w="36"/>
        <w:gridCol w:w="132"/>
        <w:gridCol w:w="1069"/>
        <w:gridCol w:w="36"/>
        <w:gridCol w:w="36"/>
        <w:gridCol w:w="36"/>
        <w:gridCol w:w="36"/>
        <w:gridCol w:w="132"/>
        <w:gridCol w:w="1049"/>
        <w:gridCol w:w="36"/>
        <w:gridCol w:w="36"/>
        <w:gridCol w:w="36"/>
        <w:gridCol w:w="36"/>
        <w:gridCol w:w="132"/>
        <w:gridCol w:w="1051"/>
        <w:gridCol w:w="36"/>
      </w:tblGrid>
      <w:tr w:rsidR="00000000">
        <w:trPr>
          <w:divId w:val="1523738873"/>
        </w:trPr>
        <w:tc>
          <w:tcPr>
            <w:tcW w:w="50" w:type="pct"/>
            <w:vAlign w:val="center"/>
            <w:hideMark/>
          </w:tcPr>
          <w:p w:rsidR="00000000" w:rsidRDefault="002223F7">
            <w:pPr>
              <w:jc w:val="both"/>
              <w:rPr>
                <w:rFonts w:eastAsia="Times New Roman"/>
              </w:rPr>
            </w:pPr>
          </w:p>
        </w:tc>
        <w:tc>
          <w:tcPr>
            <w:tcW w:w="264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6"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1523738873"/>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Year Ended December 31,</w:t>
            </w:r>
          </w:p>
        </w:tc>
      </w:tr>
      <w:tr w:rsidR="00000000">
        <w:trPr>
          <w:divId w:val="1523738873"/>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2020</w:t>
            </w:r>
          </w:p>
        </w:tc>
      </w:tr>
      <w:tr w:rsidR="00000000">
        <w:trPr>
          <w:divId w:val="1523738873"/>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Current: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523738873"/>
        </w:trPr>
        <w:tc>
          <w:tcPr>
            <w:tcW w:w="0" w:type="auto"/>
            <w:gridSpan w:val="3"/>
            <w:shd w:val="clear" w:color="auto" w:fill="FFFF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U.S. federal statutory tax</w:t>
            </w: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4.4 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523738873"/>
        </w:trPr>
        <w:tc>
          <w:tcPr>
            <w:tcW w:w="0" w:type="auto"/>
            <w:gridSpan w:val="3"/>
            <w:shd w:val="clear" w:color="auto" w:fill="CCEE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State</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523738873"/>
        </w:trPr>
        <w:tc>
          <w:tcPr>
            <w:tcW w:w="0" w:type="auto"/>
            <w:gridSpan w:val="3"/>
            <w:shd w:val="clear" w:color="auto" w:fill="FFFF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Foreign</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42.9 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22.4 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42.9 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523738873"/>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Current income tax expense (benefit)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523738873"/>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Deferred:</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523738873"/>
        </w:trPr>
        <w:tc>
          <w:tcPr>
            <w:tcW w:w="0" w:type="auto"/>
            <w:gridSpan w:val="3"/>
            <w:shd w:val="clear" w:color="auto" w:fill="CCEE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U.S. federal statutory tax</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(4.6)</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523738873"/>
        </w:trPr>
        <w:tc>
          <w:tcPr>
            <w:tcW w:w="0" w:type="auto"/>
            <w:gridSpan w:val="3"/>
            <w:shd w:val="clear" w:color="auto" w:fill="FFFF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State</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523738873"/>
        </w:trPr>
        <w:tc>
          <w:tcPr>
            <w:tcW w:w="0" w:type="auto"/>
            <w:gridSpan w:val="3"/>
            <w:shd w:val="clear" w:color="auto" w:fill="CCEE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Foreign</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(14.5)</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(12.5)</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(14.4)</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523738873"/>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Deferred income tax expense (benefit)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(18.5)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523738873"/>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divId w:val="1844078766"/>
              <w:rPr>
                <w:rFonts w:eastAsia="Times New Roman"/>
              </w:rPr>
            </w:pPr>
            <w:r>
              <w:rPr>
                <w:rFonts w:ascii="Arial" w:eastAsia="Times New Roman" w:hAnsi="Arial" w:cs="Arial"/>
                <w:color w:val="000000"/>
                <w:sz w:val="20"/>
                <w:szCs w:val="20"/>
              </w:rPr>
              <w:t>Non-current tax expense (income)</w:t>
            </w:r>
            <w:r>
              <w:rPr>
                <w:rFonts w:ascii="Arial" w:eastAsia="Times New Roman" w:hAnsi="Arial" w:cs="Arial"/>
                <w:color w:val="000000"/>
                <w:sz w:val="20"/>
                <w:szCs w:val="20"/>
              </w:rPr>
              <w:t xml:space="preserve"> </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523738873"/>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provision for income taxes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ind w:hanging="360"/>
        <w:jc w:val="both"/>
        <w:divId w:val="910889335"/>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Non-current tax expense (income) is primarily related to income tax associated with the reserve for uncertain tax positions, including associated interest and penalties.</w:t>
      </w:r>
    </w:p>
    <w:p w:rsidR="00000000" w:rsidRDefault="002223F7">
      <w:pPr>
        <w:jc w:val="both"/>
        <w:divId w:val="575477156"/>
        <w:rPr>
          <w:rFonts w:eastAsia="Times New Roman"/>
        </w:rPr>
      </w:pPr>
      <w:r>
        <w:rPr>
          <w:rFonts w:ascii="Arial" w:eastAsia="Times New Roman" w:hAnsi="Arial" w:cs="Arial"/>
          <w:color w:val="000000"/>
          <w:sz w:val="20"/>
          <w:szCs w:val="20"/>
        </w:rPr>
        <w:t>A reconcili</w:t>
      </w:r>
      <w:r>
        <w:rPr>
          <w:rFonts w:ascii="Arial" w:eastAsia="Times New Roman" w:hAnsi="Arial" w:cs="Arial"/>
          <w:color w:val="000000"/>
          <w:sz w:val="20"/>
          <w:szCs w:val="20"/>
        </w:rPr>
        <w:t>ation of the tax provision calculated using the U.S. federal statutory income tax rate to our tax provision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598"/>
        <w:gridCol w:w="38"/>
        <w:gridCol w:w="132"/>
        <w:gridCol w:w="984"/>
        <w:gridCol w:w="36"/>
        <w:gridCol w:w="36"/>
        <w:gridCol w:w="36"/>
        <w:gridCol w:w="36"/>
        <w:gridCol w:w="132"/>
        <w:gridCol w:w="963"/>
        <w:gridCol w:w="36"/>
        <w:gridCol w:w="36"/>
        <w:gridCol w:w="36"/>
        <w:gridCol w:w="36"/>
        <w:gridCol w:w="132"/>
        <w:gridCol w:w="964"/>
        <w:gridCol w:w="36"/>
      </w:tblGrid>
      <w:tr w:rsidR="00000000">
        <w:trPr>
          <w:divId w:val="176120587"/>
        </w:trPr>
        <w:tc>
          <w:tcPr>
            <w:tcW w:w="50" w:type="pct"/>
            <w:vAlign w:val="center"/>
            <w:hideMark/>
          </w:tcPr>
          <w:p w:rsidR="00000000" w:rsidRDefault="002223F7">
            <w:pPr>
              <w:jc w:val="both"/>
              <w:rPr>
                <w:rFonts w:eastAsia="Times New Roman"/>
              </w:rPr>
            </w:pPr>
          </w:p>
        </w:tc>
        <w:tc>
          <w:tcPr>
            <w:tcW w:w="2803"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2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2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2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176120587"/>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Year Ended December 31,</w:t>
            </w:r>
          </w:p>
        </w:tc>
      </w:tr>
      <w:tr w:rsidR="00000000">
        <w:trPr>
          <w:divId w:val="176120587"/>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2020</w:t>
            </w:r>
          </w:p>
        </w:tc>
      </w:tr>
      <w:tr w:rsidR="00000000">
        <w:trPr>
          <w:divId w:val="17612058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Tax provision based on U.S. federal statutory tax rate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7612058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Foreign rates varying from federal statutory tax rate</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(5.4)</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(10.3)</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(21.5)</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7612058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State income taxes, net of U.S. federal income tax benefit</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7612058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U.S. taxes on foreign earnings and other tax reform impacts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29.7 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12.0 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7612058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Uncertain tax positions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(1.5)</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10.9 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7612058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Foreign currency, statutory adjustments, and tax rate changes</w:t>
            </w:r>
          </w:p>
        </w:tc>
        <w:tc>
          <w:tcPr>
            <w:tcW w:w="0" w:type="auto"/>
            <w:gridSpan w:val="2"/>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(3.8)</w:t>
            </w:r>
          </w:p>
        </w:tc>
        <w:tc>
          <w:tcPr>
            <w:tcW w:w="0" w:type="auto"/>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0.6 </w:t>
            </w:r>
          </w:p>
        </w:tc>
        <w:tc>
          <w:tcPr>
            <w:tcW w:w="0" w:type="auto"/>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(3.1)</w:t>
            </w:r>
          </w:p>
        </w:tc>
        <w:tc>
          <w:tcPr>
            <w:tcW w:w="0" w:type="auto"/>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7612058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Non-taxable interest income &amp; non-deductible interest expense</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(2.1)</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7612058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Valuation allowances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(13.3)</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(6.6)</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15.6 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7612058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Non-deductible officer compensation</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7612058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Withholding Tax</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7612058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Foreign tax credit</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(25.0)</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(5.6)</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(9.2)</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76120587"/>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divId w:val="1217736900"/>
              <w:rPr>
                <w:rFonts w:eastAsia="Times New Roman"/>
              </w:rPr>
            </w:pPr>
            <w:r>
              <w:rPr>
                <w:rFonts w:ascii="Arial" w:eastAsia="Times New Roman" w:hAnsi="Arial" w:cs="Arial"/>
                <w:color w:val="000000"/>
                <w:sz w:val="20"/>
                <w:szCs w:val="20"/>
              </w:rPr>
              <w:t>Othe</w:t>
            </w:r>
            <w:r>
              <w:rPr>
                <w:rFonts w:ascii="Arial" w:eastAsia="Times New Roman" w:hAnsi="Arial" w:cs="Arial"/>
                <w:color w:val="000000"/>
                <w:sz w:val="20"/>
                <w:szCs w:val="20"/>
              </w:rPr>
              <w:t>r</w:t>
            </w:r>
            <w:r>
              <w:rPr>
                <w:rFonts w:ascii="Arial" w:eastAsia="Times New Roman" w:hAnsi="Arial" w:cs="Arial"/>
                <w:color w:val="000000"/>
                <w:sz w:val="13"/>
                <w:szCs w:val="13"/>
              </w:rPr>
              <w:t xml:space="preserve"> (1</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76120587"/>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provision for income taxes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ind w:hanging="360"/>
        <w:jc w:val="both"/>
        <w:divId w:val="823542567"/>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Includes a gain of sale of company of $4.9 million for the year ended December 31, 2020.</w:t>
      </w:r>
    </w:p>
    <w:p w:rsidR="00000000" w:rsidRDefault="002223F7">
      <w:pPr>
        <w:jc w:val="both"/>
        <w:divId w:val="943808877"/>
        <w:rPr>
          <w:rFonts w:eastAsia="Times New Roman"/>
        </w:rPr>
      </w:pPr>
      <w:r>
        <w:rPr>
          <w:rFonts w:ascii="Arial" w:eastAsia="Times New Roman" w:hAnsi="Arial" w:cs="Arial"/>
          <w:color w:val="000000"/>
          <w:sz w:val="20"/>
          <w:szCs w:val="20"/>
        </w:rPr>
        <w:t>For the year ended December </w:t>
      </w:r>
      <w:r>
        <w:rPr>
          <w:rFonts w:ascii="Arial" w:eastAsia="Times New Roman" w:hAnsi="Arial" w:cs="Arial"/>
          <w:color w:val="000000"/>
          <w:sz w:val="20"/>
          <w:szCs w:val="20"/>
        </w:rPr>
        <w:t>31, 2022, our income tax provision was $29.2 million and our effective income tax rate was 20.2%, as compared to an income tax provision of $25.8 million and an effective income tax rate of 25.8% for 2021. The higher income tax provision for the year ended</w:t>
      </w:r>
      <w:r>
        <w:rPr>
          <w:rFonts w:ascii="Arial" w:eastAsia="Times New Roman" w:hAnsi="Arial" w:cs="Arial"/>
          <w:color w:val="000000"/>
          <w:sz w:val="20"/>
          <w:szCs w:val="20"/>
        </w:rPr>
        <w:t xml:space="preserve"> December 31, 2022 resulted primarily from additional income before taxes reduced by additional discrete tax benefits as compared to 2021, including reductions to valuation allowances against our deferred tax assets in certain foreign jurisdictions and the</w:t>
      </w:r>
      <w:r>
        <w:rPr>
          <w:rFonts w:ascii="Arial" w:eastAsia="Times New Roman" w:hAnsi="Arial" w:cs="Arial"/>
          <w:color w:val="000000"/>
          <w:sz w:val="20"/>
          <w:szCs w:val="20"/>
        </w:rPr>
        <w:t xml:space="preserve"> resolution of a tax matter of one of our foreign subsidiaries.</w:t>
      </w:r>
    </w:p>
    <w:p w:rsidR="00000000" w:rsidRDefault="002223F7">
      <w:pPr>
        <w:jc w:val="both"/>
        <w:divId w:val="699207945"/>
        <w:rPr>
          <w:rFonts w:eastAsia="Times New Roman"/>
        </w:rPr>
      </w:pPr>
      <w:r>
        <w:rPr>
          <w:rFonts w:ascii="Arial" w:eastAsia="Times New Roman" w:hAnsi="Arial" w:cs="Arial"/>
          <w:color w:val="000000"/>
          <w:sz w:val="20"/>
          <w:szCs w:val="20"/>
        </w:rPr>
        <w:t>For the year ended December 31, 2021, our income tax provision was $25.8 million and our effective income tax rate was 25.8%, as compared to an income tax provision of $52.1 million and an eff</w:t>
      </w:r>
      <w:r>
        <w:rPr>
          <w:rFonts w:ascii="Arial" w:eastAsia="Times New Roman" w:hAnsi="Arial" w:cs="Arial"/>
          <w:color w:val="000000"/>
          <w:sz w:val="20"/>
          <w:szCs w:val="20"/>
        </w:rPr>
        <w:t xml:space="preserve">ective income tax rate of 32.2% for 2020. The lower income tax provision for the year ended December 31, 2021 resulted primarily from reduced income before taxes and tax expense of $12.9 million recorded during the year ended December 31, 2020 on the gain </w:t>
      </w:r>
      <w:r>
        <w:rPr>
          <w:rFonts w:ascii="Arial" w:eastAsia="Times New Roman" w:hAnsi="Arial" w:cs="Arial"/>
          <w:color w:val="000000"/>
          <w:sz w:val="20"/>
          <w:szCs w:val="20"/>
        </w:rPr>
        <w:t xml:space="preserve">on the sale of MSTS, as well as tax benefits on the impact of the change in the UK tax rate, benefits resulting </w:t>
      </w:r>
    </w:p>
    <w:p w:rsidR="00000000" w:rsidRDefault="002223F7">
      <w:pPr>
        <w:jc w:val="center"/>
        <w:divId w:val="365521996"/>
        <w:rPr>
          <w:rFonts w:eastAsia="Times New Roman"/>
        </w:rPr>
      </w:pPr>
      <w:r>
        <w:rPr>
          <w:rFonts w:ascii="Arial" w:eastAsia="Times New Roman" w:hAnsi="Arial" w:cs="Arial"/>
          <w:color w:val="000000"/>
          <w:sz w:val="16"/>
          <w:szCs w:val="16"/>
        </w:rPr>
        <w:t>70</w:t>
      </w:r>
    </w:p>
    <w:p w:rsidR="00000000" w:rsidRDefault="002223F7">
      <w:pPr>
        <w:rPr>
          <w:rFonts w:eastAsia="Times New Roman"/>
        </w:rPr>
      </w:pPr>
      <w:r>
        <w:rPr>
          <w:rFonts w:eastAsia="Times New Roman"/>
        </w:rPr>
        <w:pict>
          <v:rect id="_x0000_i1101" style="width:0;height:1.5pt" o:hralign="center" o:hrstd="t" o:hr="t" fillcolor="#a0a0a0" stroked="f"/>
        </w:pict>
      </w:r>
    </w:p>
    <w:p w:rsidR="00000000" w:rsidRDefault="002223F7">
      <w:pPr>
        <w:jc w:val="both"/>
        <w:divId w:val="919023210"/>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597566512"/>
        <w:rPr>
          <w:rFonts w:eastAsia="Times New Roman"/>
        </w:rPr>
      </w:pPr>
      <w:r>
        <w:rPr>
          <w:rFonts w:ascii="Arial" w:eastAsia="Times New Roman" w:hAnsi="Arial" w:cs="Arial"/>
          <w:color w:val="000000"/>
          <w:sz w:val="20"/>
          <w:szCs w:val="20"/>
        </w:rPr>
        <w:t>from tax return filings in various foreign jurisdictions, and adjustments to valuation allowances against our deferred tax assets in various foreign jurisdictions.</w:t>
      </w:r>
    </w:p>
    <w:p w:rsidR="00000000" w:rsidRDefault="002223F7">
      <w:pPr>
        <w:jc w:val="both"/>
        <w:divId w:val="1720548919"/>
        <w:rPr>
          <w:rFonts w:eastAsia="Times New Roman"/>
        </w:rPr>
      </w:pPr>
      <w:r>
        <w:rPr>
          <w:rFonts w:ascii="Arial" w:eastAsia="Times New Roman" w:hAnsi="Arial" w:cs="Arial"/>
          <w:color w:val="000000"/>
          <w:sz w:val="20"/>
          <w:szCs w:val="20"/>
        </w:rPr>
        <w:t>We have analyzed our global working capital and cash requireme</w:t>
      </w:r>
      <w:r>
        <w:rPr>
          <w:rFonts w:ascii="Arial" w:eastAsia="Times New Roman" w:hAnsi="Arial" w:cs="Arial"/>
          <w:color w:val="000000"/>
          <w:sz w:val="20"/>
          <w:szCs w:val="20"/>
        </w:rPr>
        <w:t>nts and the potential tax liabilities attributable to repatriation and have determined that we intend to continue our assertion that the earnings of certain of our non-U.S. subsidiaries are indefinitely reinvested. At December 31, 2022, $1.0 billion of our</w:t>
      </w:r>
      <w:r>
        <w:rPr>
          <w:rFonts w:ascii="Arial" w:eastAsia="Times New Roman" w:hAnsi="Arial" w:cs="Arial"/>
          <w:color w:val="000000"/>
          <w:sz w:val="20"/>
          <w:szCs w:val="20"/>
        </w:rPr>
        <w:t xml:space="preserve"> foreign earnings were permanently reinvested in non-US business operations. For these investments, if not reinvested indefinitely, we could potentially owe approximately $221.2 million in foreign withholding tax. For the remaining $1.7 billion of accumula</w:t>
      </w:r>
      <w:r>
        <w:rPr>
          <w:rFonts w:ascii="Arial" w:eastAsia="Times New Roman" w:hAnsi="Arial" w:cs="Arial"/>
          <w:color w:val="000000"/>
          <w:sz w:val="20"/>
          <w:szCs w:val="20"/>
        </w:rPr>
        <w:t>ted foreign earnings that are actually or deemed repatriated, we have made an estimate of the associated foreign withholding and state income tax effects of $11.8 million for the year ended December 31, 2022.</w:t>
      </w:r>
    </w:p>
    <w:p w:rsidR="00000000" w:rsidRDefault="002223F7">
      <w:pPr>
        <w:jc w:val="both"/>
        <w:divId w:val="621151923"/>
        <w:rPr>
          <w:rFonts w:eastAsia="Times New Roman"/>
        </w:rPr>
      </w:pPr>
      <w:r>
        <w:rPr>
          <w:rFonts w:ascii="Arial" w:eastAsia="Times New Roman" w:hAnsi="Arial" w:cs="Arial"/>
          <w:color w:val="000000"/>
          <w:sz w:val="20"/>
          <w:szCs w:val="20"/>
        </w:rPr>
        <w:t>The temporary differences which comprise our ne</w:t>
      </w:r>
      <w:r>
        <w:rPr>
          <w:rFonts w:ascii="Arial" w:eastAsia="Times New Roman" w:hAnsi="Arial" w:cs="Arial"/>
          <w:color w:val="000000"/>
          <w:sz w:val="20"/>
          <w:szCs w:val="20"/>
        </w:rPr>
        <w:t>t deferred tax liabilities are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5479"/>
        <w:gridCol w:w="37"/>
        <w:gridCol w:w="133"/>
        <w:gridCol w:w="1159"/>
        <w:gridCol w:w="37"/>
        <w:gridCol w:w="37"/>
        <w:gridCol w:w="49"/>
        <w:gridCol w:w="37"/>
        <w:gridCol w:w="133"/>
        <w:gridCol w:w="1131"/>
        <w:gridCol w:w="36"/>
      </w:tblGrid>
      <w:tr w:rsidR="00000000">
        <w:trPr>
          <w:divId w:val="287396756"/>
        </w:trPr>
        <w:tc>
          <w:tcPr>
            <w:tcW w:w="50" w:type="pct"/>
            <w:vAlign w:val="center"/>
            <w:hideMark/>
          </w:tcPr>
          <w:p w:rsidR="00000000" w:rsidRDefault="002223F7">
            <w:pPr>
              <w:jc w:val="both"/>
              <w:rPr>
                <w:rFonts w:eastAsia="Times New Roman"/>
              </w:rPr>
            </w:pPr>
          </w:p>
        </w:tc>
        <w:tc>
          <w:tcPr>
            <w:tcW w:w="332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72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72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287396756"/>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As of December 31,</w:t>
            </w:r>
          </w:p>
        </w:tc>
      </w:tr>
      <w:tr w:rsidR="00000000">
        <w:trPr>
          <w:divId w:val="287396756"/>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2021</w:t>
            </w:r>
          </w:p>
        </w:tc>
      </w:tr>
      <w:tr w:rsidR="00000000">
        <w:trPr>
          <w:divId w:val="287396756"/>
        </w:trPr>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20"/>
                <w:szCs w:val="20"/>
              </w:rPr>
              <w:t>Gross Deferred Tax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87396756"/>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Bad debt reserve and accrued expenses</w:t>
            </w: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12.0 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20.1 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87396756"/>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Net operating loss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56.7 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45.9 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87396756"/>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Accrued and other share-based compensation</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26.1 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16.6 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87396756"/>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U.S. foreign income tax credits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8.3 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87396756"/>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Unrealized foreign exchange, derivatives, and cash flow hedges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87396756"/>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Interest expense limitations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18.4 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26.2 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87396756"/>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15.4 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5.2 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87396756"/>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gross deferred tax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136.8 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87396756"/>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divId w:val="78605584"/>
              <w:rPr>
                <w:rFonts w:eastAsia="Times New Roman"/>
              </w:rPr>
            </w:pPr>
            <w:r>
              <w:rPr>
                <w:rFonts w:ascii="Arial" w:eastAsia="Times New Roman" w:hAnsi="Arial" w:cs="Arial"/>
                <w:color w:val="000000"/>
                <w:sz w:val="20"/>
                <w:szCs w:val="20"/>
              </w:rPr>
              <w:t>Less: Valuation allowanc</w:t>
            </w:r>
            <w:r>
              <w:rPr>
                <w:rFonts w:ascii="Arial" w:eastAsia="Times New Roman" w:hAnsi="Arial" w:cs="Arial"/>
                <w:color w:val="000000"/>
                <w:sz w:val="20"/>
                <w:szCs w:val="20"/>
              </w:rPr>
              <w:t>e</w:t>
            </w:r>
            <w:r>
              <w:rPr>
                <w:rFonts w:ascii="Arial" w:eastAsia="Times New Roman" w:hAnsi="Arial" w:cs="Arial"/>
                <w:color w:val="000000"/>
                <w:sz w:val="13"/>
                <w:szCs w:val="13"/>
              </w:rPr>
              <w:t xml:space="preserve"> (1</w:t>
            </w:r>
            <w:r>
              <w:rPr>
                <w:rFonts w:ascii="Arial" w:eastAsia="Times New Roman" w:hAnsi="Arial" w:cs="Arial"/>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26.1 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39.7 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87396756"/>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Gross deferred tax assets, net of valuation allowance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87396756"/>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20"/>
                <w:szCs w:val="20"/>
              </w:rPr>
              <w:t>Deferred Tax Liabilities: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 </w:t>
            </w:r>
          </w:p>
        </w:tc>
      </w:tr>
      <w:tr w:rsidR="00000000">
        <w:trPr>
          <w:divId w:val="287396756"/>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Depreciation</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(26.7)</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(23.9)</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87396756"/>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Goodwill and intangible assets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(70.8)</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(55.9)</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87396756"/>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Unrealized foreign exchange, derivatives, and cash flow hedges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(7.0)</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87396756"/>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Deferred tax costs on foreign unrepatriated earnings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(11.8)</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(10.6)</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87396756"/>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(4.3)</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(11.7)</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87396756"/>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gross deferred tax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87396756"/>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Net deferred tax liability</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87396756"/>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Net deferred tax asset</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87396756"/>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20"/>
                <w:szCs w:val="20"/>
              </w:rPr>
              <w:t>Reported on the Consolidated Balance Sheets as:</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 </w:t>
            </w:r>
          </w:p>
        </w:tc>
      </w:tr>
      <w:tr w:rsidR="00000000">
        <w:trPr>
          <w:divId w:val="287396756"/>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Other non-current assets for deferred tax assets, non-current</w:t>
            </w: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68.0 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44.8 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87396756"/>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Non-current income tax liabilities, net for deferred tax liabilities, non-current</w:t>
            </w: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77.9 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60.3 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ind w:hanging="360"/>
        <w:jc w:val="both"/>
        <w:divId w:val="1969048656"/>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 xml:space="preserve">During the year ended December 31, 2022, we recognized additional valuation allowances of $4.8 million relating primarily to the 2022 results of certain our worldwide entities and released valuation allowances totaling $18.4 million relating to certain of </w:t>
      </w:r>
      <w:r>
        <w:rPr>
          <w:rFonts w:ascii="Arial" w:eastAsia="Times New Roman" w:hAnsi="Arial" w:cs="Arial"/>
          <w:color w:val="000000"/>
          <w:sz w:val="20"/>
          <w:szCs w:val="20"/>
        </w:rPr>
        <w:t>our non-US entities.</w:t>
      </w:r>
    </w:p>
    <w:p w:rsidR="00000000" w:rsidRDefault="002223F7">
      <w:pPr>
        <w:jc w:val="center"/>
        <w:divId w:val="744693546"/>
        <w:rPr>
          <w:rFonts w:eastAsia="Times New Roman"/>
        </w:rPr>
      </w:pPr>
      <w:r>
        <w:rPr>
          <w:rFonts w:ascii="Arial" w:eastAsia="Times New Roman" w:hAnsi="Arial" w:cs="Arial"/>
          <w:color w:val="000000"/>
          <w:sz w:val="16"/>
          <w:szCs w:val="16"/>
        </w:rPr>
        <w:t>71</w:t>
      </w:r>
    </w:p>
    <w:p w:rsidR="00000000" w:rsidRDefault="002223F7">
      <w:pPr>
        <w:rPr>
          <w:rFonts w:eastAsia="Times New Roman"/>
        </w:rPr>
      </w:pPr>
      <w:r>
        <w:rPr>
          <w:rFonts w:eastAsia="Times New Roman"/>
        </w:rPr>
        <w:pict>
          <v:rect id="_x0000_i1102" style="width:0;height:1.5pt" o:hralign="center" o:hrstd="t" o:hr="t" fillcolor="#a0a0a0" stroked="f"/>
        </w:pict>
      </w:r>
    </w:p>
    <w:p w:rsidR="00000000" w:rsidRDefault="002223F7">
      <w:pPr>
        <w:jc w:val="both"/>
        <w:divId w:val="826283971"/>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320620095"/>
        <w:rPr>
          <w:rFonts w:eastAsia="Times New Roman"/>
        </w:rPr>
      </w:pPr>
      <w:r>
        <w:rPr>
          <w:rFonts w:ascii="Arial" w:eastAsia="Times New Roman" w:hAnsi="Arial" w:cs="Arial"/>
          <w:color w:val="000000"/>
          <w:sz w:val="20"/>
          <w:szCs w:val="20"/>
        </w:rPr>
        <w:t>As of December 31, 2022 and 2021, we had gross net operating losses ("NOLs") of approx</w:t>
      </w:r>
      <w:r>
        <w:rPr>
          <w:rFonts w:ascii="Arial" w:eastAsia="Times New Roman" w:hAnsi="Arial" w:cs="Arial"/>
          <w:color w:val="000000"/>
          <w:sz w:val="20"/>
          <w:szCs w:val="20"/>
        </w:rPr>
        <w:t xml:space="preserve">imately $455.7 million and $402.5 million, respectively. The NOLs as of December 31, 2022 originated in various U.S. states and non-U.S. countries. We have recorded a deferred tax asset of $56.7 million reflecting the benefit of the NOL carryforward as of </w:t>
      </w:r>
      <w:r>
        <w:rPr>
          <w:rFonts w:ascii="Arial" w:eastAsia="Times New Roman" w:hAnsi="Arial" w:cs="Arial"/>
          <w:color w:val="000000"/>
          <w:sz w:val="20"/>
          <w:szCs w:val="20"/>
        </w:rPr>
        <w:t>December 31, 2022. This deferred tax asset expires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56"/>
        <w:gridCol w:w="2358"/>
        <w:gridCol w:w="36"/>
        <w:gridCol w:w="56"/>
        <w:gridCol w:w="4255"/>
        <w:gridCol w:w="36"/>
        <w:gridCol w:w="133"/>
        <w:gridCol w:w="1340"/>
        <w:gridCol w:w="36"/>
      </w:tblGrid>
      <w:tr w:rsidR="00000000">
        <w:trPr>
          <w:divId w:val="951715128"/>
        </w:trPr>
        <w:tc>
          <w:tcPr>
            <w:tcW w:w="50" w:type="pct"/>
            <w:vAlign w:val="center"/>
            <w:hideMark/>
          </w:tcPr>
          <w:p w:rsidR="00000000" w:rsidRDefault="002223F7">
            <w:pPr>
              <w:jc w:val="both"/>
              <w:rPr>
                <w:rFonts w:eastAsia="Times New Roman"/>
              </w:rPr>
            </w:pPr>
          </w:p>
        </w:tc>
        <w:tc>
          <w:tcPr>
            <w:tcW w:w="1436"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2576"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822"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951715128"/>
        </w:trPr>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20"/>
                <w:szCs w:val="20"/>
              </w:rPr>
              <w:t>Net Operating Loss</w:t>
            </w:r>
          </w:p>
        </w:tc>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20"/>
                <w:szCs w:val="20"/>
              </w:rPr>
              <w:t>Expiration Date</w:t>
            </w: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Deferred Tax Asset</w:t>
            </w:r>
          </w:p>
        </w:tc>
      </w:tr>
      <w:tr w:rsidR="00000000">
        <w:trPr>
          <w:divId w:val="951715128"/>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US States</w:t>
            </w: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2023-2042</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951715128"/>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US States</w:t>
            </w: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Indefinite</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4.3 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951715128"/>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Foreign</w:t>
            </w: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2023-2042</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951715128"/>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Foreign</w:t>
            </w: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Indefinite</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35.4 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951715128"/>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jc w:val="both"/>
        <w:divId w:val="1132556821"/>
        <w:rPr>
          <w:rFonts w:eastAsia="Times New Roman"/>
        </w:rPr>
      </w:pPr>
      <w:r>
        <w:rPr>
          <w:rFonts w:ascii="Arial" w:eastAsia="Times New Roman" w:hAnsi="Arial" w:cs="Arial"/>
          <w:color w:val="000000"/>
          <w:sz w:val="20"/>
          <w:szCs w:val="20"/>
        </w:rPr>
        <w:t>We assessed the available positive and negative evidence to estimate if sufficient future taxable income will be generated to use the existing deferred tax assets. On the basis of this evaluation, as of December 31, 2022, a valuation allowance of $26.1 mil</w:t>
      </w:r>
      <w:r>
        <w:rPr>
          <w:rFonts w:ascii="Arial" w:eastAsia="Times New Roman" w:hAnsi="Arial" w:cs="Arial"/>
          <w:color w:val="000000"/>
          <w:sz w:val="20"/>
          <w:szCs w:val="20"/>
        </w:rPr>
        <w:t>lion was recorded to recognize the deferred tax assets that are more likely than not to be realized, $17.5 million of which relates to the deferred tax asset for NOLs. The amount of the deferred tax asset considered realizable could be adjusted if estimate</w:t>
      </w:r>
      <w:r>
        <w:rPr>
          <w:rFonts w:ascii="Arial" w:eastAsia="Times New Roman" w:hAnsi="Arial" w:cs="Arial"/>
          <w:color w:val="000000"/>
          <w:sz w:val="20"/>
          <w:szCs w:val="20"/>
        </w:rPr>
        <w:t>s of future taxable income during the carryforward period change or if objective negative evidence in the form of cumulative losses is no longer present and additional weight may be given to subjective evidence such as growth projections.</w:t>
      </w:r>
    </w:p>
    <w:p w:rsidR="00000000" w:rsidRDefault="002223F7">
      <w:pPr>
        <w:jc w:val="both"/>
        <w:divId w:val="1250307279"/>
        <w:rPr>
          <w:rFonts w:eastAsia="Times New Roman"/>
        </w:rPr>
      </w:pPr>
      <w:r>
        <w:rPr>
          <w:rFonts w:ascii="Arial" w:eastAsia="Times New Roman" w:hAnsi="Arial" w:cs="Arial"/>
          <w:color w:val="000000"/>
          <w:sz w:val="20"/>
          <w:szCs w:val="20"/>
        </w:rPr>
        <w:t xml:space="preserve">We have operated </w:t>
      </w:r>
      <w:r>
        <w:rPr>
          <w:rFonts w:ascii="Arial" w:eastAsia="Times New Roman" w:hAnsi="Arial" w:cs="Arial"/>
          <w:color w:val="000000"/>
          <w:sz w:val="20"/>
          <w:szCs w:val="20"/>
        </w:rPr>
        <w:t>under a special income tax concession in Singapore since 2008, which is subject to renewal. Our current five-year income tax concession period ended on December 31, 2022 and was renewed for an additional five-year period beginning January 1, 2023. It remai</w:t>
      </w:r>
      <w:r>
        <w:rPr>
          <w:rFonts w:ascii="Arial" w:eastAsia="Times New Roman" w:hAnsi="Arial" w:cs="Arial"/>
          <w:color w:val="000000"/>
          <w:sz w:val="20"/>
          <w:szCs w:val="20"/>
        </w:rPr>
        <w:t>ns conditional upon our meeting certain employment and investment thresholds which, if not met in accordance with our agreement, may eliminate the benefit beginning with the first year in which the conditions are not satisfied. The income tax concession re</w:t>
      </w:r>
      <w:r>
        <w:rPr>
          <w:rFonts w:ascii="Arial" w:eastAsia="Times New Roman" w:hAnsi="Arial" w:cs="Arial"/>
          <w:color w:val="000000"/>
          <w:sz w:val="20"/>
          <w:szCs w:val="20"/>
        </w:rPr>
        <w:t xml:space="preserve">duces the income tax rate on qualified sales and derivative gains and losses. </w:t>
      </w:r>
    </w:p>
    <w:p w:rsidR="00000000" w:rsidRDefault="002223F7">
      <w:pPr>
        <w:jc w:val="both"/>
        <w:divId w:val="606737286"/>
        <w:rPr>
          <w:rFonts w:eastAsia="Times New Roman"/>
        </w:rPr>
      </w:pPr>
      <w:r>
        <w:rPr>
          <w:rFonts w:ascii="Arial" w:eastAsia="Times New Roman" w:hAnsi="Arial" w:cs="Arial"/>
          <w:color w:val="000000"/>
          <w:sz w:val="20"/>
          <w:szCs w:val="20"/>
        </w:rPr>
        <w:t>The increase (decrease) to our foreign income taxes from the Singapore tax concession was as follows (in millions, except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37"/>
        <w:gridCol w:w="4344"/>
        <w:gridCol w:w="36"/>
        <w:gridCol w:w="132"/>
        <w:gridCol w:w="1069"/>
        <w:gridCol w:w="36"/>
        <w:gridCol w:w="36"/>
        <w:gridCol w:w="36"/>
        <w:gridCol w:w="36"/>
        <w:gridCol w:w="132"/>
        <w:gridCol w:w="1049"/>
        <w:gridCol w:w="36"/>
        <w:gridCol w:w="36"/>
        <w:gridCol w:w="36"/>
        <w:gridCol w:w="36"/>
        <w:gridCol w:w="132"/>
        <w:gridCol w:w="1051"/>
        <w:gridCol w:w="36"/>
      </w:tblGrid>
      <w:tr w:rsidR="00000000">
        <w:trPr>
          <w:divId w:val="1689868220"/>
        </w:trPr>
        <w:tc>
          <w:tcPr>
            <w:tcW w:w="50" w:type="pct"/>
            <w:vAlign w:val="center"/>
            <w:hideMark/>
          </w:tcPr>
          <w:p w:rsidR="00000000" w:rsidRDefault="002223F7">
            <w:pPr>
              <w:jc w:val="both"/>
              <w:rPr>
                <w:rFonts w:eastAsia="Times New Roman"/>
              </w:rPr>
            </w:pPr>
          </w:p>
        </w:tc>
        <w:tc>
          <w:tcPr>
            <w:tcW w:w="264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6"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1689868220"/>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Year Ended December 31,</w:t>
            </w:r>
          </w:p>
        </w:tc>
      </w:tr>
      <w:tr w:rsidR="00000000">
        <w:trPr>
          <w:divId w:val="1689868220"/>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2020</w:t>
            </w:r>
          </w:p>
        </w:tc>
      </w:tr>
      <w:tr w:rsidR="00000000">
        <w:trPr>
          <w:divId w:val="168986822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Singapore tax concession impact on foreign income tax</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68986822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Impact on basic earnings per share</w:t>
            </w: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(0.05)</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(0.02)</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(0.04)</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68986822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Impact on diluted earnings per share</w:t>
            </w: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(0.05)</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(0.02)</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(0.04)</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divId w:val="1685743638"/>
        <w:rPr>
          <w:rFonts w:eastAsia="Times New Roman"/>
        </w:rPr>
      </w:pPr>
      <w:r>
        <w:rPr>
          <w:rFonts w:ascii="Arial" w:eastAsia="Times New Roman" w:hAnsi="Arial" w:cs="Arial"/>
          <w:b/>
          <w:bCs/>
          <w:color w:val="000000"/>
          <w:sz w:val="20"/>
          <w:szCs w:val="20"/>
        </w:rPr>
        <w:t>Income Tax Contingencies</w:t>
      </w:r>
    </w:p>
    <w:p w:rsidR="00000000" w:rsidRDefault="002223F7">
      <w:pPr>
        <w:jc w:val="both"/>
        <w:divId w:val="711155830"/>
        <w:rPr>
          <w:rFonts w:eastAsia="Times New Roman"/>
        </w:rPr>
      </w:pPr>
      <w:r>
        <w:rPr>
          <w:rFonts w:ascii="Arial" w:eastAsia="Times New Roman" w:hAnsi="Arial" w:cs="Arial"/>
          <w:color w:val="000000"/>
          <w:sz w:val="20"/>
          <w:szCs w:val="20"/>
        </w:rPr>
        <w:t>During the year ended December 31, 2022, we recorded a net decrease of Unrecognized Tax Liabilities of $7.0 million and a</w:t>
      </w:r>
      <w:r>
        <w:rPr>
          <w:rFonts w:ascii="Arial" w:eastAsia="Times New Roman" w:hAnsi="Arial" w:cs="Arial"/>
          <w:color w:val="000000"/>
          <w:sz w:val="20"/>
          <w:szCs w:val="20"/>
        </w:rPr>
        <w:t xml:space="preserve"> net decrease to Unrecognized Tax Assets of $5.6 million. In addition, during the year ended December 31, 2022, we recorded a decrease of $2.9 million to our Unrecognized Tax Liabilities related to a foreign currency translation gain, which is included in </w:t>
      </w:r>
      <w:r>
        <w:rPr>
          <w:rFonts w:ascii="Arial" w:eastAsia="Times New Roman" w:hAnsi="Arial" w:cs="Arial"/>
          <w:color w:val="000000"/>
          <w:sz w:val="20"/>
          <w:szCs w:val="20"/>
        </w:rPr>
        <w:t>Other income (expense), net, in the accompanying Consolidated Statements of Income and Comprehensive Income. As of December 31, 2022, our Unrecognized Tax Liabilities, including penalties and interest, were $93.5 million and our Unrecognized Tax Assets wer</w:t>
      </w:r>
      <w:r>
        <w:rPr>
          <w:rFonts w:ascii="Arial" w:eastAsia="Times New Roman" w:hAnsi="Arial" w:cs="Arial"/>
          <w:color w:val="000000"/>
          <w:sz w:val="20"/>
          <w:szCs w:val="20"/>
        </w:rPr>
        <w:t>e $18.2 million.</w:t>
      </w:r>
    </w:p>
    <w:p w:rsidR="00000000" w:rsidRDefault="002223F7">
      <w:pPr>
        <w:jc w:val="both"/>
        <w:divId w:val="593632163"/>
        <w:rPr>
          <w:rFonts w:eastAsia="Times New Roman"/>
        </w:rPr>
      </w:pPr>
      <w:r>
        <w:rPr>
          <w:rFonts w:ascii="Arial" w:eastAsia="Times New Roman" w:hAnsi="Arial" w:cs="Arial"/>
          <w:color w:val="000000"/>
          <w:sz w:val="20"/>
          <w:szCs w:val="20"/>
        </w:rPr>
        <w:t>During the year ended December 31, 2021, we recorded a net decrease of $3.1 million of liabilities related to Unrecognized Tax Liabilities and a net decrease of $1.6 million in assets related to Unrecognized Tax Assets. In addition, during</w:t>
      </w:r>
      <w:r>
        <w:rPr>
          <w:rFonts w:ascii="Arial" w:eastAsia="Times New Roman" w:hAnsi="Arial" w:cs="Arial"/>
          <w:color w:val="000000"/>
          <w:sz w:val="20"/>
          <w:szCs w:val="20"/>
        </w:rPr>
        <w:t xml:space="preserve"> the year ended December 31, 2021, we recorded a decrease of $3.8 million to our Unrecognized Tax Liabilities related to a foreign currency translation gain, which is included in Other income (expense), net, in the accompanying Consolidated Statements of I</w:t>
      </w:r>
      <w:r>
        <w:rPr>
          <w:rFonts w:ascii="Arial" w:eastAsia="Times New Roman" w:hAnsi="Arial" w:cs="Arial"/>
          <w:color w:val="000000"/>
          <w:sz w:val="20"/>
          <w:szCs w:val="20"/>
        </w:rPr>
        <w:t>ncome and Comprehensive Income. As of December 31, 2021, our Unrecognized Tax Liabilities, including penalties and interest, were $98.2 million and our Unrecognized Tax Assets were $23.9 million.</w:t>
      </w:r>
    </w:p>
    <w:p w:rsidR="00000000" w:rsidRDefault="002223F7">
      <w:pPr>
        <w:jc w:val="center"/>
        <w:divId w:val="1244602449"/>
        <w:rPr>
          <w:rFonts w:eastAsia="Times New Roman"/>
        </w:rPr>
      </w:pPr>
      <w:r>
        <w:rPr>
          <w:rFonts w:ascii="Arial" w:eastAsia="Times New Roman" w:hAnsi="Arial" w:cs="Arial"/>
          <w:color w:val="000000"/>
          <w:sz w:val="16"/>
          <w:szCs w:val="16"/>
        </w:rPr>
        <w:t>72</w:t>
      </w:r>
    </w:p>
    <w:p w:rsidR="00000000" w:rsidRDefault="002223F7">
      <w:pPr>
        <w:rPr>
          <w:rFonts w:eastAsia="Times New Roman"/>
        </w:rPr>
      </w:pPr>
      <w:r>
        <w:rPr>
          <w:rFonts w:eastAsia="Times New Roman"/>
        </w:rPr>
        <w:pict>
          <v:rect id="_x0000_i1103" style="width:0;height:1.5pt" o:hralign="center" o:hrstd="t" o:hr="t" fillcolor="#a0a0a0" stroked="f"/>
        </w:pict>
      </w:r>
    </w:p>
    <w:p w:rsidR="00000000" w:rsidRDefault="002223F7">
      <w:pPr>
        <w:jc w:val="both"/>
        <w:divId w:val="328367845"/>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673193189"/>
        <w:rPr>
          <w:rFonts w:eastAsia="Times New Roman"/>
        </w:rPr>
      </w:pPr>
      <w:r>
        <w:rPr>
          <w:rFonts w:ascii="Arial" w:eastAsia="Times New Roman" w:hAnsi="Arial" w:cs="Arial"/>
          <w:color w:val="000000"/>
          <w:sz w:val="20"/>
          <w:szCs w:val="20"/>
        </w:rPr>
        <w:t>The following is a tabular reconciliation of the total amounts of gross Unrecognized Tax Liabilities for the year (in millions):</w:t>
      </w:r>
    </w:p>
    <w:tbl>
      <w:tblPr>
        <w:tblW w:w="4978" w:type="pct"/>
        <w:tblCellMar>
          <w:top w:w="15" w:type="dxa"/>
          <w:left w:w="15" w:type="dxa"/>
          <w:bottom w:w="15" w:type="dxa"/>
          <w:right w:w="15" w:type="dxa"/>
        </w:tblCellMar>
        <w:tblLook w:val="04A0" w:firstRow="1" w:lastRow="0" w:firstColumn="1" w:lastColumn="0" w:noHBand="0" w:noVBand="1"/>
      </w:tblPr>
      <w:tblGrid>
        <w:gridCol w:w="37"/>
        <w:gridCol w:w="4610"/>
        <w:gridCol w:w="36"/>
        <w:gridCol w:w="132"/>
        <w:gridCol w:w="986"/>
        <w:gridCol w:w="36"/>
        <w:gridCol w:w="36"/>
        <w:gridCol w:w="36"/>
        <w:gridCol w:w="36"/>
        <w:gridCol w:w="132"/>
        <w:gridCol w:w="940"/>
        <w:gridCol w:w="36"/>
        <w:gridCol w:w="36"/>
        <w:gridCol w:w="36"/>
        <w:gridCol w:w="36"/>
        <w:gridCol w:w="132"/>
        <w:gridCol w:w="940"/>
        <w:gridCol w:w="36"/>
      </w:tblGrid>
      <w:tr w:rsidR="00000000">
        <w:trPr>
          <w:divId w:val="1485664191"/>
        </w:trPr>
        <w:tc>
          <w:tcPr>
            <w:tcW w:w="50" w:type="pct"/>
            <w:vAlign w:val="center"/>
            <w:hideMark/>
          </w:tcPr>
          <w:p w:rsidR="00000000" w:rsidRDefault="002223F7">
            <w:pPr>
              <w:jc w:val="both"/>
              <w:rPr>
                <w:rFonts w:eastAsia="Times New Roman"/>
              </w:rPr>
            </w:pPr>
          </w:p>
        </w:tc>
        <w:tc>
          <w:tcPr>
            <w:tcW w:w="2823"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2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26"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2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26"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2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1485664191"/>
        </w:trPr>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2020</w:t>
            </w:r>
          </w:p>
        </w:tc>
      </w:tr>
      <w:tr w:rsidR="00000000">
        <w:trPr>
          <w:divId w:val="1485664191"/>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Gross Unrecognized Tax Liabilities – opening balance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485664191"/>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Gross increases – tax positions in prior period</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485664191"/>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 xml:space="preserve">Gross decreases – </w:t>
            </w:r>
            <w:r>
              <w:rPr>
                <w:rFonts w:ascii="Arial" w:eastAsia="Times New Roman" w:hAnsi="Arial" w:cs="Arial"/>
                <w:color w:val="000000"/>
                <w:sz w:val="20"/>
                <w:szCs w:val="20"/>
              </w:rPr>
              <w:t>tax positions in prior period</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(8.0)</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(6.1)</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(0.5)</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485664191"/>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Gross increases – tax positions in current period</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12.3 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485664191"/>
        </w:trPr>
        <w:tc>
          <w:tcPr>
            <w:tcW w:w="0" w:type="auto"/>
            <w:gridSpan w:val="3"/>
            <w:vAlign w:val="center"/>
            <w:hideMark/>
          </w:tcPr>
          <w:p w:rsidR="00000000" w:rsidRDefault="002223F7">
            <w:pPr>
              <w:spacing w:after="100"/>
              <w:jc w:val="right"/>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1485664191"/>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Settlements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(0.1)</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485664191"/>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Payments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485664191"/>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Lapse of statute of limitations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(3.3)</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(2.9)</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(4.8)</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485664191"/>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Gross Unrecognized Tax Liabilities – ending balance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78.2 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jc w:val="both"/>
        <w:divId w:val="456994398"/>
        <w:rPr>
          <w:rFonts w:eastAsia="Times New Roman"/>
        </w:rPr>
      </w:pPr>
      <w:r>
        <w:rPr>
          <w:rFonts w:ascii="Arial" w:eastAsia="Times New Roman" w:hAnsi="Arial" w:cs="Arial"/>
          <w:color w:val="000000"/>
          <w:sz w:val="20"/>
          <w:szCs w:val="20"/>
        </w:rPr>
        <w:t>If our gross Unrecognized Tax Liabilities, net of our Unrecognized Tax Assets of $18.2 million, as of December </w:t>
      </w:r>
      <w:r>
        <w:rPr>
          <w:rFonts w:ascii="Arial" w:eastAsia="Times New Roman" w:hAnsi="Arial" w:cs="Arial"/>
          <w:color w:val="000000"/>
          <w:sz w:val="20"/>
          <w:szCs w:val="20"/>
        </w:rPr>
        <w:t>31, 2022, are settled by the taxing authorities in our favor or otherwise resolved, our income tax expense would be reduced by $49.8 million (exclusive of interest and penalties) in the period the matter is considered settled or resolved in accordance with</w:t>
      </w:r>
      <w:r>
        <w:rPr>
          <w:rFonts w:ascii="Arial" w:eastAsia="Times New Roman" w:hAnsi="Arial" w:cs="Arial"/>
          <w:color w:val="000000"/>
          <w:sz w:val="20"/>
          <w:szCs w:val="20"/>
        </w:rPr>
        <w:t xml:space="preserve"> ASC 740. This would have the impact of reducing our 2022 effective income tax rate by 34.2%. As of December 31, 2022, it is reasonably possible that approximately $4.0 million of our unrecognized income tax liabilities may decrease within the next twelve </w:t>
      </w:r>
      <w:r>
        <w:rPr>
          <w:rFonts w:ascii="Arial" w:eastAsia="Times New Roman" w:hAnsi="Arial" w:cs="Arial"/>
          <w:color w:val="000000"/>
          <w:sz w:val="20"/>
          <w:szCs w:val="20"/>
        </w:rPr>
        <w:t>months.</w:t>
      </w:r>
    </w:p>
    <w:p w:rsidR="00000000" w:rsidRDefault="002223F7">
      <w:pPr>
        <w:jc w:val="both"/>
        <w:divId w:val="1393500950"/>
        <w:rPr>
          <w:rFonts w:eastAsia="Times New Roman"/>
        </w:rPr>
      </w:pPr>
      <w:r>
        <w:rPr>
          <w:rFonts w:ascii="Arial" w:eastAsia="Times New Roman" w:hAnsi="Arial" w:cs="Arial"/>
          <w:color w:val="000000"/>
          <w:sz w:val="20"/>
          <w:szCs w:val="20"/>
        </w:rPr>
        <w:t>We record accrued interest and penalties related to unrecognized income tax benefits as income tax expense. Related to the uncertain income tax benefits noted above, for interest we recorded expense of $2.0 million, $2.6 million and $3.1 million du</w:t>
      </w:r>
      <w:r>
        <w:rPr>
          <w:rFonts w:ascii="Arial" w:eastAsia="Times New Roman" w:hAnsi="Arial" w:cs="Arial"/>
          <w:color w:val="000000"/>
          <w:sz w:val="20"/>
          <w:szCs w:val="20"/>
        </w:rPr>
        <w:t>ring the years ended December 31, 2022, 2021, and 2020, respectively. For penalties, we recorded expense of $0.3 million, income of $0.3 million, and expense of $0.2 million during the years ended December 31, 2022, 2021, and 2020, respectively. As of Dece</w:t>
      </w:r>
      <w:r>
        <w:rPr>
          <w:rFonts w:ascii="Arial" w:eastAsia="Times New Roman" w:hAnsi="Arial" w:cs="Arial"/>
          <w:color w:val="000000"/>
          <w:sz w:val="20"/>
          <w:szCs w:val="20"/>
        </w:rPr>
        <w:t>mber 31, 2022 and 2021, we had recognized liabilities of $20.8 million and $18.8 million for interest and $4.6 million and $4.3 million for penalties, respectively.</w:t>
      </w:r>
    </w:p>
    <w:p w:rsidR="00000000" w:rsidRDefault="002223F7">
      <w:pPr>
        <w:jc w:val="both"/>
        <w:divId w:val="316570926"/>
        <w:rPr>
          <w:rFonts w:eastAsia="Times New Roman"/>
        </w:rPr>
      </w:pPr>
      <w:r>
        <w:rPr>
          <w:rFonts w:ascii="Arial" w:eastAsia="Times New Roman" w:hAnsi="Arial" w:cs="Arial"/>
          <w:color w:val="000000"/>
          <w:sz w:val="20"/>
          <w:szCs w:val="20"/>
        </w:rPr>
        <w:t>We have various tax returns under examination both in the U.S. and foreign jurisdictions. T</w:t>
      </w:r>
      <w:r>
        <w:rPr>
          <w:rFonts w:ascii="Arial" w:eastAsia="Times New Roman" w:hAnsi="Arial" w:cs="Arial"/>
          <w:color w:val="000000"/>
          <w:sz w:val="20"/>
          <w:szCs w:val="20"/>
        </w:rPr>
        <w:t>he most material of these is in Denmark for the 2013 - 2019 tax year where one of our subsidiaries has been under audit since 2018. Through the year ended December 31, 2022, we have received final tax assessments for the 2013 and 2014 tax years that were i</w:t>
      </w:r>
      <w:r>
        <w:rPr>
          <w:rFonts w:ascii="Arial" w:eastAsia="Times New Roman" w:hAnsi="Arial" w:cs="Arial"/>
          <w:color w:val="000000"/>
          <w:sz w:val="20"/>
          <w:szCs w:val="20"/>
        </w:rPr>
        <w:t>mmaterial, a proposed tax assessment for the 2015 tax year of approximately $13.8 million (DKK 96.1 million), and proposed tax assessments for the 2016 and 2017 tax years of approximately $19.3 million (DKK 133.8 million) and $22.4 million (DKK 155.5 milli</w:t>
      </w:r>
      <w:r>
        <w:rPr>
          <w:rFonts w:ascii="Arial" w:eastAsia="Times New Roman" w:hAnsi="Arial" w:cs="Arial"/>
          <w:color w:val="000000"/>
          <w:sz w:val="20"/>
          <w:szCs w:val="20"/>
        </w:rPr>
        <w:t>on), respectively. We believe these assessments are without merit and are vigorously defending against the actions. We have not yet received any proposed assessments related to the 2018 - 2019 tax years, which could be materially larger than the previous a</w:t>
      </w:r>
      <w:r>
        <w:rPr>
          <w:rFonts w:ascii="Arial" w:eastAsia="Times New Roman" w:hAnsi="Arial" w:cs="Arial"/>
          <w:color w:val="000000"/>
          <w:sz w:val="20"/>
          <w:szCs w:val="20"/>
        </w:rPr>
        <w:t>ssessments if a similar methodology is applied.</w:t>
      </w:r>
    </w:p>
    <w:p w:rsidR="00000000" w:rsidRDefault="002223F7">
      <w:pPr>
        <w:jc w:val="both"/>
        <w:divId w:val="211160288"/>
        <w:rPr>
          <w:rFonts w:eastAsia="Times New Roman"/>
        </w:rPr>
      </w:pPr>
      <w:r>
        <w:rPr>
          <w:rFonts w:ascii="Arial" w:eastAsia="Times New Roman" w:hAnsi="Arial" w:cs="Arial"/>
          <w:color w:val="000000"/>
          <w:sz w:val="20"/>
          <w:szCs w:val="20"/>
        </w:rPr>
        <w:t>During the year ended December 31, 2022, we agreed to a settlement for the 2011 to 2014 tax years of the Korean branch of one of our subsidiaries for approximately $1.6 million (KRW 2.0 billion), including ta</w:t>
      </w:r>
      <w:r>
        <w:rPr>
          <w:rFonts w:ascii="Arial" w:eastAsia="Times New Roman" w:hAnsi="Arial" w:cs="Arial"/>
          <w:color w:val="000000"/>
          <w:sz w:val="20"/>
          <w:szCs w:val="20"/>
        </w:rPr>
        <w:t>x, interest, and penalties. The income tax examination for these years is now closed.</w:t>
      </w:r>
    </w:p>
    <w:p w:rsidR="00000000" w:rsidRDefault="002223F7">
      <w:pPr>
        <w:jc w:val="both"/>
        <w:divId w:val="1745104300"/>
        <w:rPr>
          <w:rFonts w:eastAsia="Times New Roman"/>
        </w:rPr>
      </w:pPr>
      <w:r>
        <w:rPr>
          <w:rFonts w:ascii="Arial" w:eastAsia="Times New Roman" w:hAnsi="Arial" w:cs="Arial"/>
          <w:color w:val="000000"/>
          <w:sz w:val="20"/>
          <w:szCs w:val="20"/>
        </w:rPr>
        <w:t>The U.S. IRS examination for our 2019 tax year was closed during the year ended December 31, 2022, without any adjustments. We have not yet received notification that the</w:t>
      </w:r>
      <w:r>
        <w:rPr>
          <w:rFonts w:ascii="Arial" w:eastAsia="Times New Roman" w:hAnsi="Arial" w:cs="Arial"/>
          <w:color w:val="000000"/>
          <w:sz w:val="20"/>
          <w:szCs w:val="20"/>
        </w:rPr>
        <w:t xml:space="preserve"> examinations of our 2017 and 2018 tax years are closed but do not anticipate any changes from what we agreed in 2022.</w:t>
      </w:r>
    </w:p>
    <w:p w:rsidR="00000000" w:rsidRDefault="002223F7">
      <w:pPr>
        <w:jc w:val="both"/>
        <w:divId w:val="730349393"/>
        <w:rPr>
          <w:rFonts w:eastAsia="Times New Roman"/>
        </w:rPr>
      </w:pPr>
      <w:r>
        <w:rPr>
          <w:rFonts w:ascii="Arial" w:eastAsia="Times New Roman" w:hAnsi="Arial" w:cs="Arial"/>
          <w:color w:val="000000"/>
          <w:sz w:val="20"/>
          <w:szCs w:val="20"/>
        </w:rPr>
        <w:t>An unfavorable resolution of one or more of the above matters could have a material adverse effect on our operating results or cash flows</w:t>
      </w:r>
      <w:r>
        <w:rPr>
          <w:rFonts w:ascii="Arial" w:eastAsia="Times New Roman" w:hAnsi="Arial" w:cs="Arial"/>
          <w:color w:val="000000"/>
          <w:sz w:val="20"/>
          <w:szCs w:val="20"/>
        </w:rPr>
        <w:t xml:space="preserve"> in the quarter or year in which the adjustments are recorded, or the tax is due or paid. As examinations are still in process or have not yet reached the final stages of the appeals process, the timing of the ultimate resolution or payments that may be re</w:t>
      </w:r>
      <w:r>
        <w:rPr>
          <w:rFonts w:ascii="Arial" w:eastAsia="Times New Roman" w:hAnsi="Arial" w:cs="Arial"/>
          <w:color w:val="000000"/>
          <w:sz w:val="20"/>
          <w:szCs w:val="20"/>
        </w:rPr>
        <w:t>quired cannot be determined at this time.</w:t>
      </w:r>
    </w:p>
    <w:p w:rsidR="00000000" w:rsidRDefault="002223F7">
      <w:pPr>
        <w:jc w:val="center"/>
        <w:divId w:val="511798604"/>
        <w:rPr>
          <w:rFonts w:eastAsia="Times New Roman"/>
        </w:rPr>
      </w:pPr>
      <w:r>
        <w:rPr>
          <w:rFonts w:ascii="Arial" w:eastAsia="Times New Roman" w:hAnsi="Arial" w:cs="Arial"/>
          <w:color w:val="000000"/>
          <w:sz w:val="16"/>
          <w:szCs w:val="16"/>
        </w:rPr>
        <w:t>73</w:t>
      </w:r>
    </w:p>
    <w:p w:rsidR="00000000" w:rsidRDefault="002223F7">
      <w:pPr>
        <w:rPr>
          <w:rFonts w:eastAsia="Times New Roman"/>
        </w:rPr>
      </w:pPr>
      <w:r>
        <w:rPr>
          <w:rFonts w:eastAsia="Times New Roman"/>
        </w:rPr>
        <w:pict>
          <v:rect id="_x0000_i1104" style="width:0;height:1.5pt" o:hralign="center" o:hrstd="t" o:hr="t" fillcolor="#a0a0a0" stroked="f"/>
        </w:pict>
      </w:r>
    </w:p>
    <w:p w:rsidR="00000000" w:rsidRDefault="002223F7">
      <w:pPr>
        <w:jc w:val="both"/>
        <w:divId w:val="1250695117"/>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1304584343"/>
        <w:rPr>
          <w:rFonts w:eastAsia="Times New Roman"/>
        </w:rPr>
      </w:pPr>
      <w:r>
        <w:rPr>
          <w:rFonts w:ascii="Arial" w:eastAsia="Times New Roman" w:hAnsi="Arial" w:cs="Arial"/>
          <w:color w:val="000000"/>
          <w:sz w:val="20"/>
          <w:szCs w:val="20"/>
        </w:rPr>
        <w:t>In many cases, our uncertain tax positio</w:t>
      </w:r>
      <w:r>
        <w:rPr>
          <w:rFonts w:ascii="Arial" w:eastAsia="Times New Roman" w:hAnsi="Arial" w:cs="Arial"/>
          <w:color w:val="000000"/>
          <w:sz w:val="20"/>
          <w:szCs w:val="20"/>
        </w:rPr>
        <w:t>ns are related to tax years that remain subject to examination by the relevant taxing authorities. The following table summarizes open tax years by major jurisdiction:</w:t>
      </w:r>
    </w:p>
    <w:tbl>
      <w:tblPr>
        <w:tblW w:w="5000" w:type="pct"/>
        <w:tblCellMar>
          <w:top w:w="15" w:type="dxa"/>
          <w:left w:w="15" w:type="dxa"/>
          <w:bottom w:w="15" w:type="dxa"/>
          <w:right w:w="15" w:type="dxa"/>
        </w:tblCellMar>
        <w:tblLook w:val="04A0" w:firstRow="1" w:lastRow="0" w:firstColumn="1" w:lastColumn="0" w:noHBand="0" w:noVBand="1"/>
      </w:tblPr>
      <w:tblGrid>
        <w:gridCol w:w="63"/>
        <w:gridCol w:w="4881"/>
        <w:gridCol w:w="36"/>
        <w:gridCol w:w="64"/>
        <w:gridCol w:w="1502"/>
        <w:gridCol w:w="37"/>
        <w:gridCol w:w="37"/>
        <w:gridCol w:w="48"/>
        <w:gridCol w:w="36"/>
        <w:gridCol w:w="64"/>
        <w:gridCol w:w="1502"/>
        <w:gridCol w:w="36"/>
      </w:tblGrid>
      <w:tr w:rsidR="00000000">
        <w:trPr>
          <w:divId w:val="2131121492"/>
        </w:trPr>
        <w:tc>
          <w:tcPr>
            <w:tcW w:w="50" w:type="pct"/>
            <w:vAlign w:val="center"/>
            <w:hideMark/>
          </w:tcPr>
          <w:p w:rsidR="00000000" w:rsidRDefault="002223F7">
            <w:pPr>
              <w:jc w:val="both"/>
              <w:rPr>
                <w:rFonts w:eastAsia="Times New Roman"/>
              </w:rPr>
            </w:pPr>
          </w:p>
        </w:tc>
        <w:tc>
          <w:tcPr>
            <w:tcW w:w="294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91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91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2131121492"/>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Open Tax Year</w:t>
            </w:r>
          </w:p>
        </w:tc>
      </w:tr>
      <w:tr w:rsidR="00000000">
        <w:trPr>
          <w:divId w:val="2131121492"/>
        </w:trPr>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20"/>
                <w:szCs w:val="20"/>
              </w:rPr>
              <w:t>Jurisdiction</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Examination</w:t>
            </w:r>
            <w:r>
              <w:rPr>
                <w:rFonts w:ascii="Arial" w:eastAsia="Times New Roman" w:hAnsi="Arial" w:cs="Arial"/>
                <w:b/>
                <w:bCs/>
                <w:color w:val="000000"/>
                <w:sz w:val="20"/>
                <w:szCs w:val="20"/>
              </w:rPr>
              <w:br/>
              <w:t>in progress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Examination not</w:t>
            </w:r>
            <w:r>
              <w:rPr>
                <w:rFonts w:ascii="Arial" w:eastAsia="Times New Roman" w:hAnsi="Arial" w:cs="Arial"/>
                <w:b/>
                <w:bCs/>
                <w:color w:val="000000"/>
                <w:sz w:val="20"/>
                <w:szCs w:val="20"/>
              </w:rPr>
              <w:br/>
              <w:t>yet initiated</w:t>
            </w:r>
          </w:p>
        </w:tc>
      </w:tr>
      <w:tr w:rsidR="00000000">
        <w:trPr>
          <w:divId w:val="2131121492"/>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Denmark</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2013 - 2019</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2020 - 2022</w:t>
            </w:r>
          </w:p>
        </w:tc>
      </w:tr>
      <w:tr w:rsidR="00000000">
        <w:trPr>
          <w:divId w:val="2131121492"/>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United States</w:t>
            </w: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None</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2020 - 2022</w:t>
            </w:r>
          </w:p>
        </w:tc>
      </w:tr>
      <w:tr w:rsidR="00000000">
        <w:trPr>
          <w:divId w:val="2131121492"/>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United Kingdom</w:t>
            </w: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None</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2020 - 2022</w:t>
            </w:r>
          </w:p>
        </w:tc>
      </w:tr>
      <w:tr w:rsidR="00000000">
        <w:trPr>
          <w:divId w:val="2131121492"/>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Singapore</w:t>
            </w: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None</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2018 - 2022</w:t>
            </w:r>
          </w:p>
        </w:tc>
      </w:tr>
      <w:tr w:rsidR="00000000">
        <w:trPr>
          <w:divId w:val="2131121492"/>
        </w:trPr>
        <w:tc>
          <w:tcPr>
            <w:tcW w:w="0" w:type="auto"/>
            <w:gridSpan w:val="3"/>
            <w:tcBorders>
              <w:top w:val="single" w:sz="8" w:space="0" w:color="D9D9D9"/>
            </w:tcBorders>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Other non-U.S.</w:t>
            </w:r>
          </w:p>
        </w:tc>
        <w:tc>
          <w:tcPr>
            <w:tcW w:w="0" w:type="auto"/>
            <w:gridSpan w:val="3"/>
            <w:tcBorders>
              <w:top w:val="single" w:sz="8" w:space="0" w:color="D9D9D9"/>
            </w:tcBorders>
            <w:shd w:val="clear" w:color="auto" w:fill="CCEEFF"/>
            <w:tcMar>
              <w:top w:w="30" w:type="dxa"/>
              <w:left w:w="20" w:type="dxa"/>
              <w:bottom w:w="30" w:type="dxa"/>
              <w:right w:w="2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None</w:t>
            </w:r>
          </w:p>
        </w:tc>
        <w:tc>
          <w:tcPr>
            <w:tcW w:w="0" w:type="auto"/>
            <w:gridSpan w:val="3"/>
            <w:tcBorders>
              <w:top w:val="single" w:sz="8" w:space="0" w:color="D9D9D9"/>
            </w:tcBorders>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rPr>
            </w:pPr>
          </w:p>
        </w:tc>
        <w:tc>
          <w:tcPr>
            <w:tcW w:w="0" w:type="auto"/>
            <w:gridSpan w:val="3"/>
            <w:tcBorders>
              <w:top w:val="single" w:sz="8" w:space="0" w:color="D9D9D9"/>
            </w:tcBorders>
            <w:shd w:val="clear" w:color="auto" w:fill="CCEEFF"/>
            <w:tcMar>
              <w:top w:w="30" w:type="dxa"/>
              <w:left w:w="20" w:type="dxa"/>
              <w:bottom w:w="30" w:type="dxa"/>
              <w:right w:w="2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2013 - 2022</w:t>
            </w:r>
          </w:p>
        </w:tc>
      </w:tr>
    </w:tbl>
    <w:p w:rsidR="00000000" w:rsidRDefault="002223F7">
      <w:pPr>
        <w:divId w:val="490760755"/>
        <w:rPr>
          <w:rFonts w:eastAsia="Times New Roman"/>
        </w:rPr>
      </w:pPr>
      <w:r>
        <w:rPr>
          <w:rFonts w:ascii="Arial" w:eastAsia="Times New Roman" w:hAnsi="Arial" w:cs="Arial"/>
          <w:b/>
          <w:bCs/>
          <w:color w:val="000000"/>
          <w:sz w:val="20"/>
          <w:szCs w:val="20"/>
        </w:rPr>
        <w:t>11. Commitments and Contingencies</w:t>
      </w:r>
    </w:p>
    <w:p w:rsidR="00000000" w:rsidRDefault="002223F7">
      <w:pPr>
        <w:divId w:val="1039476042"/>
        <w:rPr>
          <w:rFonts w:eastAsia="Times New Roman"/>
        </w:rPr>
      </w:pPr>
      <w:r>
        <w:rPr>
          <w:rFonts w:ascii="Arial" w:eastAsia="Times New Roman" w:hAnsi="Arial" w:cs="Arial"/>
          <w:b/>
          <w:bCs/>
          <w:color w:val="000000"/>
          <w:sz w:val="20"/>
          <w:szCs w:val="20"/>
        </w:rPr>
        <w:t>Surety Bonds</w:t>
      </w:r>
    </w:p>
    <w:p w:rsidR="00000000" w:rsidRDefault="002223F7">
      <w:pPr>
        <w:jc w:val="both"/>
        <w:divId w:val="238829672"/>
        <w:rPr>
          <w:rFonts w:eastAsia="Times New Roman"/>
        </w:rPr>
      </w:pPr>
      <w:r>
        <w:rPr>
          <w:rFonts w:ascii="Arial" w:eastAsia="Times New Roman" w:hAnsi="Arial" w:cs="Arial"/>
          <w:color w:val="000000"/>
          <w:sz w:val="20"/>
          <w:szCs w:val="20"/>
        </w:rPr>
        <w:t>In the normal course of business, we are required to post bid, performance and other surety-related bonds. The majority of the surety bonds posted relate to our aviation and land segments. We had outstanding b</w:t>
      </w:r>
      <w:r>
        <w:rPr>
          <w:rFonts w:ascii="Arial" w:eastAsia="Times New Roman" w:hAnsi="Arial" w:cs="Arial"/>
          <w:color w:val="000000"/>
          <w:sz w:val="20"/>
          <w:szCs w:val="20"/>
        </w:rPr>
        <w:t>onds that were executed in order to satisfy various security requirements of $59.7 million and $54.9 million as of December 31, 2022 and 2021, respectively.</w:t>
      </w:r>
    </w:p>
    <w:p w:rsidR="00000000" w:rsidRDefault="002223F7">
      <w:pPr>
        <w:divId w:val="2132361254"/>
        <w:rPr>
          <w:rFonts w:eastAsia="Times New Roman"/>
        </w:rPr>
      </w:pPr>
      <w:r>
        <w:rPr>
          <w:rFonts w:ascii="Arial" w:eastAsia="Times New Roman" w:hAnsi="Arial" w:cs="Arial"/>
          <w:b/>
          <w:bCs/>
          <w:color w:val="000000"/>
          <w:sz w:val="20"/>
          <w:szCs w:val="20"/>
        </w:rPr>
        <w:t>Sales and Purchase Commitments</w:t>
      </w:r>
    </w:p>
    <w:p w:rsidR="00000000" w:rsidRDefault="002223F7">
      <w:pPr>
        <w:jc w:val="both"/>
        <w:divId w:val="2049641190"/>
        <w:rPr>
          <w:rFonts w:eastAsia="Times New Roman"/>
        </w:rPr>
      </w:pPr>
      <w:r>
        <w:rPr>
          <w:rFonts w:ascii="Arial" w:eastAsia="Times New Roman" w:hAnsi="Arial" w:cs="Arial"/>
          <w:color w:val="000000"/>
          <w:sz w:val="20"/>
          <w:szCs w:val="20"/>
        </w:rPr>
        <w:t>As of December 31, 2022, the notional value associated with fixed sa</w:t>
      </w:r>
      <w:r>
        <w:rPr>
          <w:rFonts w:ascii="Arial" w:eastAsia="Times New Roman" w:hAnsi="Arial" w:cs="Arial"/>
          <w:color w:val="000000"/>
          <w:sz w:val="20"/>
          <w:szCs w:val="20"/>
        </w:rPr>
        <w:t>les and purchase commitments under our derivative programs amounted to $890.9 million and $123.8 million, respectively, with delivery dates from 2023 through 2028. Additionally, we have a fixed purchase contract that extends through 2026, under which we ag</w:t>
      </w:r>
      <w:r>
        <w:rPr>
          <w:rFonts w:ascii="Arial" w:eastAsia="Times New Roman" w:hAnsi="Arial" w:cs="Arial"/>
          <w:color w:val="000000"/>
          <w:sz w:val="20"/>
          <w:szCs w:val="20"/>
        </w:rPr>
        <w:t>reed to purchase annually between 1.9 million and 2.0 million barrels of aviation fuel at future market prices.</w:t>
      </w:r>
    </w:p>
    <w:p w:rsidR="00000000" w:rsidRDefault="002223F7">
      <w:pPr>
        <w:divId w:val="743991604"/>
        <w:rPr>
          <w:rFonts w:eastAsia="Times New Roman"/>
        </w:rPr>
      </w:pPr>
      <w:r>
        <w:rPr>
          <w:rFonts w:ascii="Arial" w:eastAsia="Times New Roman" w:hAnsi="Arial" w:cs="Arial"/>
          <w:b/>
          <w:bCs/>
          <w:color w:val="000000"/>
          <w:sz w:val="20"/>
          <w:szCs w:val="20"/>
        </w:rPr>
        <w:t>Deferred Compensation Plans</w:t>
      </w:r>
    </w:p>
    <w:p w:rsidR="00000000" w:rsidRDefault="002223F7">
      <w:pPr>
        <w:jc w:val="both"/>
        <w:divId w:val="218978391"/>
        <w:rPr>
          <w:rFonts w:eastAsia="Times New Roman"/>
        </w:rPr>
      </w:pPr>
      <w:r>
        <w:rPr>
          <w:rFonts w:ascii="Arial" w:eastAsia="Times New Roman" w:hAnsi="Arial" w:cs="Arial"/>
          <w:color w:val="000000"/>
          <w:sz w:val="20"/>
          <w:szCs w:val="20"/>
        </w:rPr>
        <w:t>We maintain a 401(k) defined contribution plan which covers all U.S. employees who meet minimum requirements and ele</w:t>
      </w:r>
      <w:r>
        <w:rPr>
          <w:rFonts w:ascii="Arial" w:eastAsia="Times New Roman" w:hAnsi="Arial" w:cs="Arial"/>
          <w:color w:val="000000"/>
          <w:sz w:val="20"/>
          <w:szCs w:val="20"/>
        </w:rPr>
        <w:t>ct to participate. We make a matching contribution of 50% for each 1% of the participants' contributions up to a maximum of 6% of the participants' contributions, subject to applicable IRS limits. Annual Company contributions are made at our sole discretio</w:t>
      </w:r>
      <w:r>
        <w:rPr>
          <w:rFonts w:ascii="Arial" w:eastAsia="Times New Roman" w:hAnsi="Arial" w:cs="Arial"/>
          <w:color w:val="000000"/>
          <w:sz w:val="20"/>
          <w:szCs w:val="20"/>
        </w:rPr>
        <w:t>n, as approved by the Compensation Committee. Additionally, certain of our foreign subsidiaries have defined contribution plans, which allow for voluntary contributions by the employees. In some cases, we make employer contributions on behalf of the employ</w:t>
      </w:r>
      <w:r>
        <w:rPr>
          <w:rFonts w:ascii="Arial" w:eastAsia="Times New Roman" w:hAnsi="Arial" w:cs="Arial"/>
          <w:color w:val="000000"/>
          <w:sz w:val="20"/>
          <w:szCs w:val="20"/>
        </w:rPr>
        <w:t>ees. The expenses for our contributions under these plans were not material during each of the years presented on the Consolidated Statements of Income and Comprehensive Income.</w:t>
      </w:r>
    </w:p>
    <w:p w:rsidR="00000000" w:rsidRDefault="002223F7">
      <w:pPr>
        <w:jc w:val="both"/>
        <w:divId w:val="503322901"/>
        <w:rPr>
          <w:rFonts w:eastAsia="Times New Roman"/>
        </w:rPr>
      </w:pPr>
      <w:r>
        <w:rPr>
          <w:rFonts w:ascii="Arial" w:eastAsia="Times New Roman" w:hAnsi="Arial" w:cs="Arial"/>
          <w:color w:val="000000"/>
          <w:sz w:val="20"/>
          <w:szCs w:val="20"/>
        </w:rPr>
        <w:t>We offer a non-qualified deferred compensation ("NQDC") plan to certain eligib</w:t>
      </w:r>
      <w:r>
        <w:rPr>
          <w:rFonts w:ascii="Arial" w:eastAsia="Times New Roman" w:hAnsi="Arial" w:cs="Arial"/>
          <w:color w:val="000000"/>
          <w:sz w:val="20"/>
          <w:szCs w:val="20"/>
        </w:rPr>
        <w:t>le employees, whereby the participants may defer a portion of their compensation. We do not match any participant deferrals under the NQDC plan. Participants can elect from a variety of investment choices for their deferred compensation and gains and losse</w:t>
      </w:r>
      <w:r>
        <w:rPr>
          <w:rFonts w:ascii="Arial" w:eastAsia="Times New Roman" w:hAnsi="Arial" w:cs="Arial"/>
          <w:color w:val="000000"/>
          <w:sz w:val="20"/>
          <w:szCs w:val="20"/>
        </w:rPr>
        <w:t>s on these investments are credited to their respective accounts. The deferred compensation payable amount under this NQDC plan is subject to the claims of our general creditors and was $14.0 million and $16.7 million as of December 31, 2022 and 2021, resp</w:t>
      </w:r>
      <w:r>
        <w:rPr>
          <w:rFonts w:ascii="Arial" w:eastAsia="Times New Roman" w:hAnsi="Arial" w:cs="Arial"/>
          <w:color w:val="000000"/>
          <w:sz w:val="20"/>
          <w:szCs w:val="20"/>
        </w:rPr>
        <w:t>ectively, which was principally included in Other long-term liabilities within our Consolidated Balance Sheets.</w:t>
      </w:r>
    </w:p>
    <w:p w:rsidR="00000000" w:rsidRDefault="002223F7">
      <w:pPr>
        <w:divId w:val="1301810255"/>
        <w:rPr>
          <w:rFonts w:eastAsia="Times New Roman"/>
        </w:rPr>
      </w:pPr>
      <w:r>
        <w:rPr>
          <w:rFonts w:ascii="Arial" w:eastAsia="Times New Roman" w:hAnsi="Arial" w:cs="Arial"/>
          <w:b/>
          <w:bCs/>
          <w:color w:val="000000"/>
          <w:sz w:val="20"/>
          <w:szCs w:val="20"/>
        </w:rPr>
        <w:t>Environmental and Other Liabilities; Uninsured Risks</w:t>
      </w:r>
    </w:p>
    <w:p w:rsidR="00000000" w:rsidRDefault="002223F7">
      <w:pPr>
        <w:jc w:val="both"/>
        <w:divId w:val="1283072484"/>
        <w:rPr>
          <w:rFonts w:eastAsia="Times New Roman"/>
        </w:rPr>
      </w:pPr>
      <w:r>
        <w:rPr>
          <w:rFonts w:ascii="Arial" w:eastAsia="Times New Roman" w:hAnsi="Arial" w:cs="Arial"/>
          <w:color w:val="000000"/>
          <w:sz w:val="20"/>
          <w:szCs w:val="20"/>
        </w:rPr>
        <w:t>Our business is subject to numerous federal, state, local and foreign environmental laws an</w:t>
      </w:r>
      <w:r>
        <w:rPr>
          <w:rFonts w:ascii="Arial" w:eastAsia="Times New Roman" w:hAnsi="Arial" w:cs="Arial"/>
          <w:color w:val="000000"/>
          <w:sz w:val="20"/>
          <w:szCs w:val="20"/>
        </w:rPr>
        <w:t>d regulations, including those relating to fuel storage and distribution, terminals, underground storage tanks, the release or discharge of regulated materials into the air, water and soil, the generation, storage, handling, use, transportation and disposa</w:t>
      </w:r>
      <w:r>
        <w:rPr>
          <w:rFonts w:ascii="Arial" w:eastAsia="Times New Roman" w:hAnsi="Arial" w:cs="Arial"/>
          <w:color w:val="000000"/>
          <w:sz w:val="20"/>
          <w:szCs w:val="20"/>
        </w:rPr>
        <w:t xml:space="preserve">l of hazardous materials, and the exposure of persons to regulated materials. A violation of, liability under, or noncompliance with these laws and regulations, or any future environmental law or regulation, could result in material liabilities, including </w:t>
      </w:r>
      <w:r>
        <w:rPr>
          <w:rFonts w:ascii="Arial" w:eastAsia="Times New Roman" w:hAnsi="Arial" w:cs="Arial"/>
          <w:color w:val="000000"/>
          <w:sz w:val="20"/>
          <w:szCs w:val="20"/>
        </w:rPr>
        <w:t>administrative, civil or criminal penalties, remediation costs as well as third-party damages. From time to time, we may be responsible for remediating contamination at properties we own or lease and can be entitled to reimbursement for certain of these co</w:t>
      </w:r>
      <w:r>
        <w:rPr>
          <w:rFonts w:ascii="Arial" w:eastAsia="Times New Roman" w:hAnsi="Arial" w:cs="Arial"/>
          <w:color w:val="000000"/>
          <w:sz w:val="20"/>
          <w:szCs w:val="20"/>
        </w:rPr>
        <w:t xml:space="preserve">sts from state trust funds, as well as various third-party contractual indemnities and insurance policies, subject to eligibility requirements, deductibles, and aggregate caps. Although we continuously review the adequacy of our insurance coverage, we may </w:t>
      </w:r>
      <w:r>
        <w:rPr>
          <w:rFonts w:ascii="Arial" w:eastAsia="Times New Roman" w:hAnsi="Arial" w:cs="Arial"/>
          <w:color w:val="000000"/>
          <w:sz w:val="20"/>
          <w:szCs w:val="20"/>
        </w:rPr>
        <w:t>lack adequate coverage for various risks, including environmental claims. If we are uninsured or under</w:t>
      </w:r>
      <w:r>
        <w:rPr>
          <w:rFonts w:ascii="Arial" w:eastAsia="Times New Roman" w:hAnsi="Arial" w:cs="Arial"/>
          <w:color w:val="000000"/>
          <w:sz w:val="20"/>
          <w:szCs w:val="20"/>
        </w:rPr>
        <w:noBreakHyphen/>
        <w:t>insured for a claim or claims of sufficient magnitude arising out of our activities, it will have a material adverse effect on our financial position, re</w:t>
      </w:r>
      <w:r>
        <w:rPr>
          <w:rFonts w:ascii="Arial" w:eastAsia="Times New Roman" w:hAnsi="Arial" w:cs="Arial"/>
          <w:color w:val="000000"/>
          <w:sz w:val="20"/>
          <w:szCs w:val="20"/>
        </w:rPr>
        <w:t>sults of operations and cash flows.</w:t>
      </w:r>
    </w:p>
    <w:p w:rsidR="00000000" w:rsidRDefault="002223F7">
      <w:pPr>
        <w:jc w:val="center"/>
        <w:divId w:val="1272779696"/>
        <w:rPr>
          <w:rFonts w:eastAsia="Times New Roman"/>
        </w:rPr>
      </w:pPr>
      <w:r>
        <w:rPr>
          <w:rFonts w:ascii="Arial" w:eastAsia="Times New Roman" w:hAnsi="Arial" w:cs="Arial"/>
          <w:color w:val="000000"/>
          <w:sz w:val="16"/>
          <w:szCs w:val="16"/>
        </w:rPr>
        <w:t>74</w:t>
      </w:r>
    </w:p>
    <w:p w:rsidR="00000000" w:rsidRDefault="002223F7">
      <w:pPr>
        <w:rPr>
          <w:rFonts w:eastAsia="Times New Roman"/>
        </w:rPr>
      </w:pPr>
      <w:r>
        <w:rPr>
          <w:rFonts w:eastAsia="Times New Roman"/>
        </w:rPr>
        <w:pict>
          <v:rect id="_x0000_i1105" style="width:0;height:1.5pt" o:hralign="center" o:hrstd="t" o:hr="t" fillcolor="#a0a0a0" stroked="f"/>
        </w:pict>
      </w:r>
    </w:p>
    <w:p w:rsidR="00000000" w:rsidRDefault="002223F7">
      <w:pPr>
        <w:jc w:val="both"/>
        <w:divId w:val="1461461326"/>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1684236209"/>
        <w:rPr>
          <w:rFonts w:eastAsia="Times New Roman"/>
        </w:rPr>
      </w:pPr>
      <w:r>
        <w:rPr>
          <w:rFonts w:ascii="Arial" w:eastAsia="Times New Roman" w:hAnsi="Arial" w:cs="Arial"/>
          <w:color w:val="000000"/>
          <w:sz w:val="20"/>
          <w:szCs w:val="20"/>
        </w:rPr>
        <w:t>We accrue for environmental assessment and remediation expenses when the future costs are probable and reasonably estimable. As of December 31, 2022 and 2021, accrued liabilities for remediation reserves were not material. It is not presently possible to e</w:t>
      </w:r>
      <w:r>
        <w:rPr>
          <w:rFonts w:ascii="Arial" w:eastAsia="Times New Roman" w:hAnsi="Arial" w:cs="Arial"/>
          <w:color w:val="000000"/>
          <w:sz w:val="20"/>
          <w:szCs w:val="20"/>
        </w:rPr>
        <w:t>stimate the ultimate amount of all remediation costs that might be incurred or the penalties that may be imposed.</w:t>
      </w:r>
    </w:p>
    <w:p w:rsidR="00000000" w:rsidRDefault="002223F7">
      <w:pPr>
        <w:divId w:val="370738131"/>
        <w:rPr>
          <w:rFonts w:eastAsia="Times New Roman"/>
        </w:rPr>
      </w:pPr>
      <w:r>
        <w:rPr>
          <w:rFonts w:ascii="Arial" w:eastAsia="Times New Roman" w:hAnsi="Arial" w:cs="Arial"/>
          <w:b/>
          <w:bCs/>
          <w:color w:val="000000"/>
          <w:sz w:val="20"/>
          <w:szCs w:val="20"/>
        </w:rPr>
        <w:t>Tax Matters</w:t>
      </w:r>
    </w:p>
    <w:p w:rsidR="00000000" w:rsidRDefault="002223F7">
      <w:pPr>
        <w:jc w:val="both"/>
        <w:divId w:val="735468214"/>
        <w:rPr>
          <w:rFonts w:eastAsia="Times New Roman"/>
        </w:rPr>
      </w:pPr>
      <w:r>
        <w:rPr>
          <w:rFonts w:ascii="Arial" w:eastAsia="Times New Roman" w:hAnsi="Arial" w:cs="Arial"/>
          <w:color w:val="000000"/>
          <w:sz w:val="20"/>
          <w:szCs w:val="20"/>
        </w:rPr>
        <w:t>From time to time, we are also under review by various domestic and foreign tax authorities regarding indirect tax matters and are involved in various challenges and litigation in a number of countries, including, in particular, South Korea and Brazil, whe</w:t>
      </w:r>
      <w:r>
        <w:rPr>
          <w:rFonts w:ascii="Arial" w:eastAsia="Times New Roman" w:hAnsi="Arial" w:cs="Arial"/>
          <w:color w:val="000000"/>
          <w:sz w:val="20"/>
          <w:szCs w:val="20"/>
        </w:rPr>
        <w:t>re the amounts in controversy may be material. During 2016 and 2017, the South Korean branch of one of our subsidiaries received assessments totaling approximately $27.2 million (KRW 34.3 billion) from the regional tax authorities of Seoul, South Korea. Th</w:t>
      </w:r>
      <w:r>
        <w:rPr>
          <w:rFonts w:ascii="Arial" w:eastAsia="Times New Roman" w:hAnsi="Arial" w:cs="Arial"/>
          <w:color w:val="000000"/>
          <w:sz w:val="20"/>
          <w:szCs w:val="20"/>
        </w:rPr>
        <w:t>e assessments primarily consist of fines and penalties for allegedly failing to issue Value Added Tax ("VAT") invoices and report certain transactions during the period 2011-2014. These assessments do not involve failure to pay or collect VAT. We believe t</w:t>
      </w:r>
      <w:r>
        <w:rPr>
          <w:rFonts w:ascii="Arial" w:eastAsia="Times New Roman" w:hAnsi="Arial" w:cs="Arial"/>
          <w:color w:val="000000"/>
          <w:sz w:val="20"/>
          <w:szCs w:val="20"/>
        </w:rPr>
        <w:t>hat these assessments are without merit and are currently appealing the actions.</w:t>
      </w:r>
    </w:p>
    <w:p w:rsidR="00000000" w:rsidRDefault="002223F7">
      <w:pPr>
        <w:jc w:val="both"/>
        <w:divId w:val="569654205"/>
        <w:rPr>
          <w:rFonts w:eastAsia="Times New Roman"/>
        </w:rPr>
      </w:pPr>
      <w:r>
        <w:rPr>
          <w:rFonts w:ascii="Arial" w:eastAsia="Times New Roman" w:hAnsi="Arial" w:cs="Arial"/>
          <w:color w:val="000000"/>
          <w:sz w:val="20"/>
          <w:szCs w:val="20"/>
        </w:rPr>
        <w:t xml:space="preserve">We are also involved in several tax disputes with federal, state and municipal tax authorities in Brazil, relating primarily to a VAT tax known as ICMS. These disputes are at </w:t>
      </w:r>
      <w:r>
        <w:rPr>
          <w:rFonts w:ascii="Arial" w:eastAsia="Times New Roman" w:hAnsi="Arial" w:cs="Arial"/>
          <w:color w:val="000000"/>
          <w:sz w:val="20"/>
          <w:szCs w:val="20"/>
        </w:rPr>
        <w:t>various stages of the legal process, including the administrative review phase and the collection action phase, and include assessments of fixed amounts of principal and penalties, plus interest. One of our Brazilian subsidiaries is currently contesting an</w:t>
      </w:r>
      <w:r>
        <w:rPr>
          <w:rFonts w:ascii="Arial" w:eastAsia="Times New Roman" w:hAnsi="Arial" w:cs="Arial"/>
          <w:color w:val="000000"/>
          <w:sz w:val="20"/>
          <w:szCs w:val="20"/>
        </w:rPr>
        <w:t xml:space="preserve"> assessment of approximately $12.0 million (BRL 62.9 million) from the Brazilian tax authorities relating to the ICMS rate used for certain transactions. The assessment primarily consists of interest and penalties. We believe that the assessment is without</w:t>
      </w:r>
      <w:r>
        <w:rPr>
          <w:rFonts w:ascii="Arial" w:eastAsia="Times New Roman" w:hAnsi="Arial" w:cs="Arial"/>
          <w:color w:val="000000"/>
          <w:sz w:val="20"/>
          <w:szCs w:val="20"/>
        </w:rPr>
        <w:t xml:space="preserve"> merit and are pursuing our remedies in the judicial court system.</w:t>
      </w:r>
    </w:p>
    <w:p w:rsidR="00000000" w:rsidRDefault="002223F7">
      <w:pPr>
        <w:jc w:val="both"/>
        <w:divId w:val="1628510100"/>
        <w:rPr>
          <w:rFonts w:eastAsia="Times New Roman"/>
        </w:rPr>
      </w:pPr>
      <w:r>
        <w:rPr>
          <w:rFonts w:ascii="Arial" w:eastAsia="Times New Roman" w:hAnsi="Arial" w:cs="Arial"/>
          <w:color w:val="000000"/>
          <w:sz w:val="20"/>
          <w:szCs w:val="20"/>
        </w:rPr>
        <w:t>When we deem it appropriate and the amounts are reasonably estimable, we establish reserves for potential adjustments to our provision for the accrual of indirect taxes that may result from</w:t>
      </w:r>
      <w:r>
        <w:rPr>
          <w:rFonts w:ascii="Arial" w:eastAsia="Times New Roman" w:hAnsi="Arial" w:cs="Arial"/>
          <w:color w:val="000000"/>
          <w:sz w:val="20"/>
          <w:szCs w:val="20"/>
        </w:rPr>
        <w:t xml:space="preserve"> examinations or other actions by tax authorities. If events occur which indicate payment of these amounts is unnecessary, the reversal of the liabilities will result in the recognition of benefits in the period we determine the liabilities are no longer n</w:t>
      </w:r>
      <w:r>
        <w:rPr>
          <w:rFonts w:ascii="Arial" w:eastAsia="Times New Roman" w:hAnsi="Arial" w:cs="Arial"/>
          <w:color w:val="000000"/>
          <w:sz w:val="20"/>
          <w:szCs w:val="20"/>
        </w:rPr>
        <w:t>ecessary. If our estimates of any of our federal, state, and foreign indirect tax liabilities are less than the ultimate assessment, it could result in a further charge to expense. Except with respect to the matters described above, we believe that the fin</w:t>
      </w:r>
      <w:r>
        <w:rPr>
          <w:rFonts w:ascii="Arial" w:eastAsia="Times New Roman" w:hAnsi="Arial" w:cs="Arial"/>
          <w:color w:val="000000"/>
          <w:sz w:val="20"/>
          <w:szCs w:val="20"/>
        </w:rPr>
        <w:t>al outcome of any pending examinations, agreements, administrative or judicial proceedings will not have a material effect on our results of operations or cash flows.</w:t>
      </w:r>
    </w:p>
    <w:p w:rsidR="00000000" w:rsidRDefault="002223F7">
      <w:pPr>
        <w:divId w:val="483622248"/>
        <w:rPr>
          <w:rFonts w:eastAsia="Times New Roman"/>
        </w:rPr>
      </w:pPr>
      <w:r>
        <w:rPr>
          <w:rFonts w:ascii="Arial" w:eastAsia="Times New Roman" w:hAnsi="Arial" w:cs="Arial"/>
          <w:b/>
          <w:bCs/>
          <w:color w:val="000000"/>
          <w:sz w:val="20"/>
          <w:szCs w:val="20"/>
        </w:rPr>
        <w:t>Other Matters</w:t>
      </w:r>
    </w:p>
    <w:p w:rsidR="00000000" w:rsidRDefault="002223F7">
      <w:pPr>
        <w:jc w:val="both"/>
        <w:divId w:val="966205359"/>
        <w:rPr>
          <w:rFonts w:eastAsia="Times New Roman"/>
        </w:rPr>
      </w:pPr>
      <w:r>
        <w:rPr>
          <w:rFonts w:ascii="Arial" w:eastAsia="Times New Roman" w:hAnsi="Arial" w:cs="Arial"/>
          <w:color w:val="000000"/>
          <w:sz w:val="20"/>
          <w:szCs w:val="20"/>
        </w:rPr>
        <w:t>In December 2021, judgments were entered against one of our subsidiaries in</w:t>
      </w:r>
      <w:r>
        <w:rPr>
          <w:rFonts w:ascii="Arial" w:eastAsia="Times New Roman" w:hAnsi="Arial" w:cs="Arial"/>
          <w:color w:val="000000"/>
          <w:sz w:val="20"/>
          <w:szCs w:val="20"/>
        </w:rPr>
        <w:t xml:space="preserve"> the Singapore High Court in companion actions filed by a financing bank of two of our subsidiary’s suppliers. Each of the claims arose out of a financing arrangement between our subsidiary's supplier and the bank. The resulting judgments, including princi</w:t>
      </w:r>
      <w:r>
        <w:rPr>
          <w:rFonts w:ascii="Arial" w:eastAsia="Times New Roman" w:hAnsi="Arial" w:cs="Arial"/>
          <w:color w:val="000000"/>
          <w:sz w:val="20"/>
          <w:szCs w:val="20"/>
        </w:rPr>
        <w:t>pal and interest, aggregated to approximately $33 million, which we paid to the bank pending the appeals of the Singapore court judgments. In January 2023, we entered into a settlement agreement with the bank pursuant to which the parties settled for appro</w:t>
      </w:r>
      <w:r>
        <w:rPr>
          <w:rFonts w:ascii="Arial" w:eastAsia="Times New Roman" w:hAnsi="Arial" w:cs="Arial"/>
          <w:color w:val="000000"/>
          <w:sz w:val="20"/>
          <w:szCs w:val="20"/>
        </w:rPr>
        <w:t>ximately $13 million. As a result, we recognized a loss of $6.5 million during the year ended December 31, 2022. Pursuant to the settlement, in the first quarter of 2023 we recovered approximately $20 million in funds we had previously paid to the bank. In</w:t>
      </w:r>
      <w:r>
        <w:rPr>
          <w:rFonts w:ascii="Arial" w:eastAsia="Times New Roman" w:hAnsi="Arial" w:cs="Arial"/>
          <w:color w:val="000000"/>
          <w:sz w:val="20"/>
          <w:szCs w:val="20"/>
        </w:rPr>
        <w:t xml:space="preserve"> connection with the settlement, we have withdrawn our appeals and the parties have exchanged full and final releases in respect of the matters.</w:t>
      </w:r>
    </w:p>
    <w:p w:rsidR="00000000" w:rsidRDefault="002223F7">
      <w:pPr>
        <w:jc w:val="both"/>
        <w:divId w:val="181863495"/>
        <w:rPr>
          <w:rFonts w:eastAsia="Times New Roman"/>
        </w:rPr>
      </w:pPr>
      <w:r>
        <w:rPr>
          <w:rFonts w:ascii="Arial" w:eastAsia="Times New Roman" w:hAnsi="Arial" w:cs="Arial"/>
          <w:color w:val="000000"/>
          <w:sz w:val="20"/>
          <w:szCs w:val="20"/>
        </w:rPr>
        <w:t>We are also a party to various claims, complaints and proceedings arising in the ordinary course of our busines</w:t>
      </w:r>
      <w:r>
        <w:rPr>
          <w:rFonts w:ascii="Arial" w:eastAsia="Times New Roman" w:hAnsi="Arial" w:cs="Arial"/>
          <w:color w:val="000000"/>
          <w:sz w:val="20"/>
          <w:szCs w:val="20"/>
        </w:rPr>
        <w:t>s including, but not limited to, environmental claims, commercial and governmental contract claims, such as property damage, demurrage, personal injury, billing and fuel quality claims, as well as bankruptcy preference claims and tax and administrative cla</w:t>
      </w:r>
      <w:r>
        <w:rPr>
          <w:rFonts w:ascii="Arial" w:eastAsia="Times New Roman" w:hAnsi="Arial" w:cs="Arial"/>
          <w:color w:val="000000"/>
          <w:sz w:val="20"/>
          <w:szCs w:val="20"/>
        </w:rPr>
        <w:t>ims.</w:t>
      </w:r>
    </w:p>
    <w:p w:rsidR="00000000" w:rsidRDefault="002223F7">
      <w:pPr>
        <w:jc w:val="both"/>
        <w:divId w:val="685862228"/>
        <w:rPr>
          <w:rFonts w:eastAsia="Times New Roman"/>
        </w:rPr>
      </w:pPr>
      <w:r>
        <w:rPr>
          <w:rFonts w:ascii="Arial" w:eastAsia="Times New Roman" w:hAnsi="Arial" w:cs="Arial"/>
          <w:color w:val="000000"/>
          <w:sz w:val="20"/>
          <w:szCs w:val="20"/>
        </w:rPr>
        <w:t>We have established loss provisions for matters in which losses are probable and can be reasonably estimated. As of December 31, 2022, these reserves were not material. For those matters where a reserve has not been established and for which we believ</w:t>
      </w:r>
      <w:r>
        <w:rPr>
          <w:rFonts w:ascii="Arial" w:eastAsia="Times New Roman" w:hAnsi="Arial" w:cs="Arial"/>
          <w:color w:val="000000"/>
          <w:sz w:val="20"/>
          <w:szCs w:val="20"/>
        </w:rPr>
        <w:t xml:space="preserve">e a loss is reasonably possible, we believe that such losses will not have a material adverse effect on our Consolidated Financial Statements. However, any adverse resolution of one or more such claims, complaints or proceedings during a particular period </w:t>
      </w:r>
      <w:r>
        <w:rPr>
          <w:rFonts w:ascii="Arial" w:eastAsia="Times New Roman" w:hAnsi="Arial" w:cs="Arial"/>
          <w:color w:val="000000"/>
          <w:sz w:val="20"/>
          <w:szCs w:val="20"/>
        </w:rPr>
        <w:t>could have a material adverse effect on our Consolidated Financial Statements or disclosures for that period.</w:t>
      </w:r>
    </w:p>
    <w:p w:rsidR="00000000" w:rsidRDefault="002223F7">
      <w:pPr>
        <w:jc w:val="both"/>
        <w:divId w:val="1358968828"/>
        <w:rPr>
          <w:rFonts w:eastAsia="Times New Roman"/>
        </w:rPr>
      </w:pPr>
      <w:r>
        <w:rPr>
          <w:rFonts w:ascii="Arial" w:eastAsia="Times New Roman" w:hAnsi="Arial" w:cs="Arial"/>
          <w:color w:val="000000"/>
          <w:sz w:val="20"/>
          <w:szCs w:val="20"/>
        </w:rPr>
        <w:t>Our estimates regarding potential losses and materiality are based on our judgment and assessment of the claims utilizing currently available info</w:t>
      </w:r>
      <w:r>
        <w:rPr>
          <w:rFonts w:ascii="Arial" w:eastAsia="Times New Roman" w:hAnsi="Arial" w:cs="Arial"/>
          <w:color w:val="000000"/>
          <w:sz w:val="20"/>
          <w:szCs w:val="20"/>
        </w:rPr>
        <w:t>rmation. Although we will continue to reassess our reserves and estimates based on future developments, our objective assessment of the legal merits of such claims may not always be predictive of the outcome and actual results may vary from our current est</w:t>
      </w:r>
      <w:r>
        <w:rPr>
          <w:rFonts w:ascii="Arial" w:eastAsia="Times New Roman" w:hAnsi="Arial" w:cs="Arial"/>
          <w:color w:val="000000"/>
          <w:sz w:val="20"/>
          <w:szCs w:val="20"/>
        </w:rPr>
        <w:t>imates.</w:t>
      </w:r>
    </w:p>
    <w:p w:rsidR="00000000" w:rsidRDefault="002223F7">
      <w:pPr>
        <w:jc w:val="center"/>
        <w:divId w:val="1417941819"/>
        <w:rPr>
          <w:rFonts w:eastAsia="Times New Roman"/>
        </w:rPr>
      </w:pPr>
      <w:r>
        <w:rPr>
          <w:rFonts w:ascii="Arial" w:eastAsia="Times New Roman" w:hAnsi="Arial" w:cs="Arial"/>
          <w:color w:val="000000"/>
          <w:sz w:val="16"/>
          <w:szCs w:val="16"/>
        </w:rPr>
        <w:t>75</w:t>
      </w:r>
    </w:p>
    <w:p w:rsidR="00000000" w:rsidRDefault="002223F7">
      <w:pPr>
        <w:rPr>
          <w:rFonts w:eastAsia="Times New Roman"/>
        </w:rPr>
      </w:pPr>
      <w:r>
        <w:rPr>
          <w:rFonts w:eastAsia="Times New Roman"/>
        </w:rPr>
        <w:pict>
          <v:rect id="_x0000_i1106" style="width:0;height:1.5pt" o:hralign="center" o:hrstd="t" o:hr="t" fillcolor="#a0a0a0" stroked="f"/>
        </w:pict>
      </w:r>
    </w:p>
    <w:p w:rsidR="00000000" w:rsidRDefault="002223F7">
      <w:pPr>
        <w:jc w:val="both"/>
        <w:divId w:val="346685687"/>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divId w:val="693189460"/>
        <w:rPr>
          <w:rFonts w:eastAsia="Times New Roman"/>
        </w:rPr>
      </w:pPr>
      <w:r>
        <w:rPr>
          <w:rFonts w:ascii="Arial" w:eastAsia="Times New Roman" w:hAnsi="Arial" w:cs="Arial"/>
          <w:b/>
          <w:bCs/>
          <w:color w:val="000000"/>
          <w:sz w:val="20"/>
          <w:szCs w:val="20"/>
        </w:rPr>
        <w:t>12. Shareholders' Equity</w:t>
      </w:r>
    </w:p>
    <w:p w:rsidR="00000000" w:rsidRDefault="002223F7">
      <w:pPr>
        <w:divId w:val="581181272"/>
        <w:rPr>
          <w:rFonts w:eastAsia="Times New Roman"/>
        </w:rPr>
      </w:pPr>
      <w:r>
        <w:rPr>
          <w:rFonts w:ascii="Arial" w:eastAsia="Times New Roman" w:hAnsi="Arial" w:cs="Arial"/>
          <w:b/>
          <w:bCs/>
          <w:color w:val="000000"/>
          <w:sz w:val="20"/>
          <w:szCs w:val="20"/>
        </w:rPr>
        <w:t>Cash Dividends</w:t>
      </w:r>
    </w:p>
    <w:p w:rsidR="00000000" w:rsidRDefault="002223F7">
      <w:pPr>
        <w:jc w:val="both"/>
        <w:divId w:val="50153087"/>
        <w:rPr>
          <w:rFonts w:eastAsia="Times New Roman"/>
        </w:rPr>
      </w:pPr>
      <w:r>
        <w:rPr>
          <w:rFonts w:ascii="Arial" w:eastAsia="Times New Roman" w:hAnsi="Arial" w:cs="Arial"/>
          <w:color w:val="000000"/>
          <w:sz w:val="20"/>
          <w:szCs w:val="20"/>
        </w:rPr>
        <w:t>During the years ended December 31, 2022, 2021 and 2020, the Company's Board of Directors declared aggregate cash dividends of $0.52, $0.48, and $0.40 per common share, representing $32.2 million, $30.0 million, and $25.5 million in total dividends, respec</w:t>
      </w:r>
      <w:r>
        <w:rPr>
          <w:rFonts w:ascii="Arial" w:eastAsia="Times New Roman" w:hAnsi="Arial" w:cs="Arial"/>
          <w:color w:val="000000"/>
          <w:sz w:val="20"/>
          <w:szCs w:val="20"/>
        </w:rPr>
        <w:t>tively. Cash dividends declared, but not yet paid, were $8.6 million, $7.4 million and $6.3 million as of December 31, 2022, 2021 and 2020, respectively.</w:t>
      </w:r>
    </w:p>
    <w:p w:rsidR="00000000" w:rsidRDefault="002223F7">
      <w:pPr>
        <w:jc w:val="both"/>
        <w:divId w:val="198014320"/>
        <w:rPr>
          <w:rFonts w:eastAsia="Times New Roman"/>
        </w:rPr>
      </w:pPr>
      <w:r>
        <w:rPr>
          <w:rFonts w:ascii="Arial" w:eastAsia="Times New Roman" w:hAnsi="Arial" w:cs="Arial"/>
          <w:color w:val="000000"/>
          <w:sz w:val="20"/>
          <w:szCs w:val="20"/>
        </w:rPr>
        <w:t xml:space="preserve">The payments associated with the above referenced cash dividends were in compliance with restrictions </w:t>
      </w:r>
      <w:r>
        <w:rPr>
          <w:rFonts w:ascii="Arial" w:eastAsia="Times New Roman" w:hAnsi="Arial" w:cs="Arial"/>
          <w:color w:val="000000"/>
          <w:sz w:val="20"/>
          <w:szCs w:val="20"/>
        </w:rPr>
        <w:t>regarding the maximum amount of cash dividends allowed to be paid under our Credit Agreement.</w:t>
      </w:r>
    </w:p>
    <w:p w:rsidR="00000000" w:rsidRDefault="002223F7">
      <w:pPr>
        <w:divId w:val="1950316203"/>
        <w:rPr>
          <w:rFonts w:eastAsia="Times New Roman"/>
        </w:rPr>
      </w:pPr>
      <w:r>
        <w:rPr>
          <w:rFonts w:ascii="Arial" w:eastAsia="Times New Roman" w:hAnsi="Arial" w:cs="Arial"/>
          <w:b/>
          <w:bCs/>
          <w:color w:val="000000"/>
          <w:sz w:val="20"/>
          <w:szCs w:val="20"/>
        </w:rPr>
        <w:t>Stock Repurchase Programs</w:t>
      </w:r>
    </w:p>
    <w:p w:rsidR="00000000" w:rsidRDefault="002223F7">
      <w:pPr>
        <w:jc w:val="both"/>
        <w:divId w:val="569971576"/>
        <w:rPr>
          <w:rFonts w:eastAsia="Times New Roman"/>
        </w:rPr>
      </w:pPr>
      <w:r>
        <w:rPr>
          <w:rFonts w:ascii="Arial" w:eastAsia="Times New Roman" w:hAnsi="Arial" w:cs="Arial"/>
          <w:color w:val="000000"/>
          <w:sz w:val="20"/>
          <w:szCs w:val="20"/>
        </w:rPr>
        <w:t>In March 2020, the Board approved a stock repurchase program authorizing $200.0 million in common stock repurchases (the "2020 Repurchas</w:t>
      </w:r>
      <w:r>
        <w:rPr>
          <w:rFonts w:ascii="Arial" w:eastAsia="Times New Roman" w:hAnsi="Arial" w:cs="Arial"/>
          <w:color w:val="000000"/>
          <w:sz w:val="20"/>
          <w:szCs w:val="20"/>
        </w:rPr>
        <w:t>e Program"). Our repurchase program does not require a minimum number of shares of common stock to be purchased, has no expiration date, and repurchases may be suspended or discontinued at any time. As of December 31, 2022, approximately $147.1 million rem</w:t>
      </w:r>
      <w:r>
        <w:rPr>
          <w:rFonts w:ascii="Arial" w:eastAsia="Times New Roman" w:hAnsi="Arial" w:cs="Arial"/>
          <w:color w:val="000000"/>
          <w:sz w:val="20"/>
          <w:szCs w:val="20"/>
        </w:rPr>
        <w:t>ains available for purchase under the 2020 Repurchase Program. The timing and amount of shares of common stock to be repurchased under the 2020 Repurchase Program will depend on market conditions, share price, securities law and other legal requirements an</w:t>
      </w:r>
      <w:r>
        <w:rPr>
          <w:rFonts w:ascii="Arial" w:eastAsia="Times New Roman" w:hAnsi="Arial" w:cs="Arial"/>
          <w:color w:val="000000"/>
          <w:sz w:val="20"/>
          <w:szCs w:val="20"/>
        </w:rPr>
        <w:t>d factors.</w:t>
      </w:r>
    </w:p>
    <w:p w:rsidR="00000000" w:rsidRDefault="002223F7">
      <w:pPr>
        <w:jc w:val="both"/>
        <w:divId w:val="2116171407"/>
        <w:rPr>
          <w:rFonts w:eastAsia="Times New Roman"/>
        </w:rPr>
      </w:pPr>
      <w:r>
        <w:rPr>
          <w:rFonts w:ascii="Arial" w:eastAsia="Times New Roman" w:hAnsi="Arial" w:cs="Arial"/>
          <w:color w:val="000000"/>
          <w:sz w:val="20"/>
          <w:szCs w:val="20"/>
        </w:rPr>
        <w:t>During the years ended December 31, 2022, 2021, and 2020, we repurchased 2.0 million, 1.7 million, and 2.6 million shares of common stock for an aggregate value of $48.7 million, $50.5 million, and $68.3 million, respectively.</w:t>
      </w:r>
    </w:p>
    <w:p w:rsidR="00000000" w:rsidRDefault="002223F7">
      <w:pPr>
        <w:divId w:val="806750163"/>
        <w:rPr>
          <w:rFonts w:eastAsia="Times New Roman"/>
        </w:rPr>
      </w:pPr>
      <w:r>
        <w:rPr>
          <w:rFonts w:ascii="Arial" w:eastAsia="Times New Roman" w:hAnsi="Arial" w:cs="Arial"/>
          <w:b/>
          <w:bCs/>
          <w:color w:val="000000"/>
          <w:sz w:val="20"/>
          <w:szCs w:val="20"/>
        </w:rPr>
        <w:t>Share-Based Paymen</w:t>
      </w:r>
      <w:r>
        <w:rPr>
          <w:rFonts w:ascii="Arial" w:eastAsia="Times New Roman" w:hAnsi="Arial" w:cs="Arial"/>
          <w:b/>
          <w:bCs/>
          <w:color w:val="000000"/>
          <w:sz w:val="20"/>
          <w:szCs w:val="20"/>
        </w:rPr>
        <w:t>t Plans</w:t>
      </w:r>
    </w:p>
    <w:p w:rsidR="00000000" w:rsidRDefault="002223F7">
      <w:pPr>
        <w:divId w:val="832836418"/>
        <w:rPr>
          <w:rFonts w:eastAsia="Times New Roman"/>
        </w:rPr>
      </w:pPr>
      <w:r>
        <w:rPr>
          <w:rFonts w:ascii="Arial" w:eastAsia="Times New Roman" w:hAnsi="Arial" w:cs="Arial"/>
          <w:color w:val="000000"/>
          <w:sz w:val="20"/>
          <w:szCs w:val="20"/>
          <w:u w:val="single"/>
        </w:rPr>
        <w:t>Plan Summary and Description</w:t>
      </w:r>
    </w:p>
    <w:p w:rsidR="00000000" w:rsidRDefault="002223F7">
      <w:pPr>
        <w:jc w:val="both"/>
        <w:divId w:val="1651788567"/>
        <w:rPr>
          <w:rFonts w:eastAsia="Times New Roman"/>
        </w:rPr>
      </w:pPr>
      <w:r>
        <w:rPr>
          <w:rFonts w:ascii="Arial" w:eastAsia="Times New Roman" w:hAnsi="Arial" w:cs="Arial"/>
          <w:color w:val="000000"/>
          <w:sz w:val="20"/>
          <w:szCs w:val="20"/>
        </w:rPr>
        <w:t>In May 2021, our shareholders approved the 2021 Omnibus Plan (the "2021 Plan"), which replaced our previously adopted 2020 Omnibus Plan (the "2020 Plan"). The 2021 Plan is administered by the Compensation Committee of t</w:t>
      </w:r>
      <w:r>
        <w:rPr>
          <w:rFonts w:ascii="Arial" w:eastAsia="Times New Roman" w:hAnsi="Arial" w:cs="Arial"/>
          <w:color w:val="000000"/>
          <w:sz w:val="20"/>
          <w:szCs w:val="20"/>
        </w:rPr>
        <w:t>he Board of Directors (the "Compensation Committee"). The purpose of the 2021 Plan is to (i) attract and retain persons eligible to participate in the 2021 Plan; (ii) motivate participants, by means of appropriate incentives, to achieve long-range goals; (</w:t>
      </w:r>
      <w:r>
        <w:rPr>
          <w:rFonts w:ascii="Arial" w:eastAsia="Times New Roman" w:hAnsi="Arial" w:cs="Arial"/>
          <w:color w:val="000000"/>
          <w:sz w:val="20"/>
          <w:szCs w:val="20"/>
        </w:rPr>
        <w:t xml:space="preserve">iii) provide incentive compensation opportunities that are competitive with those of other similar companies; and (iv) further align participants’ interests with those of our other shareholders through compensation that is based on the value of our common </w:t>
      </w:r>
      <w:r>
        <w:rPr>
          <w:rFonts w:ascii="Arial" w:eastAsia="Times New Roman" w:hAnsi="Arial" w:cs="Arial"/>
          <w:color w:val="000000"/>
          <w:sz w:val="20"/>
          <w:szCs w:val="20"/>
        </w:rPr>
        <w:t>stock. The goal is to promote the long-term financial interest of World Fuel and its subsidiaries, including the growth in value of our equity and enhancement of long-term shareholder return. The persons eligible to receive awards under the 2021 Plan are o</w:t>
      </w:r>
      <w:r>
        <w:rPr>
          <w:rFonts w:ascii="Arial" w:eastAsia="Times New Roman" w:hAnsi="Arial" w:cs="Arial"/>
          <w:color w:val="000000"/>
          <w:sz w:val="20"/>
          <w:szCs w:val="20"/>
        </w:rPr>
        <w:t>ur employees, officers, and members of the Board of Directors, or any consultant or other person who performs services for us.</w:t>
      </w:r>
    </w:p>
    <w:p w:rsidR="00000000" w:rsidRDefault="002223F7">
      <w:pPr>
        <w:jc w:val="both"/>
        <w:divId w:val="1161894162"/>
        <w:rPr>
          <w:rFonts w:eastAsia="Times New Roman"/>
        </w:rPr>
      </w:pPr>
      <w:r>
        <w:rPr>
          <w:rFonts w:ascii="Arial" w:eastAsia="Times New Roman" w:hAnsi="Arial" w:cs="Arial"/>
          <w:color w:val="000000"/>
          <w:sz w:val="20"/>
          <w:szCs w:val="20"/>
        </w:rPr>
        <w:t>The provisions of the 2021 Plan authorize the grant of stock options which can be "qualified" or "nonqualified" under the Interna</w:t>
      </w:r>
      <w:r>
        <w:rPr>
          <w:rFonts w:ascii="Arial" w:eastAsia="Times New Roman" w:hAnsi="Arial" w:cs="Arial"/>
          <w:color w:val="000000"/>
          <w:sz w:val="20"/>
          <w:szCs w:val="20"/>
        </w:rPr>
        <w:t>l Revenue Code of 1986, as amended, restricted stock, RSUs, SSAR Awards, performance shares and performance units and other share-based awards. The 2021 Plan is unlimited in duration and, in the event of its termination, the 2021 Plan will remain in effect</w:t>
      </w:r>
      <w:r>
        <w:rPr>
          <w:rFonts w:ascii="Arial" w:eastAsia="Times New Roman" w:hAnsi="Arial" w:cs="Arial"/>
          <w:color w:val="000000"/>
          <w:sz w:val="20"/>
          <w:szCs w:val="20"/>
        </w:rPr>
        <w:t xml:space="preserve"> as long as any awards granted under it remain outstanding. No awards may be granted under the 2021 Plan after May 2031. The term and vesting period of awards granted under the 2021 Plan are established on a per grant basis, but options and SSAR Awards may</w:t>
      </w:r>
      <w:r>
        <w:rPr>
          <w:rFonts w:ascii="Arial" w:eastAsia="Times New Roman" w:hAnsi="Arial" w:cs="Arial"/>
          <w:color w:val="000000"/>
          <w:sz w:val="20"/>
          <w:szCs w:val="20"/>
        </w:rPr>
        <w:t xml:space="preserve"> not remain exercisable after the seven-year anniversary of the date of grant.</w:t>
      </w:r>
    </w:p>
    <w:p w:rsidR="00000000" w:rsidRDefault="002223F7">
      <w:pPr>
        <w:jc w:val="both"/>
        <w:divId w:val="1510826992"/>
        <w:rPr>
          <w:rFonts w:eastAsia="Times New Roman"/>
        </w:rPr>
      </w:pPr>
      <w:r>
        <w:rPr>
          <w:rFonts w:ascii="Arial" w:eastAsia="Times New Roman" w:hAnsi="Arial" w:cs="Arial"/>
          <w:color w:val="000000"/>
          <w:sz w:val="20"/>
          <w:szCs w:val="20"/>
        </w:rPr>
        <w:t>Under the 2021 Plan, 2.9 million shares of common stock were authorized for issuance in addition to any shares of common stock with respect to awards that were granted under the</w:t>
      </w:r>
      <w:r>
        <w:rPr>
          <w:rFonts w:ascii="Arial" w:eastAsia="Times New Roman" w:hAnsi="Arial" w:cs="Arial"/>
          <w:color w:val="000000"/>
          <w:sz w:val="20"/>
          <w:szCs w:val="20"/>
        </w:rPr>
        <w:t xml:space="preserve"> prior plans (2020, 2016, and 2006) but are forfeited or canceled (e.g., due to the recipient's failure to satisfy applicable service or performance conditions) after May 2021. As of December 31, 2022, approximately 3.5 million shares of common stock were </w:t>
      </w:r>
      <w:r>
        <w:rPr>
          <w:rFonts w:ascii="Arial" w:eastAsia="Times New Roman" w:hAnsi="Arial" w:cs="Arial"/>
          <w:color w:val="000000"/>
          <w:sz w:val="20"/>
          <w:szCs w:val="20"/>
        </w:rPr>
        <w:t>subject to outstanding awards under the 2021, 2020, 2016, and 2006 Plans (assuming maximum achievement of performance goals for restricted stock and target achievement of performance goals for RSUs, where applicable).</w:t>
      </w:r>
    </w:p>
    <w:p w:rsidR="00000000" w:rsidRDefault="002223F7">
      <w:pPr>
        <w:jc w:val="center"/>
        <w:divId w:val="645084293"/>
        <w:rPr>
          <w:rFonts w:eastAsia="Times New Roman"/>
        </w:rPr>
      </w:pPr>
      <w:r>
        <w:rPr>
          <w:rFonts w:ascii="Arial" w:eastAsia="Times New Roman" w:hAnsi="Arial" w:cs="Arial"/>
          <w:color w:val="000000"/>
          <w:sz w:val="16"/>
          <w:szCs w:val="16"/>
        </w:rPr>
        <w:t>76</w:t>
      </w:r>
    </w:p>
    <w:p w:rsidR="00000000" w:rsidRDefault="002223F7">
      <w:pPr>
        <w:rPr>
          <w:rFonts w:eastAsia="Times New Roman"/>
        </w:rPr>
      </w:pPr>
      <w:r>
        <w:rPr>
          <w:rFonts w:eastAsia="Times New Roman"/>
        </w:rPr>
        <w:pict>
          <v:rect id="_x0000_i1107" style="width:0;height:1.5pt" o:hralign="center" o:hrstd="t" o:hr="t" fillcolor="#a0a0a0" stroked="f"/>
        </w:pict>
      </w:r>
    </w:p>
    <w:p w:rsidR="00000000" w:rsidRDefault="002223F7">
      <w:pPr>
        <w:jc w:val="both"/>
        <w:divId w:val="214581906"/>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186678965"/>
        <w:rPr>
          <w:rFonts w:eastAsia="Times New Roman"/>
        </w:rPr>
      </w:pPr>
      <w:r>
        <w:rPr>
          <w:rFonts w:ascii="Arial" w:eastAsia="Times New Roman" w:hAnsi="Arial" w:cs="Arial"/>
          <w:color w:val="000000"/>
          <w:sz w:val="20"/>
          <w:szCs w:val="20"/>
        </w:rPr>
        <w:t>The following table summarizes the outstanding awards issued pursuant to the plans described above as of December 31, 20</w:t>
      </w:r>
      <w:r>
        <w:rPr>
          <w:rFonts w:ascii="Arial" w:eastAsia="Times New Roman" w:hAnsi="Arial" w:cs="Arial"/>
          <w:color w:val="000000"/>
          <w:sz w:val="20"/>
          <w:szCs w:val="20"/>
        </w:rPr>
        <w:t>22 and the remaining shares of common stock available for future issuance (in millions):</w:t>
      </w:r>
    </w:p>
    <w:tbl>
      <w:tblPr>
        <w:tblW w:w="5000" w:type="pct"/>
        <w:tblCellMar>
          <w:top w:w="15" w:type="dxa"/>
          <w:left w:w="15" w:type="dxa"/>
          <w:bottom w:w="15" w:type="dxa"/>
          <w:right w:w="15" w:type="dxa"/>
        </w:tblCellMar>
        <w:tblLook w:val="04A0" w:firstRow="1" w:lastRow="0" w:firstColumn="1" w:lastColumn="0" w:noHBand="0" w:noVBand="1"/>
      </w:tblPr>
      <w:tblGrid>
        <w:gridCol w:w="60"/>
        <w:gridCol w:w="4113"/>
        <w:gridCol w:w="36"/>
        <w:gridCol w:w="36"/>
        <w:gridCol w:w="36"/>
        <w:gridCol w:w="60"/>
        <w:gridCol w:w="1005"/>
        <w:gridCol w:w="36"/>
        <w:gridCol w:w="36"/>
        <w:gridCol w:w="45"/>
        <w:gridCol w:w="36"/>
        <w:gridCol w:w="60"/>
        <w:gridCol w:w="1006"/>
        <w:gridCol w:w="36"/>
        <w:gridCol w:w="36"/>
        <w:gridCol w:w="46"/>
        <w:gridCol w:w="36"/>
        <w:gridCol w:w="61"/>
        <w:gridCol w:w="1490"/>
        <w:gridCol w:w="36"/>
      </w:tblGrid>
      <w:tr w:rsidR="00000000">
        <w:trPr>
          <w:divId w:val="922766354"/>
        </w:trPr>
        <w:tc>
          <w:tcPr>
            <w:tcW w:w="50" w:type="pct"/>
            <w:vAlign w:val="center"/>
            <w:hideMark/>
          </w:tcPr>
          <w:p w:rsidR="00000000" w:rsidRDefault="002223F7">
            <w:pPr>
              <w:jc w:val="both"/>
              <w:rPr>
                <w:rFonts w:eastAsia="Times New Roman"/>
              </w:rPr>
            </w:pPr>
          </w:p>
        </w:tc>
        <w:tc>
          <w:tcPr>
            <w:tcW w:w="2510"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2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2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91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922766354"/>
        </w:trPr>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20"/>
                <w:szCs w:val="20"/>
              </w:rPr>
              <w:t>Plan name</w:t>
            </w:r>
          </w:p>
        </w:tc>
        <w:tc>
          <w:tcPr>
            <w:tcW w:w="0" w:type="auto"/>
            <w:vAlign w:val="center"/>
            <w:hideMark/>
          </w:tcPr>
          <w:p w:rsidR="00000000" w:rsidRDefault="002223F7">
            <w:pPr>
              <w:spacing w:after="100"/>
              <w:rPr>
                <w:rFonts w:eastAsia="Times New Roman"/>
              </w:rPr>
            </w:pPr>
          </w:p>
        </w:tc>
        <w:tc>
          <w:tcPr>
            <w:tcW w:w="0" w:type="auto"/>
            <w:vAlign w:val="center"/>
            <w:hideMark/>
          </w:tcPr>
          <w:p w:rsidR="00000000" w:rsidRDefault="002223F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RSUs</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SSAR Awards</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Remaining Shares of Common Stock Available for Future Issuance</w:t>
            </w:r>
          </w:p>
        </w:tc>
      </w:tr>
      <w:tr w:rsidR="00000000">
        <w:trPr>
          <w:divId w:val="922766354"/>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divId w:val="200286691"/>
              <w:rPr>
                <w:rFonts w:eastAsia="Times New Roman"/>
              </w:rPr>
            </w:pPr>
            <w:r>
              <w:rPr>
                <w:rFonts w:ascii="Arial" w:eastAsia="Times New Roman" w:hAnsi="Arial" w:cs="Arial"/>
                <w:color w:val="000000"/>
                <w:sz w:val="20"/>
                <w:szCs w:val="20"/>
              </w:rPr>
              <w:t>2021 Plan</w:t>
            </w:r>
            <w:r>
              <w:rPr>
                <w:rFonts w:ascii="Arial" w:eastAsia="Times New Roman" w:hAnsi="Arial" w:cs="Arial"/>
                <w:color w:val="000000"/>
                <w:sz w:val="20"/>
                <w:szCs w:val="20"/>
              </w:rPr>
              <w:t xml:space="preserve"> </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vAlign w:val="center"/>
            <w:hideMark/>
          </w:tcPr>
          <w:p w:rsidR="00000000" w:rsidRDefault="002223F7">
            <w:pPr>
              <w:spacing w:after="100"/>
              <w:rPr>
                <w:rFonts w:eastAsia="Times New Roman"/>
              </w:rPr>
            </w:pPr>
          </w:p>
        </w:tc>
        <w:tc>
          <w:tcPr>
            <w:tcW w:w="0" w:type="auto"/>
            <w:vAlign w:val="center"/>
            <w:hideMark/>
          </w:tcPr>
          <w:p w:rsidR="00000000" w:rsidRDefault="002223F7">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922766354"/>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divId w:val="415828135"/>
              <w:rPr>
                <w:rFonts w:eastAsia="Times New Roman"/>
              </w:rPr>
            </w:pPr>
            <w:r>
              <w:rPr>
                <w:rFonts w:ascii="Arial" w:eastAsia="Times New Roman" w:hAnsi="Arial" w:cs="Arial"/>
                <w:color w:val="000000"/>
                <w:sz w:val="20"/>
                <w:szCs w:val="20"/>
              </w:rPr>
              <w:t>2020 Plan</w:t>
            </w:r>
            <w:r>
              <w:rPr>
                <w:rFonts w:ascii="Arial" w:eastAsia="Times New Roman" w:hAnsi="Arial" w:cs="Arial"/>
                <w:color w:val="000000"/>
                <w:sz w:val="20"/>
                <w:szCs w:val="20"/>
              </w:rPr>
              <w:t xml:space="preserve"> </w:t>
            </w:r>
            <w:r>
              <w:rPr>
                <w:rFonts w:ascii="Arial" w:eastAsia="Times New Roman" w:hAnsi="Arial" w:cs="Arial"/>
                <w:color w:val="000000"/>
                <w:sz w:val="13"/>
                <w:szCs w:val="13"/>
              </w:rPr>
              <w:t>(2</w:t>
            </w:r>
            <w:r>
              <w:rPr>
                <w:rFonts w:ascii="Arial" w:eastAsia="Times New Roman" w:hAnsi="Arial" w:cs="Arial"/>
                <w:color w:val="000000"/>
                <w:sz w:val="13"/>
                <w:szCs w:val="13"/>
              </w:rPr>
              <w:t>)</w:t>
            </w:r>
          </w:p>
        </w:tc>
        <w:tc>
          <w:tcPr>
            <w:tcW w:w="0" w:type="auto"/>
            <w:vAlign w:val="center"/>
            <w:hideMark/>
          </w:tcPr>
          <w:p w:rsidR="00000000" w:rsidRDefault="002223F7">
            <w:pPr>
              <w:spacing w:after="100"/>
              <w:rPr>
                <w:rFonts w:eastAsia="Times New Roman"/>
              </w:rPr>
            </w:pPr>
          </w:p>
        </w:tc>
        <w:tc>
          <w:tcPr>
            <w:tcW w:w="0" w:type="auto"/>
            <w:vAlign w:val="center"/>
            <w:hideMark/>
          </w:tcPr>
          <w:p w:rsidR="00000000" w:rsidRDefault="002223F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0.4 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922766354"/>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divId w:val="2019230414"/>
              <w:rPr>
                <w:rFonts w:eastAsia="Times New Roman"/>
              </w:rPr>
            </w:pPr>
            <w:r>
              <w:rPr>
                <w:rFonts w:ascii="Arial" w:eastAsia="Times New Roman" w:hAnsi="Arial" w:cs="Arial"/>
                <w:color w:val="000000"/>
                <w:sz w:val="20"/>
                <w:szCs w:val="20"/>
              </w:rPr>
              <w:t>2016 Plan</w:t>
            </w:r>
            <w:r>
              <w:rPr>
                <w:rFonts w:ascii="Arial" w:eastAsia="Times New Roman" w:hAnsi="Arial" w:cs="Arial"/>
                <w:color w:val="000000"/>
                <w:sz w:val="20"/>
                <w:szCs w:val="20"/>
              </w:rPr>
              <w:t xml:space="preserve"> </w:t>
            </w:r>
            <w:r>
              <w:rPr>
                <w:rFonts w:ascii="Arial" w:eastAsia="Times New Roman" w:hAnsi="Arial" w:cs="Arial"/>
                <w:color w:val="000000"/>
                <w:sz w:val="13"/>
                <w:szCs w:val="13"/>
              </w:rPr>
              <w:t>(3</w:t>
            </w:r>
            <w:r>
              <w:rPr>
                <w:rFonts w:ascii="Arial" w:eastAsia="Times New Roman" w:hAnsi="Arial" w:cs="Arial"/>
                <w:color w:val="000000"/>
                <w:sz w:val="13"/>
                <w:szCs w:val="13"/>
              </w:rPr>
              <w:t>)</w:t>
            </w:r>
          </w:p>
        </w:tc>
        <w:tc>
          <w:tcPr>
            <w:tcW w:w="0" w:type="auto"/>
            <w:vAlign w:val="center"/>
            <w:hideMark/>
          </w:tcPr>
          <w:p w:rsidR="00000000" w:rsidRDefault="002223F7">
            <w:pPr>
              <w:spacing w:after="100"/>
              <w:rPr>
                <w:rFonts w:eastAsia="Times New Roman"/>
              </w:rPr>
            </w:pPr>
          </w:p>
        </w:tc>
        <w:tc>
          <w:tcPr>
            <w:tcW w:w="0" w:type="auto"/>
            <w:vAlign w:val="center"/>
            <w:hideMark/>
          </w:tcPr>
          <w:p w:rsidR="00000000" w:rsidRDefault="002223F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0.5 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922766354"/>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divId w:val="243808027"/>
              <w:rPr>
                <w:rFonts w:eastAsia="Times New Roman"/>
              </w:rPr>
            </w:pPr>
            <w:r>
              <w:rPr>
                <w:rFonts w:ascii="Arial" w:eastAsia="Times New Roman" w:hAnsi="Arial" w:cs="Arial"/>
                <w:color w:val="000000"/>
                <w:sz w:val="20"/>
                <w:szCs w:val="20"/>
              </w:rPr>
              <w:t>2006 Plan</w:t>
            </w:r>
            <w:r>
              <w:rPr>
                <w:rFonts w:ascii="Arial" w:eastAsia="Times New Roman" w:hAnsi="Arial" w:cs="Arial"/>
                <w:color w:val="000000"/>
                <w:sz w:val="20"/>
                <w:szCs w:val="20"/>
              </w:rPr>
              <w:t xml:space="preserve"> </w:t>
            </w:r>
            <w:r>
              <w:rPr>
                <w:rFonts w:ascii="Arial" w:eastAsia="Times New Roman" w:hAnsi="Arial" w:cs="Arial"/>
                <w:color w:val="000000"/>
                <w:sz w:val="13"/>
                <w:szCs w:val="13"/>
              </w:rPr>
              <w:t>(4</w:t>
            </w:r>
            <w:r>
              <w:rPr>
                <w:rFonts w:ascii="Arial" w:eastAsia="Times New Roman" w:hAnsi="Arial" w:cs="Arial"/>
                <w:color w:val="000000"/>
                <w:sz w:val="13"/>
                <w:szCs w:val="13"/>
              </w:rPr>
              <w:t>)</w:t>
            </w:r>
          </w:p>
        </w:tc>
        <w:tc>
          <w:tcPr>
            <w:tcW w:w="0" w:type="auto"/>
            <w:vAlign w:val="center"/>
            <w:hideMark/>
          </w:tcPr>
          <w:p w:rsidR="00000000" w:rsidRDefault="002223F7">
            <w:pPr>
              <w:spacing w:after="100"/>
              <w:rPr>
                <w:rFonts w:eastAsia="Times New Roman"/>
              </w:rPr>
            </w:pPr>
          </w:p>
        </w:tc>
        <w:tc>
          <w:tcPr>
            <w:tcW w:w="0" w:type="auto"/>
            <w:vAlign w:val="center"/>
            <w:hideMark/>
          </w:tcPr>
          <w:p w:rsidR="00000000" w:rsidRDefault="002223F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ind w:hanging="360"/>
        <w:jc w:val="both"/>
        <w:divId w:val="1584677587"/>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As of December 31, 2022, unvested RSUs will vest between February 2023 and November 2026.</w:t>
      </w:r>
    </w:p>
    <w:p w:rsidR="00000000" w:rsidRDefault="002223F7">
      <w:pPr>
        <w:ind w:hanging="360"/>
        <w:jc w:val="both"/>
        <w:divId w:val="949355007"/>
        <w:rPr>
          <w:rFonts w:eastAsia="Times New Roman"/>
        </w:rPr>
      </w:pPr>
      <w:r>
        <w:rPr>
          <w:rFonts w:ascii="Arial" w:eastAsia="Times New Roman" w:hAnsi="Arial" w:cs="Arial"/>
          <w:color w:val="000000"/>
          <w:sz w:val="13"/>
          <w:szCs w:val="13"/>
        </w:rPr>
        <w:t>(2</w:t>
      </w:r>
      <w:r>
        <w:rPr>
          <w:rFonts w:ascii="Arial" w:eastAsia="Times New Roman" w:hAnsi="Arial" w:cs="Arial"/>
          <w:color w:val="000000"/>
          <w:sz w:val="13"/>
          <w:szCs w:val="13"/>
        </w:rPr>
        <w:t>)</w:t>
      </w:r>
      <w:r>
        <w:rPr>
          <w:rFonts w:ascii="Arial" w:eastAsia="Times New Roman" w:hAnsi="Arial" w:cs="Arial"/>
          <w:color w:val="000000"/>
          <w:sz w:val="20"/>
          <w:szCs w:val="20"/>
        </w:rPr>
        <w:t>As of December 31, 2022, unvested RSUs will vest between March 2023 and May 2024.</w:t>
      </w:r>
    </w:p>
    <w:p w:rsidR="00000000" w:rsidRDefault="002223F7">
      <w:pPr>
        <w:ind w:hanging="360"/>
        <w:jc w:val="both"/>
        <w:divId w:val="187068003"/>
        <w:rPr>
          <w:rFonts w:eastAsia="Times New Roman"/>
        </w:rPr>
      </w:pPr>
      <w:r>
        <w:rPr>
          <w:rFonts w:ascii="Arial" w:eastAsia="Times New Roman" w:hAnsi="Arial" w:cs="Arial"/>
          <w:color w:val="000000"/>
          <w:sz w:val="13"/>
          <w:szCs w:val="13"/>
        </w:rPr>
        <w:t>(3</w:t>
      </w:r>
      <w:r>
        <w:rPr>
          <w:rFonts w:ascii="Arial" w:eastAsia="Times New Roman" w:hAnsi="Arial" w:cs="Arial"/>
          <w:color w:val="000000"/>
          <w:sz w:val="13"/>
          <w:szCs w:val="13"/>
        </w:rPr>
        <w:t>)</w:t>
      </w:r>
      <w:r>
        <w:rPr>
          <w:rFonts w:ascii="Arial" w:eastAsia="Times New Roman" w:hAnsi="Arial" w:cs="Arial"/>
          <w:color w:val="000000"/>
          <w:sz w:val="20"/>
          <w:szCs w:val="20"/>
        </w:rPr>
        <w:t>As of December 31, 2022, unvested RSUs will vest be</w:t>
      </w:r>
      <w:r>
        <w:rPr>
          <w:rFonts w:ascii="Arial" w:eastAsia="Times New Roman" w:hAnsi="Arial" w:cs="Arial"/>
          <w:color w:val="000000"/>
          <w:sz w:val="20"/>
          <w:szCs w:val="20"/>
        </w:rPr>
        <w:t>tween February 2023 and August 2023 and the outstanding SSAR Awards will expire between March 2023 and March 2025.</w:t>
      </w:r>
    </w:p>
    <w:p w:rsidR="00000000" w:rsidRDefault="002223F7">
      <w:pPr>
        <w:ind w:hanging="360"/>
        <w:jc w:val="both"/>
        <w:divId w:val="89008017"/>
        <w:rPr>
          <w:rFonts w:eastAsia="Times New Roman"/>
        </w:rPr>
      </w:pPr>
      <w:r>
        <w:rPr>
          <w:rFonts w:ascii="Arial" w:eastAsia="Times New Roman" w:hAnsi="Arial" w:cs="Arial"/>
          <w:color w:val="000000"/>
          <w:sz w:val="13"/>
          <w:szCs w:val="13"/>
        </w:rPr>
        <w:t>(4</w:t>
      </w:r>
      <w:r>
        <w:rPr>
          <w:rFonts w:ascii="Arial" w:eastAsia="Times New Roman" w:hAnsi="Arial" w:cs="Arial"/>
          <w:color w:val="000000"/>
          <w:sz w:val="13"/>
          <w:szCs w:val="13"/>
        </w:rPr>
        <w:t>)</w:t>
      </w:r>
      <w:r>
        <w:rPr>
          <w:rFonts w:ascii="Arial" w:eastAsia="Times New Roman" w:hAnsi="Arial" w:cs="Arial"/>
          <w:color w:val="000000"/>
          <w:sz w:val="20"/>
          <w:szCs w:val="20"/>
        </w:rPr>
        <w:t>RSUs granted to non</w:t>
      </w:r>
      <w:r>
        <w:rPr>
          <w:rFonts w:ascii="Arial" w:eastAsia="Times New Roman" w:hAnsi="Arial" w:cs="Arial"/>
          <w:color w:val="000000"/>
          <w:sz w:val="20"/>
          <w:szCs w:val="20"/>
        </w:rPr>
        <w:noBreakHyphen/>
        <w:t>employee directors under the 2006 Plan prior to 2011 remain outstanding until the date the non</w:t>
      </w:r>
      <w:r>
        <w:rPr>
          <w:rFonts w:ascii="Arial" w:eastAsia="Times New Roman" w:hAnsi="Arial" w:cs="Arial"/>
          <w:color w:val="000000"/>
          <w:sz w:val="20"/>
          <w:szCs w:val="20"/>
        </w:rPr>
        <w:noBreakHyphen/>
        <w:t>employee director cease</w:t>
      </w:r>
      <w:r>
        <w:rPr>
          <w:rFonts w:ascii="Arial" w:eastAsia="Times New Roman" w:hAnsi="Arial" w:cs="Arial"/>
          <w:color w:val="000000"/>
          <w:sz w:val="20"/>
          <w:szCs w:val="20"/>
        </w:rPr>
        <w:t>s, for any reason, to be a member of the Board of Directors.</w:t>
      </w:r>
    </w:p>
    <w:p w:rsidR="00000000" w:rsidRDefault="002223F7">
      <w:pPr>
        <w:divId w:val="1762599225"/>
        <w:rPr>
          <w:rFonts w:eastAsia="Times New Roman"/>
        </w:rPr>
      </w:pPr>
      <w:r>
        <w:rPr>
          <w:rFonts w:ascii="Arial" w:eastAsia="Times New Roman" w:hAnsi="Arial" w:cs="Arial"/>
          <w:color w:val="000000"/>
          <w:sz w:val="20"/>
          <w:szCs w:val="20"/>
          <w:u w:val="single"/>
        </w:rPr>
        <w:t>Restricted Stock Awards</w:t>
      </w:r>
    </w:p>
    <w:p w:rsidR="00000000" w:rsidRDefault="002223F7">
      <w:pPr>
        <w:jc w:val="both"/>
        <w:divId w:val="278298360"/>
        <w:rPr>
          <w:rFonts w:eastAsia="Times New Roman"/>
        </w:rPr>
      </w:pPr>
      <w:r>
        <w:rPr>
          <w:rFonts w:ascii="Arial" w:eastAsia="Times New Roman" w:hAnsi="Arial" w:cs="Arial"/>
          <w:color w:val="000000"/>
          <w:sz w:val="20"/>
          <w:szCs w:val="20"/>
        </w:rPr>
        <w:t>No restricted stock awards vested during the year ended December </w:t>
      </w:r>
      <w:r>
        <w:rPr>
          <w:rFonts w:ascii="Arial" w:eastAsia="Times New Roman" w:hAnsi="Arial" w:cs="Arial"/>
          <w:color w:val="000000"/>
          <w:sz w:val="20"/>
          <w:szCs w:val="20"/>
        </w:rPr>
        <w:t>31, 2022. The aggregate intrinsic value of restricted stock which vested during the years ended December 31, 2021 and 2020 was $0.6 million and $0.4 million, respectively, based on the average high and low market price of our common stock at the vesting da</w:t>
      </w:r>
      <w:r>
        <w:rPr>
          <w:rFonts w:ascii="Arial" w:eastAsia="Times New Roman" w:hAnsi="Arial" w:cs="Arial"/>
          <w:color w:val="000000"/>
          <w:sz w:val="20"/>
          <w:szCs w:val="20"/>
        </w:rPr>
        <w:t>te. As of December 31, 2022, there were no unvested restricted stock awards outstanding.</w:t>
      </w:r>
    </w:p>
    <w:p w:rsidR="00000000" w:rsidRDefault="002223F7">
      <w:pPr>
        <w:divId w:val="299070092"/>
        <w:rPr>
          <w:rFonts w:eastAsia="Times New Roman"/>
        </w:rPr>
      </w:pPr>
      <w:r>
        <w:rPr>
          <w:rFonts w:ascii="Arial" w:eastAsia="Times New Roman" w:hAnsi="Arial" w:cs="Arial"/>
          <w:color w:val="000000"/>
          <w:sz w:val="20"/>
          <w:szCs w:val="20"/>
          <w:u w:val="single"/>
        </w:rPr>
        <w:t>RSU Awards</w:t>
      </w:r>
    </w:p>
    <w:p w:rsidR="00000000" w:rsidRDefault="002223F7">
      <w:pPr>
        <w:jc w:val="both"/>
        <w:divId w:val="483400859"/>
        <w:rPr>
          <w:rFonts w:eastAsia="Times New Roman"/>
        </w:rPr>
      </w:pPr>
      <w:r>
        <w:rPr>
          <w:rFonts w:ascii="Arial" w:eastAsia="Times New Roman" w:hAnsi="Arial" w:cs="Arial"/>
          <w:color w:val="000000"/>
          <w:sz w:val="20"/>
          <w:szCs w:val="20"/>
        </w:rPr>
        <w:t>RSUs may contain one or more service, performance, or market-based vesting conditions. The following table summarizes the status of our RSUs and related transactions for each of the following years (in millions, except for weighted average grant</w:t>
      </w:r>
      <w:r>
        <w:rPr>
          <w:rFonts w:ascii="Arial" w:eastAsia="Times New Roman" w:hAnsi="Arial" w:cs="Arial"/>
          <w:color w:val="000000"/>
          <w:sz w:val="20"/>
          <w:szCs w:val="20"/>
        </w:rPr>
        <w:noBreakHyphen/>
        <w:t xml:space="preserve">date fair </w:t>
      </w:r>
      <w:r>
        <w:rPr>
          <w:rFonts w:ascii="Arial" w:eastAsia="Times New Roman" w:hAnsi="Arial" w:cs="Arial"/>
          <w:color w:val="000000"/>
          <w:sz w:val="20"/>
          <w:szCs w:val="20"/>
        </w:rPr>
        <w:t>value data and weighted average remaining contractual life):</w:t>
      </w:r>
    </w:p>
    <w:tbl>
      <w:tblPr>
        <w:tblW w:w="5000" w:type="pct"/>
        <w:tblCellMar>
          <w:top w:w="15" w:type="dxa"/>
          <w:left w:w="15" w:type="dxa"/>
          <w:bottom w:w="15" w:type="dxa"/>
          <w:right w:w="15" w:type="dxa"/>
        </w:tblCellMar>
        <w:tblLook w:val="04A0" w:firstRow="1" w:lastRow="0" w:firstColumn="1" w:lastColumn="0" w:noHBand="0" w:noVBand="1"/>
      </w:tblPr>
      <w:tblGrid>
        <w:gridCol w:w="46"/>
        <w:gridCol w:w="2435"/>
        <w:gridCol w:w="36"/>
        <w:gridCol w:w="46"/>
        <w:gridCol w:w="1000"/>
        <w:gridCol w:w="36"/>
        <w:gridCol w:w="36"/>
        <w:gridCol w:w="36"/>
        <w:gridCol w:w="36"/>
        <w:gridCol w:w="133"/>
        <w:gridCol w:w="1483"/>
        <w:gridCol w:w="36"/>
        <w:gridCol w:w="36"/>
        <w:gridCol w:w="36"/>
        <w:gridCol w:w="36"/>
        <w:gridCol w:w="133"/>
        <w:gridCol w:w="995"/>
        <w:gridCol w:w="36"/>
        <w:gridCol w:w="36"/>
        <w:gridCol w:w="36"/>
        <w:gridCol w:w="36"/>
        <w:gridCol w:w="60"/>
        <w:gridCol w:w="1471"/>
        <w:gridCol w:w="36"/>
      </w:tblGrid>
      <w:tr w:rsidR="00000000">
        <w:trPr>
          <w:divId w:val="1857034529"/>
        </w:trPr>
        <w:tc>
          <w:tcPr>
            <w:tcW w:w="50" w:type="pct"/>
            <w:vAlign w:val="center"/>
            <w:hideMark/>
          </w:tcPr>
          <w:p w:rsidR="00000000" w:rsidRDefault="002223F7">
            <w:pPr>
              <w:jc w:val="both"/>
              <w:rPr>
                <w:rFonts w:eastAsia="Times New Roman"/>
              </w:rPr>
            </w:pPr>
          </w:p>
        </w:tc>
        <w:tc>
          <w:tcPr>
            <w:tcW w:w="148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2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91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2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91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1857034529"/>
        </w:trPr>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RSUs</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Weighted Average Grant Date Fair Value Price</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Aggregate Intrinsic Value</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Weighted Average Remaining Contractual Life (in Years)</w:t>
            </w:r>
          </w:p>
        </w:tc>
      </w:tr>
      <w:tr w:rsidR="00000000">
        <w:trPr>
          <w:divId w:val="1857034529"/>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As of December 31, 2019</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1.2</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32.50 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0.9</w:t>
            </w:r>
          </w:p>
        </w:tc>
      </w:tr>
      <w:tr w:rsidR="00000000">
        <w:trPr>
          <w:divId w:val="1857034529"/>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Granted</w:t>
            </w: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1.2</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23.30 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857034529"/>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Vested</w:t>
            </w: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(0.4)</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36.12 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857034529"/>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Forfeited</w:t>
            </w: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(0.2)</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32.56 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857034529"/>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As of December 31, 2020</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1.8</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25.17 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57.1 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1.3</w:t>
            </w:r>
          </w:p>
        </w:tc>
      </w:tr>
      <w:tr w:rsidR="00000000">
        <w:trPr>
          <w:divId w:val="1857034529"/>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Granted</w:t>
            </w: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0.7</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33.08 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857034529"/>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Vested</w:t>
            </w: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(0.5)</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27.34 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857034529"/>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Forfeited</w:t>
            </w: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(0.3)</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28.55 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857034529"/>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As of December 31, 2021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1.7</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27.30 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46.3 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1.2</w:t>
            </w:r>
          </w:p>
        </w:tc>
      </w:tr>
      <w:tr w:rsidR="00000000">
        <w:trPr>
          <w:divId w:val="1857034529"/>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divId w:val="1983534790"/>
              <w:rPr>
                <w:rFonts w:eastAsia="Times New Roman"/>
              </w:rPr>
            </w:pPr>
            <w:r>
              <w:rPr>
                <w:rFonts w:ascii="Arial" w:eastAsia="Times New Roman" w:hAnsi="Arial" w:cs="Arial"/>
                <w:color w:val="000000"/>
                <w:sz w:val="20"/>
                <w:szCs w:val="20"/>
              </w:rPr>
              <w:t>Granted</w:t>
            </w:r>
            <w:r>
              <w:rPr>
                <w:rFonts w:ascii="Arial" w:eastAsia="Times New Roman" w:hAnsi="Arial" w:cs="Arial"/>
                <w:color w:val="000000"/>
                <w:sz w:val="20"/>
                <w:szCs w:val="20"/>
              </w:rPr>
              <w:t xml:space="preserve"> </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2.1</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25.86 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857034529"/>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Vested</w:t>
            </w: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(0.6)</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27.27 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857034529"/>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Forfeited</w:t>
            </w: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(0.3)</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25.97 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857034529"/>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As of December 31, 2022</w:t>
            </w:r>
          </w:p>
        </w:tc>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3.0</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26.41 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81.4 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20"/>
                <w:szCs w:val="20"/>
              </w:rPr>
              <w:t>1.6</w:t>
            </w:r>
          </w:p>
        </w:tc>
      </w:tr>
    </w:tbl>
    <w:p w:rsidR="00000000" w:rsidRDefault="002223F7">
      <w:pPr>
        <w:ind w:hanging="360"/>
        <w:jc w:val="both"/>
        <w:divId w:val="507449805"/>
        <w:rPr>
          <w:rFonts w:eastAsia="Times New Roman"/>
        </w:rPr>
      </w:pPr>
      <w:r>
        <w:rPr>
          <w:rFonts w:ascii="Arial" w:eastAsia="Times New Roman" w:hAnsi="Arial" w:cs="Arial"/>
          <w:color w:val="000000"/>
          <w:sz w:val="13"/>
          <w:szCs w:val="13"/>
        </w:rPr>
        <w:t>(1)   </w:t>
      </w:r>
      <w:r>
        <w:rPr>
          <w:rFonts w:ascii="Arial" w:eastAsia="Times New Roman" w:hAnsi="Arial" w:cs="Arial"/>
          <w:color w:val="000000"/>
          <w:sz w:val="13"/>
          <w:szCs w:val="13"/>
        </w:rPr>
        <w:t> </w:t>
      </w:r>
      <w:r>
        <w:rPr>
          <w:rFonts w:ascii="Arial" w:eastAsia="Times New Roman" w:hAnsi="Arial" w:cs="Arial"/>
          <w:color w:val="000000"/>
          <w:sz w:val="20"/>
          <w:szCs w:val="20"/>
        </w:rPr>
        <w:t>Awards granted during the year ended December 31, 2022 included 0.5 million special performance-based equity awards, pursuant to which vesting is tied to the Company's total shareholder return over the three-year perfo</w:t>
      </w:r>
      <w:r>
        <w:rPr>
          <w:rFonts w:ascii="Arial" w:eastAsia="Times New Roman" w:hAnsi="Arial" w:cs="Arial"/>
          <w:color w:val="000000"/>
          <w:sz w:val="20"/>
          <w:szCs w:val="20"/>
        </w:rPr>
        <w:t>rmance period. The awards were valued using a Monte Carlo simulation. The weighted average fair value of the awards was $33.45 and the assumptions used to determine such fair value were as follows: simulation term of 3 years, volatility of 52.2%, and risk-</w:t>
      </w:r>
      <w:r>
        <w:rPr>
          <w:rFonts w:ascii="Arial" w:eastAsia="Times New Roman" w:hAnsi="Arial" w:cs="Arial"/>
          <w:color w:val="000000"/>
          <w:sz w:val="20"/>
          <w:szCs w:val="20"/>
        </w:rPr>
        <w:t>free interest rate of 4.1%.</w:t>
      </w:r>
    </w:p>
    <w:p w:rsidR="00000000" w:rsidRDefault="002223F7">
      <w:pPr>
        <w:jc w:val="center"/>
        <w:divId w:val="1912156180"/>
        <w:rPr>
          <w:rFonts w:eastAsia="Times New Roman"/>
        </w:rPr>
      </w:pPr>
      <w:r>
        <w:rPr>
          <w:rFonts w:ascii="Arial" w:eastAsia="Times New Roman" w:hAnsi="Arial" w:cs="Arial"/>
          <w:color w:val="000000"/>
          <w:sz w:val="16"/>
          <w:szCs w:val="16"/>
        </w:rPr>
        <w:t>77</w:t>
      </w:r>
    </w:p>
    <w:p w:rsidR="00000000" w:rsidRDefault="002223F7">
      <w:pPr>
        <w:rPr>
          <w:rFonts w:eastAsia="Times New Roman"/>
        </w:rPr>
      </w:pPr>
      <w:r>
        <w:rPr>
          <w:rFonts w:eastAsia="Times New Roman"/>
        </w:rPr>
        <w:pict>
          <v:rect id="_x0000_i1108" style="width:0;height:1.5pt" o:hralign="center" o:hrstd="t" o:hr="t" fillcolor="#a0a0a0" stroked="f"/>
        </w:pict>
      </w:r>
    </w:p>
    <w:p w:rsidR="00000000" w:rsidRDefault="002223F7">
      <w:pPr>
        <w:jc w:val="both"/>
        <w:divId w:val="1272320474"/>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1723946903"/>
        <w:rPr>
          <w:rFonts w:eastAsia="Times New Roman"/>
        </w:rPr>
      </w:pPr>
      <w:r>
        <w:rPr>
          <w:rFonts w:ascii="Arial" w:eastAsia="Times New Roman" w:hAnsi="Arial" w:cs="Arial"/>
          <w:color w:val="000000"/>
          <w:sz w:val="20"/>
          <w:szCs w:val="20"/>
        </w:rPr>
        <w:t>The aggregate intrinsic value of RSUs vested during the years ended December 31, 2022, 2021 and 2020 was $14.8 million, $18.1 million and $10.8 million, respectively.</w:t>
      </w:r>
    </w:p>
    <w:p w:rsidR="00000000" w:rsidRDefault="002223F7">
      <w:pPr>
        <w:divId w:val="1652906405"/>
        <w:rPr>
          <w:rFonts w:eastAsia="Times New Roman"/>
        </w:rPr>
      </w:pPr>
      <w:r>
        <w:rPr>
          <w:rFonts w:ascii="Arial" w:eastAsia="Times New Roman" w:hAnsi="Arial" w:cs="Arial"/>
          <w:color w:val="000000"/>
          <w:sz w:val="20"/>
          <w:szCs w:val="20"/>
          <w:u w:val="single"/>
        </w:rPr>
        <w:t>SSAR Awards</w:t>
      </w:r>
    </w:p>
    <w:p w:rsidR="00000000" w:rsidRDefault="002223F7">
      <w:pPr>
        <w:jc w:val="both"/>
        <w:divId w:val="567305772"/>
        <w:rPr>
          <w:rFonts w:eastAsia="Times New Roman"/>
        </w:rPr>
      </w:pPr>
      <w:r>
        <w:rPr>
          <w:rFonts w:ascii="Arial" w:eastAsia="Times New Roman" w:hAnsi="Arial" w:cs="Arial"/>
          <w:color w:val="000000"/>
          <w:sz w:val="20"/>
          <w:szCs w:val="20"/>
        </w:rPr>
        <w:t xml:space="preserve">The following table summarizes the status of our outstanding and exercisable </w:t>
      </w:r>
      <w:r>
        <w:rPr>
          <w:rFonts w:ascii="Arial" w:eastAsia="Times New Roman" w:hAnsi="Arial" w:cs="Arial"/>
          <w:color w:val="000000"/>
          <w:sz w:val="20"/>
          <w:szCs w:val="20"/>
        </w:rPr>
        <w:t>SSAR Awards and related transactions for each of the following years (in millions, except weighted average exercise price and weighted average remaining contractual life data):</w:t>
      </w:r>
    </w:p>
    <w:tbl>
      <w:tblPr>
        <w:tblW w:w="5000" w:type="pct"/>
        <w:tblCellMar>
          <w:top w:w="15" w:type="dxa"/>
          <w:left w:w="15" w:type="dxa"/>
          <w:bottom w:w="15" w:type="dxa"/>
          <w:right w:w="15" w:type="dxa"/>
        </w:tblCellMar>
        <w:tblLook w:val="04A0" w:firstRow="1" w:lastRow="0" w:firstColumn="1" w:lastColumn="0" w:noHBand="0" w:noVBand="1"/>
      </w:tblPr>
      <w:tblGrid>
        <w:gridCol w:w="40"/>
        <w:gridCol w:w="872"/>
        <w:gridCol w:w="36"/>
        <w:gridCol w:w="71"/>
        <w:gridCol w:w="540"/>
        <w:gridCol w:w="36"/>
        <w:gridCol w:w="36"/>
        <w:gridCol w:w="36"/>
        <w:gridCol w:w="36"/>
        <w:gridCol w:w="110"/>
        <w:gridCol w:w="669"/>
        <w:gridCol w:w="37"/>
        <w:gridCol w:w="36"/>
        <w:gridCol w:w="36"/>
        <w:gridCol w:w="36"/>
        <w:gridCol w:w="110"/>
        <w:gridCol w:w="734"/>
        <w:gridCol w:w="36"/>
        <w:gridCol w:w="36"/>
        <w:gridCol w:w="36"/>
        <w:gridCol w:w="36"/>
        <w:gridCol w:w="94"/>
        <w:gridCol w:w="826"/>
        <w:gridCol w:w="36"/>
        <w:gridCol w:w="36"/>
        <w:gridCol w:w="36"/>
        <w:gridCol w:w="36"/>
        <w:gridCol w:w="66"/>
        <w:gridCol w:w="546"/>
        <w:gridCol w:w="36"/>
        <w:gridCol w:w="36"/>
        <w:gridCol w:w="36"/>
        <w:gridCol w:w="36"/>
        <w:gridCol w:w="109"/>
        <w:gridCol w:w="672"/>
        <w:gridCol w:w="36"/>
        <w:gridCol w:w="36"/>
        <w:gridCol w:w="36"/>
        <w:gridCol w:w="36"/>
        <w:gridCol w:w="110"/>
        <w:gridCol w:w="736"/>
        <w:gridCol w:w="36"/>
        <w:gridCol w:w="36"/>
        <w:gridCol w:w="36"/>
        <w:gridCol w:w="36"/>
        <w:gridCol w:w="94"/>
        <w:gridCol w:w="826"/>
        <w:gridCol w:w="36"/>
      </w:tblGrid>
      <w:tr w:rsidR="00000000">
        <w:trPr>
          <w:divId w:val="264266029"/>
        </w:trPr>
        <w:tc>
          <w:tcPr>
            <w:tcW w:w="50" w:type="pct"/>
            <w:vAlign w:val="center"/>
            <w:hideMark/>
          </w:tcPr>
          <w:p w:rsidR="00000000" w:rsidRDefault="002223F7">
            <w:pPr>
              <w:jc w:val="both"/>
              <w:rPr>
                <w:rFonts w:eastAsia="Times New Roman"/>
              </w:rPr>
            </w:pPr>
          </w:p>
        </w:tc>
        <w:tc>
          <w:tcPr>
            <w:tcW w:w="93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383"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1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20"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1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12"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1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42"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1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20"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1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20"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1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20"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1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42"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264266029"/>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SSAR Awards Outstanding</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SSAR Awards Exercisable</w:t>
            </w:r>
          </w:p>
        </w:tc>
      </w:tr>
      <w:tr w:rsidR="00000000">
        <w:trPr>
          <w:divId w:val="264266029"/>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SSAR Awards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Weighted Average Exercise Price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Aggregate Intrinsic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Weighted Average Remaining Contractual Life (in Years)</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SSAR Awards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Weighted Average Exercise Price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Aggregate Intrinsic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16"/>
                <w:szCs w:val="16"/>
              </w:rPr>
              <w:t>Weighted Average Remaining Contractual Life (in Years)</w:t>
            </w:r>
          </w:p>
        </w:tc>
      </w:tr>
      <w:tr w:rsidR="00000000">
        <w:trPr>
          <w:divId w:val="264266029"/>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As of December 31, 2019</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16"/>
                <w:szCs w:val="16"/>
              </w:rPr>
              <w:t>2.2</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29.72 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31.3 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16"/>
                <w:szCs w:val="16"/>
              </w:rPr>
              <w:t>3.4</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16"/>
                <w:szCs w:val="16"/>
              </w:rPr>
              <w:t>0.1</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50.12 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16"/>
                <w:szCs w:val="16"/>
              </w:rPr>
              <w:t>1.1</w:t>
            </w:r>
          </w:p>
        </w:tc>
      </w:tr>
      <w:tr w:rsidR="00000000">
        <w:trPr>
          <w:divId w:val="264266029"/>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Granted</w:t>
            </w: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16"/>
                <w:szCs w:val="16"/>
              </w:rPr>
              <w:t>0.1</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23.39 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64266029"/>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Exercised</w:t>
            </w: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64266029"/>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Forfeited</w:t>
            </w: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57.48 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64266029"/>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As of December 31, 2020</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16"/>
                <w:szCs w:val="16"/>
              </w:rPr>
              <w:t>2.3</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29.08 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7.3 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16"/>
                <w:szCs w:val="16"/>
              </w:rPr>
              <w:t>2.5</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16"/>
                <w:szCs w:val="16"/>
              </w:rPr>
              <w:t>0.2</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41.85 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16"/>
                <w:szCs w:val="16"/>
              </w:rPr>
              <w:t>0.8</w:t>
            </w:r>
          </w:p>
        </w:tc>
      </w:tr>
      <w:tr w:rsidR="00000000">
        <w:trPr>
          <w:divId w:val="264266029"/>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Granted</w:t>
            </w: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64266029"/>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divId w:val="1118258023"/>
              <w:rPr>
                <w:rFonts w:eastAsia="Times New Roman"/>
              </w:rPr>
            </w:pPr>
            <w:r>
              <w:rPr>
                <w:rFonts w:ascii="Arial" w:eastAsia="Times New Roman" w:hAnsi="Arial" w:cs="Arial"/>
                <w:color w:val="000000"/>
                <w:sz w:val="16"/>
                <w:szCs w:val="16"/>
              </w:rPr>
              <w:t>Exercise</w:t>
            </w:r>
            <w:r>
              <w:rPr>
                <w:rFonts w:ascii="Arial" w:eastAsia="Times New Roman" w:hAnsi="Arial" w:cs="Arial"/>
                <w:color w:val="000000"/>
                <w:sz w:val="16"/>
                <w:szCs w:val="16"/>
              </w:rPr>
              <w:t>d</w:t>
            </w:r>
            <w:r>
              <w:rPr>
                <w:rFonts w:ascii="Arial" w:eastAsia="Times New Roman" w:hAnsi="Arial" w:cs="Arial"/>
                <w:color w:val="000000"/>
                <w:sz w:val="10"/>
                <w:szCs w:val="10"/>
              </w:rPr>
              <w:t xml:space="preserve"> (1</w:t>
            </w:r>
            <w:r>
              <w:rPr>
                <w:rFonts w:ascii="Arial" w:eastAsia="Times New Roman" w:hAnsi="Arial" w:cs="Arial"/>
                <w:color w:val="000000"/>
                <w:sz w:val="10"/>
                <w:szCs w:val="10"/>
              </w:rPr>
              <w:t>)</w:t>
            </w: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16"/>
                <w:szCs w:val="16"/>
              </w:rPr>
              <w:t>(0.1)</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24.89 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64266029"/>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Forfeited</w:t>
            </w: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16"/>
                <w:szCs w:val="16"/>
              </w:rPr>
              <w:t>(1.0)</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29.91 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64266029"/>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As of December 31, 2021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16"/>
                <w:szCs w:val="16"/>
              </w:rPr>
              <w:t>1.3</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28.78 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0.6 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16"/>
                <w:szCs w:val="16"/>
              </w:rPr>
              <w:t>1.9</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16"/>
                <w:szCs w:val="16"/>
              </w:rPr>
              <w:t>0.4</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29.18 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0.2 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16"/>
                <w:szCs w:val="16"/>
              </w:rPr>
              <w:t>1.0</w:t>
            </w:r>
          </w:p>
        </w:tc>
      </w:tr>
      <w:tr w:rsidR="00000000">
        <w:trPr>
          <w:divId w:val="264266029"/>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Granted</w:t>
            </w: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64266029"/>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Exercised</w:t>
            </w: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64266029"/>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Expired</w:t>
            </w: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16"/>
                <w:szCs w:val="16"/>
              </w:rPr>
              <w:t>(0.1)</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36.25 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64266029"/>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Forfeited</w:t>
            </w: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16"/>
                <w:szCs w:val="16"/>
              </w:rPr>
              <w:t>(0.6)</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29.58 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64266029"/>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As of December 31, 2022</w:t>
            </w: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16"/>
                <w:szCs w:val="16"/>
              </w:rPr>
              <w:t>0.5</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26.35 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0.8 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16"/>
                <w:szCs w:val="16"/>
              </w:rPr>
              <w:t>0.9</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16"/>
                <w:szCs w:val="16"/>
              </w:rPr>
              <w:t>0.4</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27.43 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16"/>
                <w:szCs w:val="16"/>
              </w:rPr>
              <w:t>0.3 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color w:val="000000"/>
                <w:sz w:val="16"/>
                <w:szCs w:val="16"/>
              </w:rPr>
              <w:t>0.5</w:t>
            </w:r>
          </w:p>
        </w:tc>
      </w:tr>
    </w:tbl>
    <w:p w:rsidR="00000000" w:rsidRDefault="002223F7">
      <w:pPr>
        <w:ind w:hanging="360"/>
        <w:jc w:val="both"/>
        <w:divId w:val="622348045"/>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The aggregate intrinsic value of SSAR Awards exercised was $0.9 million for the year ended December 31, 2021.</w:t>
      </w:r>
    </w:p>
    <w:p w:rsidR="00000000" w:rsidRDefault="002223F7">
      <w:pPr>
        <w:divId w:val="1650939917"/>
        <w:rPr>
          <w:rFonts w:eastAsia="Times New Roman"/>
        </w:rPr>
      </w:pPr>
      <w:r>
        <w:rPr>
          <w:rFonts w:ascii="Arial" w:eastAsia="Times New Roman" w:hAnsi="Arial" w:cs="Arial"/>
          <w:color w:val="000000"/>
          <w:sz w:val="20"/>
          <w:szCs w:val="20"/>
          <w:u w:val="single"/>
        </w:rPr>
        <w:t>Unrecognized Compensation Cost</w:t>
      </w:r>
    </w:p>
    <w:p w:rsidR="00000000" w:rsidRDefault="002223F7">
      <w:pPr>
        <w:jc w:val="both"/>
        <w:divId w:val="2140489435"/>
        <w:rPr>
          <w:rFonts w:eastAsia="Times New Roman"/>
        </w:rPr>
      </w:pPr>
      <w:r>
        <w:rPr>
          <w:rFonts w:ascii="Arial" w:eastAsia="Times New Roman" w:hAnsi="Arial" w:cs="Arial"/>
          <w:color w:val="000000"/>
          <w:sz w:val="20"/>
          <w:szCs w:val="20"/>
        </w:rPr>
        <w:t xml:space="preserve">As of December 31, 2022, there was $50.6 </w:t>
      </w:r>
      <w:r>
        <w:rPr>
          <w:rFonts w:ascii="Arial" w:eastAsia="Times New Roman" w:hAnsi="Arial" w:cs="Arial"/>
          <w:color w:val="000000"/>
          <w:sz w:val="20"/>
          <w:szCs w:val="20"/>
        </w:rPr>
        <w:t>million of total unrecognized compensation cost related to unvested share-based payment awards, which is included as Capital in excess of par value within our Consolidated Balance Sheets. The unrecognized compensation cost as of December 31, 2022 is expect</w:t>
      </w:r>
      <w:r>
        <w:rPr>
          <w:rFonts w:ascii="Arial" w:eastAsia="Times New Roman" w:hAnsi="Arial" w:cs="Arial"/>
          <w:color w:val="000000"/>
          <w:sz w:val="20"/>
          <w:szCs w:val="20"/>
        </w:rPr>
        <w:t>ed to be recognized as compensation expense over a weighted average period of 1.5 years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8"/>
        <w:gridCol w:w="6881"/>
        <w:gridCol w:w="36"/>
        <w:gridCol w:w="132"/>
        <w:gridCol w:w="1173"/>
        <w:gridCol w:w="36"/>
      </w:tblGrid>
      <w:tr w:rsidR="00000000">
        <w:trPr>
          <w:divId w:val="750781165"/>
        </w:trPr>
        <w:tc>
          <w:tcPr>
            <w:tcW w:w="50" w:type="pct"/>
            <w:vAlign w:val="center"/>
            <w:hideMark/>
          </w:tcPr>
          <w:p w:rsidR="00000000" w:rsidRDefault="002223F7">
            <w:pPr>
              <w:jc w:val="both"/>
              <w:rPr>
                <w:rFonts w:eastAsia="Times New Roman"/>
              </w:rPr>
            </w:pPr>
          </w:p>
        </w:tc>
        <w:tc>
          <w:tcPr>
            <w:tcW w:w="4162"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72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750781165"/>
        </w:trPr>
        <w:tc>
          <w:tcPr>
            <w:tcW w:w="0" w:type="auto"/>
            <w:gridSpan w:val="6"/>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Year Ended December 31,</w:t>
            </w:r>
          </w:p>
        </w:tc>
      </w:tr>
      <w:tr w:rsidR="00000000">
        <w:trPr>
          <w:divId w:val="750781165"/>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2023</w:t>
            </w: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21.3 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750781165"/>
        </w:trPr>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2024</w:t>
            </w:r>
          </w:p>
        </w:tc>
        <w:tc>
          <w:tcPr>
            <w:tcW w:w="0" w:type="auto"/>
            <w:gridSpan w:val="2"/>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15.1 </w:t>
            </w:r>
          </w:p>
        </w:tc>
        <w:tc>
          <w:tcPr>
            <w:tcW w:w="0" w:type="auto"/>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750781165"/>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2025</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9.6 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750781165"/>
        </w:trPr>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2026</w:t>
            </w:r>
          </w:p>
        </w:tc>
        <w:tc>
          <w:tcPr>
            <w:tcW w:w="0" w:type="auto"/>
            <w:gridSpan w:val="2"/>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4.7 </w:t>
            </w:r>
          </w:p>
        </w:tc>
        <w:tc>
          <w:tcPr>
            <w:tcW w:w="0" w:type="auto"/>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750781165"/>
        </w:trPr>
        <w:tc>
          <w:tcPr>
            <w:tcW w:w="0" w:type="auto"/>
            <w:gridSpan w:val="3"/>
            <w:vAlign w:val="center"/>
            <w:hideMark/>
          </w:tcPr>
          <w:p w:rsidR="00000000" w:rsidRDefault="002223F7">
            <w:pPr>
              <w:spacing w:after="100"/>
              <w:jc w:val="right"/>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750781165"/>
        </w:trPr>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50.6 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jc w:val="center"/>
        <w:divId w:val="1444962186"/>
        <w:rPr>
          <w:rFonts w:eastAsia="Times New Roman"/>
        </w:rPr>
      </w:pPr>
      <w:r>
        <w:rPr>
          <w:rFonts w:ascii="Arial" w:eastAsia="Times New Roman" w:hAnsi="Arial" w:cs="Arial"/>
          <w:color w:val="000000"/>
          <w:sz w:val="16"/>
          <w:szCs w:val="16"/>
        </w:rPr>
        <w:t>78</w:t>
      </w:r>
    </w:p>
    <w:p w:rsidR="00000000" w:rsidRDefault="002223F7">
      <w:pPr>
        <w:rPr>
          <w:rFonts w:eastAsia="Times New Roman"/>
        </w:rPr>
      </w:pPr>
      <w:r>
        <w:rPr>
          <w:rFonts w:eastAsia="Times New Roman"/>
        </w:rPr>
        <w:pict>
          <v:rect id="_x0000_i1109" style="width:0;height:1.5pt" o:hralign="center" o:hrstd="t" o:hr="t" fillcolor="#a0a0a0" stroked="f"/>
        </w:pict>
      </w:r>
    </w:p>
    <w:p w:rsidR="00000000" w:rsidRDefault="002223F7">
      <w:pPr>
        <w:jc w:val="both"/>
        <w:divId w:val="622922513"/>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1993025552"/>
        <w:rPr>
          <w:rFonts w:eastAsia="Times New Roman"/>
        </w:rPr>
      </w:pPr>
      <w:r>
        <w:rPr>
          <w:rFonts w:ascii="Arial" w:eastAsia="Times New Roman" w:hAnsi="Arial" w:cs="Arial"/>
          <w:b/>
          <w:bCs/>
          <w:color w:val="000000"/>
          <w:sz w:val="20"/>
          <w:szCs w:val="20"/>
        </w:rPr>
        <w:t>Other Comprehensive Loss and Accumulated Other Comprehensive Loss</w:t>
      </w:r>
    </w:p>
    <w:p w:rsidR="00000000" w:rsidRDefault="002223F7">
      <w:pPr>
        <w:jc w:val="both"/>
        <w:divId w:val="215092702"/>
        <w:rPr>
          <w:rFonts w:eastAsia="Times New Roman"/>
        </w:rPr>
      </w:pPr>
      <w:r>
        <w:rPr>
          <w:rFonts w:ascii="Arial" w:eastAsia="Times New Roman" w:hAnsi="Arial" w:cs="Arial"/>
          <w:color w:val="000000"/>
          <w:sz w:val="20"/>
          <w:szCs w:val="20"/>
        </w:rPr>
        <w:t>Our other comprehensive loss, consisting of foreign currency translation adjustments related to our subsidiaries that have a functional currency other than the U.S. dollar and cash flow hedg</w:t>
      </w:r>
      <w:r>
        <w:rPr>
          <w:rFonts w:ascii="Arial" w:eastAsia="Times New Roman" w:hAnsi="Arial" w:cs="Arial"/>
          <w:color w:val="000000"/>
          <w:sz w:val="20"/>
          <w:szCs w:val="20"/>
        </w:rPr>
        <w:t>es, was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207"/>
        <w:gridCol w:w="37"/>
        <w:gridCol w:w="133"/>
        <w:gridCol w:w="1167"/>
        <w:gridCol w:w="36"/>
        <w:gridCol w:w="36"/>
        <w:gridCol w:w="36"/>
        <w:gridCol w:w="36"/>
        <w:gridCol w:w="133"/>
        <w:gridCol w:w="696"/>
        <w:gridCol w:w="36"/>
        <w:gridCol w:w="36"/>
        <w:gridCol w:w="36"/>
        <w:gridCol w:w="36"/>
        <w:gridCol w:w="133"/>
        <w:gridCol w:w="1438"/>
        <w:gridCol w:w="36"/>
      </w:tblGrid>
      <w:tr w:rsidR="00000000">
        <w:trPr>
          <w:divId w:val="2241529"/>
        </w:trPr>
        <w:tc>
          <w:tcPr>
            <w:tcW w:w="50" w:type="pct"/>
            <w:vAlign w:val="center"/>
            <w:hideMark/>
          </w:tcPr>
          <w:p w:rsidR="00000000" w:rsidRDefault="002223F7">
            <w:pPr>
              <w:jc w:val="both"/>
              <w:rPr>
                <w:rFonts w:eastAsia="Times New Roman"/>
              </w:rPr>
            </w:pPr>
          </w:p>
        </w:tc>
        <w:tc>
          <w:tcPr>
            <w:tcW w:w="262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74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52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77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2241529"/>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Foreign Currency Translation Adjustments</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Cash Flow Hedges</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Accumulated Other Comprehensive Loss</w:t>
            </w:r>
          </w:p>
        </w:tc>
      </w:tr>
      <w:tr w:rsidR="00000000">
        <w:trPr>
          <w:divId w:val="2241529"/>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Balance as of December 31,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(132.6)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241529"/>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Other comprehensive income (loss) before reclassifications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(13.7)</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203.2 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189.6 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241529"/>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Amounts reclassified from accumulated 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(193.6)</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(193.6)</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241529"/>
        </w:trPr>
        <w:tc>
          <w:tcPr>
            <w:tcW w:w="0" w:type="auto"/>
            <w:gridSpan w:val="3"/>
            <w:vAlign w:val="center"/>
            <w:hideMark/>
          </w:tcPr>
          <w:p w:rsidR="00000000" w:rsidRDefault="002223F7">
            <w:pPr>
              <w:spacing w:after="100"/>
              <w:jc w:val="right"/>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2241529"/>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Balance as of December 31, 2021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(134.0)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(136.7)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241529"/>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Other comprehensive income (loss) before reclassifications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(45.5)</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(101.3)</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(146.9)</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241529"/>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Amounts reclassified from accumulated 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122.9 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122.9 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241529"/>
        </w:trPr>
        <w:tc>
          <w:tcPr>
            <w:tcW w:w="0" w:type="auto"/>
            <w:gridSpan w:val="3"/>
            <w:vAlign w:val="center"/>
            <w:hideMark/>
          </w:tcPr>
          <w:p w:rsidR="00000000" w:rsidRDefault="002223F7">
            <w:pPr>
              <w:spacing w:after="100"/>
              <w:jc w:val="right"/>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2241529"/>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Balance as of December 31, 2022</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(179.5)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(160.6)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jc w:val="both"/>
        <w:divId w:val="1768845760"/>
        <w:rPr>
          <w:rFonts w:eastAsia="Times New Roman"/>
        </w:rPr>
      </w:pPr>
      <w:r>
        <w:rPr>
          <w:rFonts w:ascii="Arial" w:eastAsia="Times New Roman" w:hAnsi="Arial" w:cs="Arial"/>
          <w:color w:val="000000"/>
          <w:sz w:val="20"/>
          <w:szCs w:val="20"/>
        </w:rPr>
        <w:t>The foreign currency translation adjustment losses for the years ended December 31, 2022 and 2021 were primarily due to the effect of a stronger U.S. dollar compared to most foreign cur</w:t>
      </w:r>
      <w:r>
        <w:rPr>
          <w:rFonts w:ascii="Arial" w:eastAsia="Times New Roman" w:hAnsi="Arial" w:cs="Arial"/>
          <w:color w:val="000000"/>
          <w:sz w:val="20"/>
          <w:szCs w:val="20"/>
        </w:rPr>
        <w:t>rencies, including the British Pound.</w:t>
      </w:r>
    </w:p>
    <w:p w:rsidR="00000000" w:rsidRDefault="002223F7">
      <w:pPr>
        <w:divId w:val="1819224715"/>
        <w:rPr>
          <w:rFonts w:eastAsia="Times New Roman"/>
        </w:rPr>
      </w:pPr>
      <w:r>
        <w:rPr>
          <w:rFonts w:ascii="Arial" w:eastAsia="Times New Roman" w:hAnsi="Arial" w:cs="Arial"/>
          <w:b/>
          <w:bCs/>
          <w:color w:val="000000"/>
          <w:sz w:val="20"/>
          <w:szCs w:val="20"/>
        </w:rPr>
        <w:t>13. Leases</w:t>
      </w:r>
    </w:p>
    <w:p w:rsidR="00000000" w:rsidRDefault="002223F7">
      <w:pPr>
        <w:jc w:val="both"/>
        <w:divId w:val="669987185"/>
        <w:rPr>
          <w:rFonts w:eastAsia="Times New Roman"/>
        </w:rPr>
      </w:pPr>
      <w:r>
        <w:rPr>
          <w:rFonts w:ascii="Arial" w:eastAsia="Times New Roman" w:hAnsi="Arial" w:cs="Arial"/>
          <w:color w:val="000000"/>
          <w:sz w:val="20"/>
          <w:szCs w:val="20"/>
        </w:rPr>
        <w:t>We enter into lease arrangements for the use of offices, operational facilities, vehicles, vessels, storage tanks and other assets for our operations around the world. Some of these leases are embedded withi</w:t>
      </w:r>
      <w:r>
        <w:rPr>
          <w:rFonts w:ascii="Arial" w:eastAsia="Times New Roman" w:hAnsi="Arial" w:cs="Arial"/>
          <w:color w:val="000000"/>
          <w:sz w:val="20"/>
          <w:szCs w:val="20"/>
        </w:rPr>
        <w:t>n other arrangements. Some of these arrangements are for periods of twelve months or less, while others are for longer periods, and may include optional renewals, terminations or purchase options, which are considered in our assessments when they are reaso</w:t>
      </w:r>
      <w:r>
        <w:rPr>
          <w:rFonts w:ascii="Arial" w:eastAsia="Times New Roman" w:hAnsi="Arial" w:cs="Arial"/>
          <w:color w:val="000000"/>
          <w:sz w:val="20"/>
          <w:szCs w:val="20"/>
        </w:rPr>
        <w:t xml:space="preserve">nably certain to occur. In addition, certain of these arrangements contain payments based on an index, market-based escalation or volume which may impact future payments. Most of our leases typically contain general covenants, restrictions or requirements </w:t>
      </w:r>
      <w:r>
        <w:rPr>
          <w:rFonts w:ascii="Arial" w:eastAsia="Times New Roman" w:hAnsi="Arial" w:cs="Arial"/>
          <w:color w:val="000000"/>
          <w:sz w:val="20"/>
          <w:szCs w:val="20"/>
        </w:rPr>
        <w:t>such as maintaining minimum insurance coverage.</w:t>
      </w:r>
    </w:p>
    <w:p w:rsidR="00000000" w:rsidRDefault="002223F7">
      <w:pPr>
        <w:jc w:val="both"/>
        <w:divId w:val="1681393980"/>
        <w:rPr>
          <w:rFonts w:eastAsia="Times New Roman"/>
        </w:rPr>
      </w:pPr>
      <w:r>
        <w:rPr>
          <w:rFonts w:ascii="Arial" w:eastAsia="Times New Roman" w:hAnsi="Arial" w:cs="Arial"/>
          <w:color w:val="000000"/>
          <w:sz w:val="20"/>
          <w:szCs w:val="20"/>
        </w:rPr>
        <w:t>We recognized the following total lease cost related to our lease arrangements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343"/>
        <w:gridCol w:w="37"/>
        <w:gridCol w:w="132"/>
        <w:gridCol w:w="1068"/>
        <w:gridCol w:w="36"/>
        <w:gridCol w:w="36"/>
        <w:gridCol w:w="36"/>
        <w:gridCol w:w="36"/>
        <w:gridCol w:w="132"/>
        <w:gridCol w:w="1049"/>
        <w:gridCol w:w="36"/>
        <w:gridCol w:w="36"/>
        <w:gridCol w:w="36"/>
        <w:gridCol w:w="36"/>
        <w:gridCol w:w="132"/>
        <w:gridCol w:w="1051"/>
        <w:gridCol w:w="36"/>
      </w:tblGrid>
      <w:tr w:rsidR="00000000">
        <w:trPr>
          <w:divId w:val="698433619"/>
        </w:trPr>
        <w:tc>
          <w:tcPr>
            <w:tcW w:w="50" w:type="pct"/>
            <w:vAlign w:val="center"/>
            <w:hideMark/>
          </w:tcPr>
          <w:p w:rsidR="00000000" w:rsidRDefault="002223F7">
            <w:pPr>
              <w:jc w:val="both"/>
              <w:rPr>
                <w:rFonts w:eastAsia="Times New Roman"/>
              </w:rPr>
            </w:pPr>
          </w:p>
        </w:tc>
        <w:tc>
          <w:tcPr>
            <w:tcW w:w="264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6"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698433619"/>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Year Ended December 31,</w:t>
            </w:r>
          </w:p>
        </w:tc>
      </w:tr>
      <w:tr w:rsidR="00000000">
        <w:trPr>
          <w:divId w:val="698433619"/>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2020</w:t>
            </w:r>
          </w:p>
        </w:tc>
      </w:tr>
      <w:tr w:rsidR="00000000">
        <w:trPr>
          <w:divId w:val="698433619"/>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Finance lease cost: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698433619"/>
        </w:trPr>
        <w:tc>
          <w:tcPr>
            <w:tcW w:w="0" w:type="auto"/>
            <w:gridSpan w:val="3"/>
            <w:shd w:val="clear" w:color="auto" w:fill="FFFF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Amortization of right-of-use assets</w:t>
            </w: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698433619"/>
        </w:trPr>
        <w:tc>
          <w:tcPr>
            <w:tcW w:w="0" w:type="auto"/>
            <w:gridSpan w:val="3"/>
            <w:shd w:val="clear" w:color="auto" w:fill="CCEE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Interest on lease liabilities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698433619"/>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Operating lease cost</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47.6 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41.4 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45.6 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698433619"/>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Short-term lease cost</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22.6 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24.6 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25.5 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698433619"/>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Variable lease cost</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6.4 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698433619"/>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Sublease income</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(12.1)</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(4.8)</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(4.4)</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698433619"/>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lease cost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jc w:val="center"/>
        <w:divId w:val="1403092175"/>
        <w:rPr>
          <w:rFonts w:eastAsia="Times New Roman"/>
        </w:rPr>
      </w:pPr>
      <w:r>
        <w:rPr>
          <w:rFonts w:ascii="Arial" w:eastAsia="Times New Roman" w:hAnsi="Arial" w:cs="Arial"/>
          <w:color w:val="000000"/>
          <w:sz w:val="16"/>
          <w:szCs w:val="16"/>
        </w:rPr>
        <w:t>79</w:t>
      </w:r>
    </w:p>
    <w:p w:rsidR="00000000" w:rsidRDefault="002223F7">
      <w:pPr>
        <w:rPr>
          <w:rFonts w:eastAsia="Times New Roman"/>
        </w:rPr>
      </w:pPr>
      <w:r>
        <w:rPr>
          <w:rFonts w:eastAsia="Times New Roman"/>
        </w:rPr>
        <w:pict>
          <v:rect id="_x0000_i1110" style="width:0;height:1.5pt" o:hralign="center" o:hrstd="t" o:hr="t" fillcolor="#a0a0a0" stroked="f"/>
        </w:pict>
      </w:r>
    </w:p>
    <w:p w:rsidR="00000000" w:rsidRDefault="002223F7">
      <w:pPr>
        <w:jc w:val="both"/>
        <w:divId w:val="912197464"/>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926420542"/>
        <w:rPr>
          <w:rFonts w:eastAsia="Times New Roman"/>
        </w:rPr>
      </w:pPr>
      <w:r>
        <w:rPr>
          <w:rFonts w:ascii="Arial" w:eastAsia="Times New Roman" w:hAnsi="Arial" w:cs="Arial"/>
          <w:color w:val="000000"/>
          <w:sz w:val="20"/>
          <w:szCs w:val="20"/>
        </w:rPr>
        <w:t>As of December 31, 2022, our remaining lease payments were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717"/>
        <w:gridCol w:w="36"/>
        <w:gridCol w:w="133"/>
        <w:gridCol w:w="1435"/>
        <w:gridCol w:w="36"/>
        <w:gridCol w:w="36"/>
        <w:gridCol w:w="36"/>
        <w:gridCol w:w="36"/>
        <w:gridCol w:w="133"/>
        <w:gridCol w:w="1417"/>
        <w:gridCol w:w="36"/>
        <w:gridCol w:w="36"/>
        <w:gridCol w:w="36"/>
        <w:gridCol w:w="36"/>
        <w:gridCol w:w="36"/>
        <w:gridCol w:w="36"/>
        <w:gridCol w:w="36"/>
      </w:tblGrid>
      <w:tr w:rsidR="00000000">
        <w:trPr>
          <w:divId w:val="1781562726"/>
        </w:trPr>
        <w:tc>
          <w:tcPr>
            <w:tcW w:w="50" w:type="pct"/>
            <w:vAlign w:val="center"/>
            <w:hideMark/>
          </w:tcPr>
          <w:p w:rsidR="00000000" w:rsidRDefault="002223F7">
            <w:pPr>
              <w:jc w:val="both"/>
              <w:rPr>
                <w:rFonts w:eastAsia="Times New Roman"/>
              </w:rPr>
            </w:pPr>
          </w:p>
        </w:tc>
        <w:tc>
          <w:tcPr>
            <w:tcW w:w="294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91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917"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1781562726"/>
        </w:trPr>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Operating Leases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Finance Leases</w:t>
            </w: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r>
      <w:tr w:rsidR="00000000">
        <w:trPr>
          <w:divId w:val="1781562726"/>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2023</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vAlign w:val="center"/>
            <w:hideMark/>
          </w:tcPr>
          <w:p w:rsidR="00000000" w:rsidRDefault="002223F7">
            <w:pPr>
              <w:spacing w:after="100"/>
              <w:jc w:val="right"/>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1781562726"/>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2024</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34.8 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vAlign w:val="center"/>
            <w:hideMark/>
          </w:tcPr>
          <w:p w:rsidR="00000000" w:rsidRDefault="002223F7">
            <w:pPr>
              <w:spacing w:after="100"/>
              <w:jc w:val="right"/>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1781562726"/>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2025</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30.2 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vAlign w:val="center"/>
            <w:hideMark/>
          </w:tcPr>
          <w:p w:rsidR="00000000" w:rsidRDefault="002223F7">
            <w:pPr>
              <w:spacing w:after="100"/>
              <w:jc w:val="right"/>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1781562726"/>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2026</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24.9 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vAlign w:val="center"/>
            <w:hideMark/>
          </w:tcPr>
          <w:p w:rsidR="00000000" w:rsidRDefault="002223F7">
            <w:pPr>
              <w:spacing w:after="100"/>
              <w:jc w:val="right"/>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1781562726"/>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2027</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20.7 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vAlign w:val="center"/>
            <w:hideMark/>
          </w:tcPr>
          <w:p w:rsidR="00000000" w:rsidRDefault="002223F7">
            <w:pPr>
              <w:spacing w:after="100"/>
              <w:jc w:val="right"/>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1781562726"/>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Thereafter</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94.1 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vAlign w:val="center"/>
            <w:hideMark/>
          </w:tcPr>
          <w:p w:rsidR="00000000" w:rsidRDefault="002223F7">
            <w:pPr>
              <w:spacing w:after="100"/>
              <w:jc w:val="right"/>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1781562726"/>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remaining lease payments (undiscounted)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247.8 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vAlign w:val="center"/>
            <w:hideMark/>
          </w:tcPr>
          <w:p w:rsidR="00000000" w:rsidRDefault="002223F7">
            <w:pPr>
              <w:spacing w:after="100"/>
              <w:jc w:val="right"/>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1781562726"/>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Less: imputed interest</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47.7 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vAlign w:val="center"/>
            <w:hideMark/>
          </w:tcPr>
          <w:p w:rsidR="00000000" w:rsidRDefault="002223F7">
            <w:pPr>
              <w:spacing w:after="100"/>
              <w:jc w:val="right"/>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1781562726"/>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Present value of lease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200.1 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vAlign w:val="center"/>
            <w:hideMark/>
          </w:tcPr>
          <w:p w:rsidR="00000000" w:rsidRDefault="002223F7">
            <w:pPr>
              <w:spacing w:after="100"/>
              <w:jc w:val="right"/>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bl>
    <w:p w:rsidR="00000000" w:rsidRDefault="002223F7">
      <w:pPr>
        <w:jc w:val="both"/>
        <w:divId w:val="1514566265"/>
        <w:rPr>
          <w:rFonts w:eastAsia="Times New Roman"/>
        </w:rPr>
      </w:pPr>
      <w:r>
        <w:rPr>
          <w:rFonts w:ascii="Arial" w:eastAsia="Times New Roman" w:hAnsi="Arial" w:cs="Arial"/>
          <w:color w:val="000000"/>
          <w:sz w:val="20"/>
          <w:szCs w:val="20"/>
        </w:rPr>
        <w:t>Supplemental balance sheet information related to leases (in millions):</w:t>
      </w:r>
    </w:p>
    <w:tbl>
      <w:tblPr>
        <w:tblW w:w="5000" w:type="pct"/>
        <w:tblCellMar>
          <w:top w:w="15" w:type="dxa"/>
          <w:left w:w="15" w:type="dxa"/>
          <w:bottom w:w="15" w:type="dxa"/>
          <w:right w:w="15" w:type="dxa"/>
        </w:tblCellMar>
        <w:tblLook w:val="04A0" w:firstRow="1" w:lastRow="0" w:firstColumn="1" w:lastColumn="0" w:noHBand="0" w:noVBand="1"/>
      </w:tblPr>
      <w:tblGrid>
        <w:gridCol w:w="42"/>
        <w:gridCol w:w="2698"/>
        <w:gridCol w:w="36"/>
        <w:gridCol w:w="42"/>
        <w:gridCol w:w="2698"/>
        <w:gridCol w:w="36"/>
        <w:gridCol w:w="36"/>
        <w:gridCol w:w="36"/>
        <w:gridCol w:w="36"/>
        <w:gridCol w:w="132"/>
        <w:gridCol w:w="1063"/>
        <w:gridCol w:w="36"/>
        <w:gridCol w:w="36"/>
        <w:gridCol w:w="36"/>
        <w:gridCol w:w="36"/>
        <w:gridCol w:w="132"/>
        <w:gridCol w:w="1067"/>
        <w:gridCol w:w="36"/>
        <w:gridCol w:w="36"/>
        <w:gridCol w:w="36"/>
      </w:tblGrid>
      <w:tr w:rsidR="00000000">
        <w:trPr>
          <w:divId w:val="519049359"/>
        </w:trPr>
        <w:tc>
          <w:tcPr>
            <w:tcW w:w="50" w:type="pct"/>
            <w:vAlign w:val="center"/>
            <w:hideMark/>
          </w:tcPr>
          <w:p w:rsidR="00000000" w:rsidRDefault="002223F7">
            <w:pPr>
              <w:jc w:val="both"/>
              <w:rPr>
                <w:rFonts w:eastAsia="Times New Roman"/>
              </w:rPr>
            </w:pPr>
          </w:p>
        </w:tc>
        <w:tc>
          <w:tcPr>
            <w:tcW w:w="1662"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1662"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6"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r>
      <w:tr w:rsidR="00000000">
        <w:trPr>
          <w:divId w:val="519049359"/>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December 31,</w:t>
            </w:r>
          </w:p>
        </w:tc>
        <w:tc>
          <w:tcPr>
            <w:tcW w:w="0" w:type="auto"/>
            <w:vAlign w:val="center"/>
            <w:hideMark/>
          </w:tcPr>
          <w:p w:rsidR="00000000" w:rsidRDefault="002223F7">
            <w:pPr>
              <w:spacing w:after="100"/>
              <w:jc w:val="center"/>
              <w:rPr>
                <w:rFonts w:eastAsia="Times New Roman"/>
              </w:rPr>
            </w:pPr>
          </w:p>
        </w:tc>
        <w:tc>
          <w:tcPr>
            <w:tcW w:w="0" w:type="auto"/>
            <w:vAlign w:val="center"/>
            <w:hideMark/>
          </w:tcPr>
          <w:p w:rsidR="00000000" w:rsidRDefault="002223F7">
            <w:pPr>
              <w:spacing w:after="100"/>
              <w:rPr>
                <w:rFonts w:eastAsia="Times New Roman"/>
                <w:sz w:val="20"/>
                <w:szCs w:val="20"/>
              </w:rPr>
            </w:pPr>
          </w:p>
        </w:tc>
      </w:tr>
      <w:tr w:rsidR="00000000">
        <w:trPr>
          <w:divId w:val="519049359"/>
        </w:trPr>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Classification</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2223F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2223F7">
            <w:pPr>
              <w:spacing w:after="100"/>
              <w:jc w:val="center"/>
              <w:rPr>
                <w:rFonts w:eastAsia="Times New Roman"/>
              </w:rPr>
            </w:pPr>
            <w:r>
              <w:rPr>
                <w:rFonts w:ascii="Arial" w:eastAsia="Times New Roman" w:hAnsi="Arial" w:cs="Arial"/>
                <w:b/>
                <w:bCs/>
                <w:color w:val="000000"/>
                <w:sz w:val="20"/>
                <w:szCs w:val="20"/>
              </w:rPr>
              <w:t>2021</w:t>
            </w:r>
          </w:p>
        </w:tc>
        <w:tc>
          <w:tcPr>
            <w:tcW w:w="0" w:type="auto"/>
            <w:vAlign w:val="center"/>
            <w:hideMark/>
          </w:tcPr>
          <w:p w:rsidR="00000000" w:rsidRDefault="002223F7">
            <w:pPr>
              <w:spacing w:after="100"/>
              <w:jc w:val="center"/>
              <w:rPr>
                <w:rFonts w:eastAsia="Times New Roman"/>
              </w:rPr>
            </w:pPr>
          </w:p>
        </w:tc>
        <w:tc>
          <w:tcPr>
            <w:tcW w:w="0" w:type="auto"/>
            <w:vAlign w:val="center"/>
            <w:hideMark/>
          </w:tcPr>
          <w:p w:rsidR="00000000" w:rsidRDefault="002223F7">
            <w:pPr>
              <w:spacing w:after="100"/>
              <w:rPr>
                <w:rFonts w:eastAsia="Times New Roman"/>
                <w:sz w:val="20"/>
                <w:szCs w:val="20"/>
              </w:rPr>
            </w:pPr>
          </w:p>
        </w:tc>
      </w:tr>
      <w:tr w:rsidR="00000000">
        <w:trPr>
          <w:divId w:val="519049359"/>
        </w:trPr>
        <w:tc>
          <w:tcPr>
            <w:tcW w:w="0" w:type="auto"/>
            <w:gridSpan w:val="3"/>
            <w:shd w:val="clear" w:color="auto" w:fill="FFFFFF"/>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Assets: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r>
      <w:tr w:rsidR="00000000">
        <w:trPr>
          <w:divId w:val="519049359"/>
        </w:trPr>
        <w:tc>
          <w:tcPr>
            <w:tcW w:w="0" w:type="auto"/>
            <w:gridSpan w:val="3"/>
            <w:shd w:val="clear" w:color="auto" w:fill="CCEEFF"/>
            <w:tcMar>
              <w:top w:w="30" w:type="dxa"/>
              <w:left w:w="14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Operating lease assets</w:t>
            </w:r>
          </w:p>
        </w:tc>
        <w:tc>
          <w:tcPr>
            <w:tcW w:w="0" w:type="auto"/>
            <w:gridSpan w:val="3"/>
            <w:shd w:val="clear" w:color="auto" w:fill="CCEEFF"/>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Identifiable intangible and other non-current asset</w:t>
            </w:r>
            <w:r>
              <w:rPr>
                <w:rFonts w:ascii="Arial" w:eastAsia="Times New Roman" w:hAnsi="Arial" w:cs="Arial"/>
                <w:color w:val="000000"/>
                <w:sz w:val="20"/>
                <w:szCs w:val="20"/>
              </w:rPr>
              <w:t>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188.5 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150.6 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r>
      <w:tr w:rsidR="00000000">
        <w:trPr>
          <w:divId w:val="519049359"/>
        </w:trPr>
        <w:tc>
          <w:tcPr>
            <w:tcW w:w="0" w:type="auto"/>
            <w:gridSpan w:val="3"/>
            <w:shd w:val="clear" w:color="auto" w:fill="FFFFFF"/>
            <w:tcMar>
              <w:top w:w="30" w:type="dxa"/>
              <w:left w:w="14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Finance lease assets</w:t>
            </w:r>
          </w:p>
        </w:tc>
        <w:tc>
          <w:tcPr>
            <w:tcW w:w="0" w:type="auto"/>
            <w:gridSpan w:val="3"/>
            <w:shd w:val="clear" w:color="auto" w:fill="FFFFFF"/>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Property and equipment, ne</w:t>
            </w:r>
            <w:r>
              <w:rPr>
                <w:rFonts w:ascii="Arial" w:eastAsia="Times New Roman" w:hAnsi="Arial" w:cs="Arial"/>
                <w:color w:val="000000"/>
                <w:sz w:val="20"/>
                <w:szCs w:val="20"/>
              </w:rPr>
              <w:t>t</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20.2 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r>
      <w:tr w:rsidR="00000000">
        <w:trPr>
          <w:divId w:val="519049359"/>
          <w:trHeight w:val="300"/>
        </w:trPr>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r>
      <w:tr w:rsidR="00000000">
        <w:trPr>
          <w:divId w:val="519049359"/>
        </w:trPr>
        <w:tc>
          <w:tcPr>
            <w:tcW w:w="0" w:type="auto"/>
            <w:gridSpan w:val="3"/>
            <w:shd w:val="clear" w:color="auto" w:fill="FFFFFF"/>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r>
      <w:tr w:rsidR="00000000">
        <w:trPr>
          <w:divId w:val="519049359"/>
        </w:trPr>
        <w:tc>
          <w:tcPr>
            <w:tcW w:w="0" w:type="auto"/>
            <w:gridSpan w:val="3"/>
            <w:shd w:val="clear" w:color="auto" w:fill="CCEEFF"/>
            <w:tcMar>
              <w:top w:w="30" w:type="dxa"/>
              <w:left w:w="14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Operating lease liability - current</w:t>
            </w:r>
          </w:p>
        </w:tc>
        <w:tc>
          <w:tcPr>
            <w:tcW w:w="0" w:type="auto"/>
            <w:gridSpan w:val="3"/>
            <w:shd w:val="clear" w:color="auto" w:fill="CCEEFF"/>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Accrued expenses and other current liabilitie</w:t>
            </w:r>
            <w:r>
              <w:rPr>
                <w:rFonts w:ascii="Arial" w:eastAsia="Times New Roman" w:hAnsi="Arial" w:cs="Arial"/>
                <w:color w:val="000000"/>
                <w:sz w:val="20"/>
                <w:szCs w:val="20"/>
              </w:rPr>
              <w:t>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35.9 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31.1 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r>
      <w:tr w:rsidR="00000000">
        <w:trPr>
          <w:divId w:val="519049359"/>
        </w:trPr>
        <w:tc>
          <w:tcPr>
            <w:tcW w:w="0" w:type="auto"/>
            <w:gridSpan w:val="3"/>
            <w:shd w:val="clear" w:color="auto" w:fill="FFFFFF"/>
            <w:tcMar>
              <w:top w:w="30" w:type="dxa"/>
              <w:left w:w="14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Operating lease liability - long-term</w:t>
            </w:r>
          </w:p>
        </w:tc>
        <w:tc>
          <w:tcPr>
            <w:tcW w:w="0" w:type="auto"/>
            <w:gridSpan w:val="3"/>
            <w:shd w:val="clear" w:color="auto" w:fill="FFFFFF"/>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Other long-term liabilitie</w:t>
            </w:r>
            <w:r>
              <w:rPr>
                <w:rFonts w:ascii="Arial" w:eastAsia="Times New Roman" w:hAnsi="Arial" w:cs="Arial"/>
                <w:color w:val="000000"/>
                <w:sz w:val="20"/>
                <w:szCs w:val="20"/>
              </w:rPr>
              <w:t>s</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164.2 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133.8 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r>
      <w:tr w:rsidR="00000000">
        <w:trPr>
          <w:divId w:val="519049359"/>
        </w:trPr>
        <w:tc>
          <w:tcPr>
            <w:tcW w:w="0" w:type="auto"/>
            <w:gridSpan w:val="3"/>
            <w:shd w:val="clear" w:color="auto" w:fill="CCEEFF"/>
            <w:tcMar>
              <w:top w:w="30" w:type="dxa"/>
              <w:left w:w="14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Finance lease liability - current</w:t>
            </w:r>
          </w:p>
        </w:tc>
        <w:tc>
          <w:tcPr>
            <w:tcW w:w="0" w:type="auto"/>
            <w:gridSpan w:val="3"/>
            <w:shd w:val="clear" w:color="auto" w:fill="CCEEFF"/>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Current maturities of long-term deb</w:t>
            </w:r>
            <w:r>
              <w:rPr>
                <w:rFonts w:ascii="Arial" w:eastAsia="Times New Roman" w:hAnsi="Arial" w:cs="Arial"/>
                <w:color w:val="000000"/>
                <w:sz w:val="20"/>
                <w:szCs w:val="20"/>
              </w:rPr>
              <w:t>t</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r>
      <w:tr w:rsidR="00000000">
        <w:trPr>
          <w:divId w:val="519049359"/>
        </w:trPr>
        <w:tc>
          <w:tcPr>
            <w:tcW w:w="0" w:type="auto"/>
            <w:gridSpan w:val="3"/>
            <w:shd w:val="clear" w:color="auto" w:fill="FFFFFF"/>
            <w:tcMar>
              <w:top w:w="30" w:type="dxa"/>
              <w:left w:w="14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Finance lease liability - long-term</w:t>
            </w:r>
          </w:p>
        </w:tc>
        <w:tc>
          <w:tcPr>
            <w:tcW w:w="0" w:type="auto"/>
            <w:gridSpan w:val="3"/>
            <w:shd w:val="clear" w:color="auto" w:fill="FFFFFF"/>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Long-term deb</w:t>
            </w:r>
            <w:r>
              <w:rPr>
                <w:rFonts w:ascii="Arial" w:eastAsia="Times New Roman" w:hAnsi="Arial" w:cs="Arial"/>
                <w:color w:val="000000"/>
                <w:sz w:val="20"/>
                <w:szCs w:val="20"/>
              </w:rPr>
              <w:t>t</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16.6 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vAlign w:val="center"/>
            <w:hideMark/>
          </w:tcPr>
          <w:p w:rsidR="00000000" w:rsidRDefault="002223F7">
            <w:pPr>
              <w:spacing w:after="100"/>
              <w:jc w:val="right"/>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r>
    </w:tbl>
    <w:p w:rsidR="00000000" w:rsidRDefault="002223F7">
      <w:pPr>
        <w:jc w:val="both"/>
        <w:divId w:val="1362391376"/>
        <w:rPr>
          <w:rFonts w:eastAsia="Times New Roman"/>
        </w:rPr>
      </w:pPr>
      <w:r>
        <w:rPr>
          <w:rFonts w:ascii="Arial" w:eastAsia="Times New Roman" w:hAnsi="Arial" w:cs="Arial"/>
          <w:color w:val="000000"/>
          <w:sz w:val="20"/>
          <w:szCs w:val="20"/>
        </w:rPr>
        <w:t>Other informa</w:t>
      </w:r>
      <w:r>
        <w:rPr>
          <w:rFonts w:ascii="Arial" w:eastAsia="Times New Roman" w:hAnsi="Arial" w:cs="Arial"/>
          <w:color w:val="000000"/>
          <w:sz w:val="20"/>
          <w:szCs w:val="20"/>
        </w:rPr>
        <w:t>tion related to leases:</w:t>
      </w:r>
    </w:p>
    <w:tbl>
      <w:tblPr>
        <w:tblW w:w="5000" w:type="pct"/>
        <w:tblCellMar>
          <w:top w:w="15" w:type="dxa"/>
          <w:left w:w="15" w:type="dxa"/>
          <w:bottom w:w="15" w:type="dxa"/>
          <w:right w:w="15" w:type="dxa"/>
        </w:tblCellMar>
        <w:tblLook w:val="04A0" w:firstRow="1" w:lastRow="0" w:firstColumn="1" w:lastColumn="0" w:noHBand="0" w:noVBand="1"/>
      </w:tblPr>
      <w:tblGrid>
        <w:gridCol w:w="38"/>
        <w:gridCol w:w="5601"/>
        <w:gridCol w:w="37"/>
        <w:gridCol w:w="133"/>
        <w:gridCol w:w="1063"/>
        <w:gridCol w:w="37"/>
        <w:gridCol w:w="36"/>
        <w:gridCol w:w="36"/>
        <w:gridCol w:w="36"/>
        <w:gridCol w:w="132"/>
        <w:gridCol w:w="1049"/>
        <w:gridCol w:w="36"/>
        <w:gridCol w:w="36"/>
        <w:gridCol w:w="36"/>
      </w:tblGrid>
      <w:tr w:rsidR="00000000">
        <w:trPr>
          <w:divId w:val="104807809"/>
        </w:trPr>
        <w:tc>
          <w:tcPr>
            <w:tcW w:w="50" w:type="pct"/>
            <w:vAlign w:val="center"/>
            <w:hideMark/>
          </w:tcPr>
          <w:p w:rsidR="00000000" w:rsidRDefault="002223F7">
            <w:pPr>
              <w:jc w:val="both"/>
              <w:rPr>
                <w:rFonts w:eastAsia="Times New Roman"/>
              </w:rPr>
            </w:pPr>
          </w:p>
        </w:tc>
        <w:tc>
          <w:tcPr>
            <w:tcW w:w="343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6"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r>
      <w:tr w:rsidR="00000000">
        <w:trPr>
          <w:divId w:val="104807809"/>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December 31,</w:t>
            </w:r>
          </w:p>
        </w:tc>
        <w:tc>
          <w:tcPr>
            <w:tcW w:w="0" w:type="auto"/>
            <w:vAlign w:val="center"/>
            <w:hideMark/>
          </w:tcPr>
          <w:p w:rsidR="00000000" w:rsidRDefault="002223F7">
            <w:pPr>
              <w:spacing w:after="100"/>
              <w:jc w:val="center"/>
              <w:rPr>
                <w:rFonts w:eastAsia="Times New Roman"/>
              </w:rPr>
            </w:pPr>
          </w:p>
        </w:tc>
        <w:tc>
          <w:tcPr>
            <w:tcW w:w="0" w:type="auto"/>
            <w:vAlign w:val="center"/>
            <w:hideMark/>
          </w:tcPr>
          <w:p w:rsidR="00000000" w:rsidRDefault="002223F7">
            <w:pPr>
              <w:spacing w:after="100"/>
              <w:rPr>
                <w:rFonts w:eastAsia="Times New Roman"/>
                <w:sz w:val="20"/>
                <w:szCs w:val="20"/>
              </w:rPr>
            </w:pPr>
          </w:p>
        </w:tc>
      </w:tr>
      <w:tr w:rsidR="00000000">
        <w:trPr>
          <w:divId w:val="104807809"/>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2223F7">
            <w:pPr>
              <w:spacing w:after="100"/>
              <w:jc w:val="center"/>
              <w:rPr>
                <w:rFonts w:eastAsia="Times New Roman"/>
              </w:rPr>
            </w:pPr>
            <w:r>
              <w:rPr>
                <w:rFonts w:ascii="Arial" w:eastAsia="Times New Roman" w:hAnsi="Arial" w:cs="Arial"/>
                <w:b/>
                <w:bCs/>
                <w:color w:val="333333"/>
                <w:sz w:val="20"/>
                <w:szCs w:val="20"/>
              </w:rPr>
              <w:t>2022</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2223F7">
            <w:pPr>
              <w:spacing w:after="100"/>
              <w:jc w:val="center"/>
              <w:rPr>
                <w:rFonts w:eastAsia="Times New Roman"/>
              </w:rPr>
            </w:pPr>
            <w:r>
              <w:rPr>
                <w:rFonts w:ascii="Arial" w:eastAsia="Times New Roman" w:hAnsi="Arial" w:cs="Arial"/>
                <w:b/>
                <w:bCs/>
                <w:color w:val="333333"/>
                <w:sz w:val="20"/>
                <w:szCs w:val="20"/>
              </w:rPr>
              <w:t>2021</w:t>
            </w:r>
          </w:p>
        </w:tc>
        <w:tc>
          <w:tcPr>
            <w:tcW w:w="0" w:type="auto"/>
            <w:vAlign w:val="center"/>
            <w:hideMark/>
          </w:tcPr>
          <w:p w:rsidR="00000000" w:rsidRDefault="002223F7">
            <w:pPr>
              <w:spacing w:after="100"/>
              <w:jc w:val="center"/>
              <w:rPr>
                <w:rFonts w:eastAsia="Times New Roman"/>
              </w:rPr>
            </w:pPr>
          </w:p>
        </w:tc>
        <w:tc>
          <w:tcPr>
            <w:tcW w:w="0" w:type="auto"/>
            <w:vAlign w:val="center"/>
            <w:hideMark/>
          </w:tcPr>
          <w:p w:rsidR="00000000" w:rsidRDefault="002223F7">
            <w:pPr>
              <w:spacing w:after="100"/>
              <w:rPr>
                <w:rFonts w:eastAsia="Times New Roman"/>
                <w:sz w:val="20"/>
                <w:szCs w:val="20"/>
              </w:rPr>
            </w:pPr>
          </w:p>
        </w:tc>
      </w:tr>
      <w:tr w:rsidR="00000000">
        <w:trPr>
          <w:divId w:val="104807809"/>
        </w:trPr>
        <w:tc>
          <w:tcPr>
            <w:tcW w:w="0" w:type="auto"/>
            <w:gridSpan w:val="3"/>
            <w:shd w:val="clear" w:color="auto" w:fill="CCEEFF"/>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Weighted average remaining lease term of finance leases (in years)</w:t>
            </w: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5.0</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5.6</w:t>
            </w:r>
          </w:p>
        </w:tc>
        <w:tc>
          <w:tcPr>
            <w:tcW w:w="0" w:type="auto"/>
            <w:vAlign w:val="center"/>
            <w:hideMark/>
          </w:tcPr>
          <w:p w:rsidR="00000000" w:rsidRDefault="002223F7">
            <w:pPr>
              <w:spacing w:after="100"/>
              <w:jc w:val="right"/>
              <w:rPr>
                <w:rFonts w:eastAsia="Times New Roman"/>
              </w:rPr>
            </w:pPr>
          </w:p>
        </w:tc>
        <w:tc>
          <w:tcPr>
            <w:tcW w:w="0" w:type="auto"/>
            <w:vAlign w:val="center"/>
            <w:hideMark/>
          </w:tcPr>
          <w:p w:rsidR="00000000" w:rsidRDefault="002223F7">
            <w:pPr>
              <w:spacing w:after="100"/>
              <w:rPr>
                <w:rFonts w:eastAsia="Times New Roman"/>
                <w:sz w:val="20"/>
                <w:szCs w:val="20"/>
              </w:rPr>
            </w:pPr>
          </w:p>
        </w:tc>
      </w:tr>
      <w:tr w:rsidR="00000000">
        <w:trPr>
          <w:divId w:val="104807809"/>
        </w:trPr>
        <w:tc>
          <w:tcPr>
            <w:tcW w:w="0" w:type="auto"/>
            <w:gridSpan w:val="3"/>
            <w:shd w:val="clear" w:color="auto" w:fill="FFFFFF"/>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Weighted average remaining lease term of operating leases (in years)</w:t>
            </w:r>
          </w:p>
        </w:tc>
        <w:tc>
          <w:tcPr>
            <w:tcW w:w="0" w:type="auto"/>
            <w:gridSpan w:val="3"/>
            <w:shd w:val="clear" w:color="auto" w:fill="FFFFFF"/>
            <w:tcMar>
              <w:top w:w="30" w:type="dxa"/>
              <w:left w:w="20" w:type="dxa"/>
              <w:bottom w:w="30" w:type="dxa"/>
              <w:right w:w="14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8.5</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6.9</w:t>
            </w:r>
          </w:p>
        </w:tc>
        <w:tc>
          <w:tcPr>
            <w:tcW w:w="0" w:type="auto"/>
            <w:vAlign w:val="center"/>
            <w:hideMark/>
          </w:tcPr>
          <w:p w:rsidR="00000000" w:rsidRDefault="002223F7">
            <w:pPr>
              <w:spacing w:after="100"/>
              <w:jc w:val="right"/>
              <w:rPr>
                <w:rFonts w:eastAsia="Times New Roman"/>
              </w:rPr>
            </w:pPr>
          </w:p>
        </w:tc>
        <w:tc>
          <w:tcPr>
            <w:tcW w:w="0" w:type="auto"/>
            <w:vAlign w:val="center"/>
            <w:hideMark/>
          </w:tcPr>
          <w:p w:rsidR="00000000" w:rsidRDefault="002223F7">
            <w:pPr>
              <w:spacing w:after="100"/>
              <w:rPr>
                <w:rFonts w:eastAsia="Times New Roman"/>
                <w:sz w:val="20"/>
                <w:szCs w:val="20"/>
              </w:rPr>
            </w:pPr>
          </w:p>
        </w:tc>
      </w:tr>
      <w:tr w:rsidR="00000000">
        <w:trPr>
          <w:divId w:val="104807809"/>
        </w:trPr>
        <w:tc>
          <w:tcPr>
            <w:tcW w:w="0" w:type="auto"/>
            <w:gridSpan w:val="3"/>
            <w:shd w:val="clear" w:color="auto" w:fill="CCEEFF"/>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Weighted average discount rate of finance leases</w:t>
            </w:r>
          </w:p>
        </w:tc>
        <w:tc>
          <w:tcPr>
            <w:tcW w:w="0" w:type="auto"/>
            <w:gridSpan w:val="3"/>
            <w:shd w:val="clear" w:color="auto" w:fill="CCEEFF"/>
            <w:tcMar>
              <w:top w:w="30" w:type="dxa"/>
              <w:left w:w="20" w:type="dxa"/>
              <w:bottom w:w="30" w:type="dxa"/>
              <w:right w:w="35"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3.6%</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rPr>
            </w:pPr>
          </w:p>
        </w:tc>
        <w:tc>
          <w:tcPr>
            <w:tcW w:w="0" w:type="auto"/>
            <w:gridSpan w:val="3"/>
            <w:shd w:val="clear" w:color="auto" w:fill="CCEEFF"/>
            <w:tcMar>
              <w:top w:w="30" w:type="dxa"/>
              <w:left w:w="20" w:type="dxa"/>
              <w:bottom w:w="30" w:type="dxa"/>
              <w:right w:w="35"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3.4%</w:t>
            </w:r>
          </w:p>
        </w:tc>
        <w:tc>
          <w:tcPr>
            <w:tcW w:w="0" w:type="auto"/>
            <w:vAlign w:val="center"/>
            <w:hideMark/>
          </w:tcPr>
          <w:p w:rsidR="00000000" w:rsidRDefault="002223F7">
            <w:pPr>
              <w:spacing w:after="100"/>
              <w:jc w:val="right"/>
              <w:rPr>
                <w:rFonts w:eastAsia="Times New Roman"/>
              </w:rPr>
            </w:pPr>
          </w:p>
        </w:tc>
        <w:tc>
          <w:tcPr>
            <w:tcW w:w="0" w:type="auto"/>
            <w:vAlign w:val="center"/>
            <w:hideMark/>
          </w:tcPr>
          <w:p w:rsidR="00000000" w:rsidRDefault="002223F7">
            <w:pPr>
              <w:spacing w:after="100"/>
              <w:rPr>
                <w:rFonts w:eastAsia="Times New Roman"/>
                <w:sz w:val="20"/>
                <w:szCs w:val="20"/>
              </w:rPr>
            </w:pPr>
          </w:p>
        </w:tc>
      </w:tr>
      <w:tr w:rsidR="00000000">
        <w:trPr>
          <w:divId w:val="104807809"/>
        </w:trPr>
        <w:tc>
          <w:tcPr>
            <w:tcW w:w="0" w:type="auto"/>
            <w:gridSpan w:val="3"/>
            <w:shd w:val="clear" w:color="auto" w:fill="FFFFFF"/>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Weighted average discount rate of operating leases</w:t>
            </w:r>
          </w:p>
        </w:tc>
        <w:tc>
          <w:tcPr>
            <w:tcW w:w="0" w:type="auto"/>
            <w:gridSpan w:val="3"/>
            <w:shd w:val="clear" w:color="auto" w:fill="FFFFFF"/>
            <w:tcMar>
              <w:top w:w="30" w:type="dxa"/>
              <w:left w:w="20" w:type="dxa"/>
              <w:bottom w:w="30" w:type="dxa"/>
              <w:right w:w="35"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5.3%</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rPr>
            </w:pPr>
          </w:p>
        </w:tc>
        <w:tc>
          <w:tcPr>
            <w:tcW w:w="0" w:type="auto"/>
            <w:gridSpan w:val="3"/>
            <w:shd w:val="clear" w:color="auto" w:fill="FFFFFF"/>
            <w:tcMar>
              <w:top w:w="30" w:type="dxa"/>
              <w:left w:w="20" w:type="dxa"/>
              <w:bottom w:w="30" w:type="dxa"/>
              <w:right w:w="35"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5.2%</w:t>
            </w:r>
          </w:p>
        </w:tc>
        <w:tc>
          <w:tcPr>
            <w:tcW w:w="0" w:type="auto"/>
            <w:vAlign w:val="center"/>
            <w:hideMark/>
          </w:tcPr>
          <w:p w:rsidR="00000000" w:rsidRDefault="002223F7">
            <w:pPr>
              <w:spacing w:after="100"/>
              <w:jc w:val="right"/>
              <w:rPr>
                <w:rFonts w:eastAsia="Times New Roman"/>
              </w:rPr>
            </w:pPr>
          </w:p>
        </w:tc>
        <w:tc>
          <w:tcPr>
            <w:tcW w:w="0" w:type="auto"/>
            <w:vAlign w:val="center"/>
            <w:hideMark/>
          </w:tcPr>
          <w:p w:rsidR="00000000" w:rsidRDefault="002223F7">
            <w:pPr>
              <w:spacing w:after="100"/>
              <w:rPr>
                <w:rFonts w:eastAsia="Times New Roman"/>
                <w:sz w:val="20"/>
                <w:szCs w:val="20"/>
              </w:rPr>
            </w:pPr>
          </w:p>
        </w:tc>
      </w:tr>
      <w:tr w:rsidR="00000000">
        <w:trPr>
          <w:divId w:val="104807809"/>
        </w:trPr>
        <w:tc>
          <w:tcPr>
            <w:tcW w:w="0" w:type="auto"/>
            <w:gridSpan w:val="3"/>
            <w:shd w:val="clear" w:color="auto" w:fill="CCEEFF"/>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Cash paid for amounts included in the measurement of lease liabilities (in millions):</w:t>
            </w:r>
          </w:p>
        </w:tc>
        <w:tc>
          <w:tcPr>
            <w:tcW w:w="0" w:type="auto"/>
            <w:gridSpan w:val="3"/>
            <w:shd w:val="clear" w:color="auto" w:fill="CCEEFF"/>
            <w:tcMar>
              <w:top w:w="0" w:type="dxa"/>
              <w:left w:w="20" w:type="dxa"/>
              <w:bottom w:w="0" w:type="dxa"/>
              <w:right w:w="155" w:type="dxa"/>
            </w:tcMar>
            <w:vAlign w:val="center"/>
            <w:hideMark/>
          </w:tcPr>
          <w:p w:rsidR="00000000" w:rsidRDefault="002223F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r>
      <w:tr w:rsidR="00000000">
        <w:trPr>
          <w:divId w:val="104807809"/>
        </w:trPr>
        <w:tc>
          <w:tcPr>
            <w:tcW w:w="0" w:type="auto"/>
            <w:gridSpan w:val="3"/>
            <w:shd w:val="clear" w:color="auto" w:fill="FFFFFF"/>
            <w:tcMar>
              <w:top w:w="30" w:type="dxa"/>
              <w:left w:w="14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Operating cash flows from finance leases</w:t>
            </w: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FFFFFF"/>
            <w:tcMar>
              <w:top w:w="30" w:type="dxa"/>
              <w:left w:w="0" w:type="dxa"/>
              <w:bottom w:w="30" w:type="dxa"/>
              <w:right w:w="155"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0.6</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FFFFFF"/>
            <w:tcMar>
              <w:top w:w="30" w:type="dxa"/>
              <w:left w:w="0" w:type="dxa"/>
              <w:bottom w:w="30" w:type="dxa"/>
              <w:right w:w="155"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0.7</w:t>
            </w:r>
          </w:p>
        </w:tc>
        <w:tc>
          <w:tcPr>
            <w:tcW w:w="0" w:type="auto"/>
            <w:vAlign w:val="center"/>
            <w:hideMark/>
          </w:tcPr>
          <w:p w:rsidR="00000000" w:rsidRDefault="002223F7">
            <w:pPr>
              <w:spacing w:after="100"/>
              <w:jc w:val="right"/>
              <w:rPr>
                <w:rFonts w:eastAsia="Times New Roman"/>
              </w:rPr>
            </w:pPr>
          </w:p>
        </w:tc>
        <w:tc>
          <w:tcPr>
            <w:tcW w:w="0" w:type="auto"/>
            <w:vAlign w:val="center"/>
            <w:hideMark/>
          </w:tcPr>
          <w:p w:rsidR="00000000" w:rsidRDefault="002223F7">
            <w:pPr>
              <w:spacing w:after="100"/>
              <w:rPr>
                <w:rFonts w:eastAsia="Times New Roman"/>
                <w:sz w:val="20"/>
                <w:szCs w:val="20"/>
              </w:rPr>
            </w:pPr>
          </w:p>
        </w:tc>
      </w:tr>
      <w:tr w:rsidR="00000000">
        <w:trPr>
          <w:divId w:val="104807809"/>
        </w:trPr>
        <w:tc>
          <w:tcPr>
            <w:tcW w:w="0" w:type="auto"/>
            <w:gridSpan w:val="3"/>
            <w:shd w:val="clear" w:color="auto" w:fill="CCEEFF"/>
            <w:tcMar>
              <w:top w:w="30" w:type="dxa"/>
              <w:left w:w="14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Operating cash flows from operating leases</w:t>
            </w: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CCEEFF"/>
            <w:tcMar>
              <w:top w:w="30" w:type="dxa"/>
              <w:left w:w="0" w:type="dxa"/>
              <w:bottom w:w="30" w:type="dxa"/>
              <w:right w:w="155"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49.1</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CCEEFF"/>
            <w:tcMar>
              <w:top w:w="30" w:type="dxa"/>
              <w:left w:w="0" w:type="dxa"/>
              <w:bottom w:w="30" w:type="dxa"/>
              <w:right w:w="155"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44.8</w:t>
            </w:r>
          </w:p>
        </w:tc>
        <w:tc>
          <w:tcPr>
            <w:tcW w:w="0" w:type="auto"/>
            <w:vAlign w:val="center"/>
            <w:hideMark/>
          </w:tcPr>
          <w:p w:rsidR="00000000" w:rsidRDefault="002223F7">
            <w:pPr>
              <w:spacing w:after="100"/>
              <w:jc w:val="right"/>
              <w:rPr>
                <w:rFonts w:eastAsia="Times New Roman"/>
              </w:rPr>
            </w:pPr>
          </w:p>
        </w:tc>
        <w:tc>
          <w:tcPr>
            <w:tcW w:w="0" w:type="auto"/>
            <w:vAlign w:val="center"/>
            <w:hideMark/>
          </w:tcPr>
          <w:p w:rsidR="00000000" w:rsidRDefault="002223F7">
            <w:pPr>
              <w:spacing w:after="100"/>
              <w:rPr>
                <w:rFonts w:eastAsia="Times New Roman"/>
                <w:sz w:val="20"/>
                <w:szCs w:val="20"/>
              </w:rPr>
            </w:pPr>
          </w:p>
        </w:tc>
      </w:tr>
      <w:tr w:rsidR="00000000">
        <w:trPr>
          <w:divId w:val="104807809"/>
        </w:trPr>
        <w:tc>
          <w:tcPr>
            <w:tcW w:w="0" w:type="auto"/>
            <w:gridSpan w:val="3"/>
            <w:shd w:val="clear" w:color="auto" w:fill="FFFFFF"/>
            <w:tcMar>
              <w:top w:w="30" w:type="dxa"/>
              <w:left w:w="14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Financing cash flows from finance leases</w:t>
            </w: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FFFFFF"/>
            <w:tcMar>
              <w:top w:w="30" w:type="dxa"/>
              <w:left w:w="0" w:type="dxa"/>
              <w:bottom w:w="30" w:type="dxa"/>
              <w:right w:w="155"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4.3</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FFFFFF"/>
            <w:tcMar>
              <w:top w:w="30" w:type="dxa"/>
              <w:left w:w="0" w:type="dxa"/>
              <w:bottom w:w="30" w:type="dxa"/>
              <w:right w:w="155"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4.5</w:t>
            </w:r>
          </w:p>
        </w:tc>
        <w:tc>
          <w:tcPr>
            <w:tcW w:w="0" w:type="auto"/>
            <w:vAlign w:val="center"/>
            <w:hideMark/>
          </w:tcPr>
          <w:p w:rsidR="00000000" w:rsidRDefault="002223F7">
            <w:pPr>
              <w:spacing w:after="100"/>
              <w:jc w:val="right"/>
              <w:rPr>
                <w:rFonts w:eastAsia="Times New Roman"/>
              </w:rPr>
            </w:pPr>
          </w:p>
        </w:tc>
        <w:tc>
          <w:tcPr>
            <w:tcW w:w="0" w:type="auto"/>
            <w:vAlign w:val="center"/>
            <w:hideMark/>
          </w:tcPr>
          <w:p w:rsidR="00000000" w:rsidRDefault="002223F7">
            <w:pPr>
              <w:spacing w:after="100"/>
              <w:rPr>
                <w:rFonts w:eastAsia="Times New Roman"/>
                <w:sz w:val="20"/>
                <w:szCs w:val="20"/>
              </w:rPr>
            </w:pPr>
          </w:p>
        </w:tc>
      </w:tr>
      <w:tr w:rsidR="00000000">
        <w:trPr>
          <w:divId w:val="104807809"/>
        </w:trPr>
        <w:tc>
          <w:tcPr>
            <w:tcW w:w="0" w:type="auto"/>
            <w:gridSpan w:val="3"/>
            <w:shd w:val="clear" w:color="auto" w:fill="CCEEFF"/>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Noncash investing and financing lease activities (in millions):</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c>
          <w:tcPr>
            <w:tcW w:w="0" w:type="auto"/>
            <w:vAlign w:val="center"/>
            <w:hideMark/>
          </w:tcPr>
          <w:p w:rsidR="00000000" w:rsidRDefault="002223F7">
            <w:pPr>
              <w:spacing w:after="100"/>
              <w:rPr>
                <w:rFonts w:eastAsia="Times New Roman"/>
                <w:sz w:val="20"/>
                <w:szCs w:val="20"/>
              </w:rPr>
            </w:pPr>
          </w:p>
        </w:tc>
      </w:tr>
      <w:tr w:rsidR="00000000">
        <w:trPr>
          <w:divId w:val="104807809"/>
        </w:trPr>
        <w:tc>
          <w:tcPr>
            <w:tcW w:w="0" w:type="auto"/>
            <w:gridSpan w:val="3"/>
            <w:shd w:val="clear" w:color="auto" w:fill="FFFFFF"/>
            <w:tcMar>
              <w:top w:w="30" w:type="dxa"/>
              <w:left w:w="20" w:type="dxa"/>
              <w:bottom w:w="30" w:type="dxa"/>
              <w:right w:w="20" w:type="dxa"/>
            </w:tcMar>
            <w:hideMark/>
          </w:tcPr>
          <w:p w:rsidR="00000000" w:rsidRDefault="002223F7">
            <w:pPr>
              <w:spacing w:after="100"/>
              <w:divId w:val="836965575"/>
              <w:rPr>
                <w:rFonts w:eastAsia="Times New Roman"/>
              </w:rPr>
            </w:pPr>
            <w:r>
              <w:rPr>
                <w:rFonts w:ascii="Arial" w:eastAsia="Times New Roman" w:hAnsi="Arial" w:cs="Arial"/>
                <w:color w:val="000000"/>
                <w:sz w:val="20"/>
                <w:szCs w:val="20"/>
              </w:rPr>
              <w:t>Right of use assets obtained in exchange for new operating lease liabilit</w:t>
            </w:r>
            <w:r>
              <w:rPr>
                <w:rFonts w:ascii="Arial" w:eastAsia="Times New Roman" w:hAnsi="Arial" w:cs="Arial"/>
                <w:color w:val="000000"/>
                <w:sz w:val="20"/>
                <w:szCs w:val="20"/>
              </w:rPr>
              <w:t>y</w:t>
            </w:r>
            <w:r>
              <w:rPr>
                <w:rFonts w:ascii="Arial" w:eastAsia="Times New Roman" w:hAnsi="Arial" w:cs="Arial"/>
                <w:color w:val="000000"/>
                <w:sz w:val="13"/>
                <w:szCs w:val="13"/>
              </w:rPr>
              <w:t xml:space="preserve"> (1</w:t>
            </w:r>
            <w:r>
              <w:rPr>
                <w:rFonts w:ascii="Arial" w:eastAsia="Times New Roman" w:hAnsi="Arial" w:cs="Arial"/>
                <w:color w:val="000000"/>
                <w:sz w:val="13"/>
                <w:szCs w:val="13"/>
              </w:rPr>
              <w:t>)</w:t>
            </w: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FFFFFF"/>
            <w:tcMar>
              <w:top w:w="30" w:type="dxa"/>
              <w:left w:w="0" w:type="dxa"/>
              <w:bottom w:w="30" w:type="dxa"/>
              <w:right w:w="155"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83.2</w:t>
            </w: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FFFFFF"/>
            <w:tcMar>
              <w:top w:w="30" w:type="dxa"/>
              <w:left w:w="0" w:type="dxa"/>
              <w:bottom w:w="30" w:type="dxa"/>
              <w:right w:w="155"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45.9</w:t>
            </w:r>
          </w:p>
        </w:tc>
        <w:tc>
          <w:tcPr>
            <w:tcW w:w="0" w:type="auto"/>
            <w:vAlign w:val="center"/>
            <w:hideMark/>
          </w:tcPr>
          <w:p w:rsidR="00000000" w:rsidRDefault="002223F7">
            <w:pPr>
              <w:spacing w:after="100"/>
              <w:jc w:val="right"/>
              <w:rPr>
                <w:rFonts w:eastAsia="Times New Roman"/>
              </w:rPr>
            </w:pPr>
          </w:p>
        </w:tc>
        <w:tc>
          <w:tcPr>
            <w:tcW w:w="0" w:type="auto"/>
            <w:vAlign w:val="center"/>
            <w:hideMark/>
          </w:tcPr>
          <w:p w:rsidR="00000000" w:rsidRDefault="002223F7">
            <w:pPr>
              <w:spacing w:after="100"/>
              <w:rPr>
                <w:rFonts w:eastAsia="Times New Roman"/>
                <w:sz w:val="20"/>
                <w:szCs w:val="20"/>
              </w:rPr>
            </w:pPr>
          </w:p>
        </w:tc>
      </w:tr>
      <w:tr w:rsidR="00000000">
        <w:trPr>
          <w:divId w:val="104807809"/>
        </w:trPr>
        <w:tc>
          <w:tcPr>
            <w:tcW w:w="0" w:type="auto"/>
            <w:gridSpan w:val="3"/>
            <w:shd w:val="clear" w:color="auto" w:fill="CCEEFF"/>
            <w:tcMar>
              <w:top w:w="30" w:type="dxa"/>
              <w:left w:w="14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20"/>
                <w:szCs w:val="20"/>
              </w:rPr>
              <w:t>Right of use assets obtained in exchange for new finance lease liability</w:t>
            </w: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0.6</w:t>
            </w: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6.8</w:t>
            </w:r>
          </w:p>
        </w:tc>
        <w:tc>
          <w:tcPr>
            <w:tcW w:w="0" w:type="auto"/>
            <w:vAlign w:val="center"/>
            <w:hideMark/>
          </w:tcPr>
          <w:p w:rsidR="00000000" w:rsidRDefault="002223F7">
            <w:pPr>
              <w:spacing w:after="100"/>
              <w:jc w:val="right"/>
              <w:rPr>
                <w:rFonts w:eastAsia="Times New Roman"/>
              </w:rPr>
            </w:pPr>
          </w:p>
        </w:tc>
        <w:tc>
          <w:tcPr>
            <w:tcW w:w="0" w:type="auto"/>
            <w:vAlign w:val="center"/>
            <w:hideMark/>
          </w:tcPr>
          <w:p w:rsidR="00000000" w:rsidRDefault="002223F7">
            <w:pPr>
              <w:spacing w:after="100"/>
              <w:rPr>
                <w:rFonts w:eastAsia="Times New Roman"/>
                <w:sz w:val="20"/>
                <w:szCs w:val="20"/>
              </w:rPr>
            </w:pPr>
          </w:p>
        </w:tc>
      </w:tr>
    </w:tbl>
    <w:p w:rsidR="00000000" w:rsidRDefault="002223F7">
      <w:pPr>
        <w:ind w:hanging="360"/>
        <w:jc w:val="both"/>
        <w:divId w:val="163204241"/>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 xml:space="preserve">Includes $45.0 </w:t>
      </w:r>
      <w:r>
        <w:rPr>
          <w:rFonts w:ascii="Arial" w:eastAsia="Times New Roman" w:hAnsi="Arial" w:cs="Arial"/>
          <w:color w:val="000000"/>
          <w:sz w:val="20"/>
          <w:szCs w:val="20"/>
        </w:rPr>
        <w:t>million of right of use assets recognized upon acquisition of Flyers, as discussed in Note 3. Acquisitions and Divestitures.</w:t>
      </w:r>
    </w:p>
    <w:p w:rsidR="00000000" w:rsidRDefault="002223F7">
      <w:pPr>
        <w:jc w:val="center"/>
        <w:divId w:val="1715108113"/>
        <w:rPr>
          <w:rFonts w:eastAsia="Times New Roman"/>
        </w:rPr>
      </w:pPr>
      <w:r>
        <w:rPr>
          <w:rFonts w:ascii="Arial" w:eastAsia="Times New Roman" w:hAnsi="Arial" w:cs="Arial"/>
          <w:color w:val="000000"/>
          <w:sz w:val="16"/>
          <w:szCs w:val="16"/>
        </w:rPr>
        <w:t>80</w:t>
      </w:r>
    </w:p>
    <w:p w:rsidR="00000000" w:rsidRDefault="002223F7">
      <w:pPr>
        <w:rPr>
          <w:rFonts w:eastAsia="Times New Roman"/>
        </w:rPr>
      </w:pPr>
      <w:r>
        <w:rPr>
          <w:rFonts w:eastAsia="Times New Roman"/>
        </w:rPr>
        <w:pict>
          <v:rect id="_x0000_i1111" style="width:0;height:1.5pt" o:hralign="center" o:hrstd="t" o:hr="t" fillcolor="#a0a0a0" stroked="f"/>
        </w:pict>
      </w:r>
    </w:p>
    <w:p w:rsidR="00000000" w:rsidRDefault="002223F7">
      <w:pPr>
        <w:jc w:val="both"/>
        <w:divId w:val="1152331692"/>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divId w:val="730693603"/>
        <w:rPr>
          <w:rFonts w:eastAsia="Times New Roman"/>
        </w:rPr>
      </w:pPr>
      <w:r>
        <w:rPr>
          <w:rFonts w:ascii="Arial" w:eastAsia="Times New Roman" w:hAnsi="Arial" w:cs="Arial"/>
          <w:b/>
          <w:bCs/>
          <w:color w:val="000000"/>
          <w:sz w:val="20"/>
          <w:szCs w:val="20"/>
        </w:rPr>
        <w:t>14. Business Segments, Geographic Information, and Major Customers</w:t>
      </w:r>
    </w:p>
    <w:p w:rsidR="00000000" w:rsidRDefault="002223F7">
      <w:pPr>
        <w:divId w:val="1350335916"/>
        <w:rPr>
          <w:rFonts w:eastAsia="Times New Roman"/>
        </w:rPr>
      </w:pPr>
      <w:r>
        <w:rPr>
          <w:rFonts w:ascii="Arial" w:eastAsia="Times New Roman" w:hAnsi="Arial" w:cs="Arial"/>
          <w:b/>
          <w:bCs/>
          <w:color w:val="000000"/>
          <w:sz w:val="20"/>
          <w:szCs w:val="20"/>
        </w:rPr>
        <w:t>Business Segments</w:t>
      </w:r>
    </w:p>
    <w:p w:rsidR="00000000" w:rsidRDefault="002223F7">
      <w:pPr>
        <w:jc w:val="both"/>
        <w:divId w:val="1368606305"/>
        <w:rPr>
          <w:rFonts w:eastAsia="Times New Roman"/>
        </w:rPr>
      </w:pPr>
      <w:r>
        <w:rPr>
          <w:rFonts w:ascii="Arial" w:eastAsia="Times New Roman" w:hAnsi="Arial" w:cs="Arial"/>
          <w:color w:val="000000"/>
          <w:sz w:val="20"/>
          <w:szCs w:val="20"/>
        </w:rPr>
        <w:t xml:space="preserve">We operate in three </w:t>
      </w:r>
      <w:r>
        <w:rPr>
          <w:rFonts w:ascii="Arial" w:eastAsia="Times New Roman" w:hAnsi="Arial" w:cs="Arial"/>
          <w:color w:val="000000"/>
          <w:sz w:val="20"/>
          <w:szCs w:val="20"/>
        </w:rPr>
        <w:t>reportable segments consisting of aviation, land, and marine. Our operating segments are determined based on the different markets in which we provide products and services, which are defined primarily by the customers (businesses and governmental) and the</w:t>
      </w:r>
      <w:r>
        <w:rPr>
          <w:rFonts w:ascii="Arial" w:eastAsia="Times New Roman" w:hAnsi="Arial" w:cs="Arial"/>
          <w:color w:val="000000"/>
          <w:sz w:val="20"/>
          <w:szCs w:val="20"/>
        </w:rPr>
        <w:t xml:space="preserve"> products and services provided to those customers. We use Income from operations as our primary measure of profit as we believe it is the most meaningful measure to allocate resources and assess the performance or our segments.</w:t>
      </w:r>
    </w:p>
    <w:p w:rsidR="00000000" w:rsidRDefault="002223F7">
      <w:pPr>
        <w:jc w:val="both"/>
        <w:divId w:val="643854813"/>
        <w:rPr>
          <w:rFonts w:eastAsia="Times New Roman"/>
        </w:rPr>
      </w:pPr>
      <w:r>
        <w:rPr>
          <w:rFonts w:ascii="Arial" w:eastAsia="Times New Roman" w:hAnsi="Arial" w:cs="Arial"/>
          <w:color w:val="000000"/>
          <w:sz w:val="20"/>
          <w:szCs w:val="20"/>
        </w:rPr>
        <w:t>In our aviation segment, we</w:t>
      </w:r>
      <w:r>
        <w:rPr>
          <w:rFonts w:ascii="Arial" w:eastAsia="Times New Roman" w:hAnsi="Arial" w:cs="Arial"/>
          <w:color w:val="000000"/>
          <w:sz w:val="20"/>
          <w:szCs w:val="20"/>
        </w:rPr>
        <w:t xml:space="preserve"> provide fuel and comprehensive services solutions to major commercial airlines, second and third-tier airlines, cargo carriers, regional and low cost carriers, airports, fixed based operators, corporate fleets, charter and fractional operators, and privat</w:t>
      </w:r>
      <w:r>
        <w:rPr>
          <w:rFonts w:ascii="Arial" w:eastAsia="Times New Roman" w:hAnsi="Arial" w:cs="Arial"/>
          <w:color w:val="000000"/>
          <w:sz w:val="20"/>
          <w:szCs w:val="20"/>
        </w:rPr>
        <w:t xml:space="preserve">e aircraft. In addition, we supply fuel and provide services to U.S. and foreign government, intergovernmental and military customers, such as the U.S. Defense Logistics Agency and the North Atlantic Treaty Organization ("NATO"). </w:t>
      </w:r>
    </w:p>
    <w:p w:rsidR="00000000" w:rsidRDefault="002223F7">
      <w:pPr>
        <w:jc w:val="both"/>
        <w:divId w:val="1156263702"/>
        <w:rPr>
          <w:rFonts w:eastAsia="Times New Roman"/>
        </w:rPr>
      </w:pPr>
      <w:r>
        <w:rPr>
          <w:rFonts w:ascii="Arial" w:eastAsia="Times New Roman" w:hAnsi="Arial" w:cs="Arial"/>
          <w:color w:val="000000"/>
          <w:sz w:val="20"/>
          <w:szCs w:val="20"/>
        </w:rPr>
        <w:t>In our land segment, we o</w:t>
      </w:r>
      <w:r>
        <w:rPr>
          <w:rFonts w:ascii="Arial" w:eastAsia="Times New Roman" w:hAnsi="Arial" w:cs="Arial"/>
          <w:color w:val="000000"/>
          <w:sz w:val="20"/>
          <w:szCs w:val="20"/>
        </w:rPr>
        <w:t>ffer fuel, lubricants, heating oil, natural gas, power, lower carbon alternatives and related products and services. We also offer energy procurement management, price risk management, as well as sustainability solutions, including carbon management and re</w:t>
      </w:r>
      <w:r>
        <w:rPr>
          <w:rFonts w:ascii="Arial" w:eastAsia="Times New Roman" w:hAnsi="Arial" w:cs="Arial"/>
          <w:color w:val="000000"/>
          <w:sz w:val="20"/>
          <w:szCs w:val="20"/>
        </w:rPr>
        <w:t xml:space="preserve">newable energy solutions through World Kinect, our global energy management brand. Our customers include commercial, residential and government customers as well as retail petroleum operators. </w:t>
      </w:r>
    </w:p>
    <w:p w:rsidR="00000000" w:rsidRDefault="002223F7">
      <w:pPr>
        <w:jc w:val="both"/>
        <w:divId w:val="25300177"/>
        <w:rPr>
          <w:rFonts w:eastAsia="Times New Roman"/>
        </w:rPr>
      </w:pPr>
      <w:r>
        <w:rPr>
          <w:rFonts w:ascii="Arial" w:eastAsia="Times New Roman" w:hAnsi="Arial" w:cs="Arial"/>
          <w:color w:val="000000"/>
          <w:sz w:val="20"/>
          <w:szCs w:val="20"/>
        </w:rPr>
        <w:t>Our marine segment product and service offerings include fuel,</w:t>
      </w:r>
      <w:r>
        <w:rPr>
          <w:rFonts w:ascii="Arial" w:eastAsia="Times New Roman" w:hAnsi="Arial" w:cs="Arial"/>
          <w:color w:val="000000"/>
          <w:sz w:val="20"/>
          <w:szCs w:val="20"/>
        </w:rPr>
        <w:t xml:space="preserve"> lubricants and related products and services to a broad base of customers, including international container, dry bulk and tanker fleets, commercial cruise lines, yachts and time charter operators, offshore rig owners and operators, the U.S. and foreign g</w:t>
      </w:r>
      <w:r>
        <w:rPr>
          <w:rFonts w:ascii="Arial" w:eastAsia="Times New Roman" w:hAnsi="Arial" w:cs="Arial"/>
          <w:color w:val="000000"/>
          <w:sz w:val="20"/>
          <w:szCs w:val="20"/>
        </w:rPr>
        <w:t xml:space="preserve">overnments as well as other fuel suppliers. </w:t>
      </w:r>
    </w:p>
    <w:p w:rsidR="00000000" w:rsidRDefault="002223F7">
      <w:pPr>
        <w:jc w:val="both"/>
        <w:divId w:val="1038822759"/>
        <w:rPr>
          <w:rFonts w:eastAsia="Times New Roman"/>
        </w:rPr>
      </w:pPr>
      <w:r>
        <w:rPr>
          <w:rFonts w:ascii="Arial" w:eastAsia="Times New Roman" w:hAnsi="Arial" w:cs="Arial"/>
          <w:color w:val="000000"/>
          <w:sz w:val="20"/>
          <w:szCs w:val="20"/>
        </w:rPr>
        <w:t>Within each of our segments, we may enter into derivative contracts to mitigate the risk of market price fluctuations and also to offer our customers fuel pricing alternatives to meet their needs. Corporate expe</w:t>
      </w:r>
      <w:r>
        <w:rPr>
          <w:rFonts w:ascii="Arial" w:eastAsia="Times New Roman" w:hAnsi="Arial" w:cs="Arial"/>
          <w:color w:val="000000"/>
          <w:sz w:val="20"/>
          <w:szCs w:val="20"/>
        </w:rPr>
        <w:t>nses are allocated to the segments based on usage, where possible, or on other factors according to the nature of the activity.</w:t>
      </w:r>
    </w:p>
    <w:p w:rsidR="00000000" w:rsidRDefault="002223F7">
      <w:pPr>
        <w:jc w:val="center"/>
        <w:divId w:val="1718237423"/>
        <w:rPr>
          <w:rFonts w:eastAsia="Times New Roman"/>
        </w:rPr>
      </w:pPr>
      <w:r>
        <w:rPr>
          <w:rFonts w:ascii="Arial" w:eastAsia="Times New Roman" w:hAnsi="Arial" w:cs="Arial"/>
          <w:color w:val="000000"/>
          <w:sz w:val="16"/>
          <w:szCs w:val="16"/>
        </w:rPr>
        <w:t>81</w:t>
      </w:r>
    </w:p>
    <w:p w:rsidR="00000000" w:rsidRDefault="002223F7">
      <w:pPr>
        <w:rPr>
          <w:rFonts w:eastAsia="Times New Roman"/>
        </w:rPr>
      </w:pPr>
      <w:r>
        <w:rPr>
          <w:rFonts w:eastAsia="Times New Roman"/>
        </w:rPr>
        <w:pict>
          <v:rect id="_x0000_i1112" style="width:0;height:1.5pt" o:hralign="center" o:hrstd="t" o:hr="t" fillcolor="#a0a0a0" stroked="f"/>
        </w:pict>
      </w:r>
    </w:p>
    <w:p w:rsidR="00000000" w:rsidRDefault="002223F7">
      <w:pPr>
        <w:jc w:val="both"/>
        <w:divId w:val="980772554"/>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1750694032"/>
        <w:rPr>
          <w:rFonts w:eastAsia="Times New Roman"/>
        </w:rPr>
      </w:pPr>
      <w:r>
        <w:rPr>
          <w:rFonts w:ascii="Arial" w:eastAsia="Times New Roman" w:hAnsi="Arial" w:cs="Arial"/>
          <w:color w:val="000000"/>
          <w:sz w:val="20"/>
          <w:szCs w:val="20"/>
        </w:rPr>
        <w:t>Information concerning our revenue, gross profit and income from operations by segment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1"/>
        <w:gridCol w:w="4340"/>
        <w:gridCol w:w="40"/>
        <w:gridCol w:w="132"/>
        <w:gridCol w:w="1068"/>
        <w:gridCol w:w="36"/>
        <w:gridCol w:w="36"/>
        <w:gridCol w:w="36"/>
        <w:gridCol w:w="36"/>
        <w:gridCol w:w="132"/>
        <w:gridCol w:w="1047"/>
        <w:gridCol w:w="36"/>
        <w:gridCol w:w="36"/>
        <w:gridCol w:w="36"/>
        <w:gridCol w:w="36"/>
        <w:gridCol w:w="132"/>
        <w:gridCol w:w="1050"/>
        <w:gridCol w:w="36"/>
      </w:tblGrid>
      <w:tr w:rsidR="00000000">
        <w:trPr>
          <w:divId w:val="1103768815"/>
        </w:trPr>
        <w:tc>
          <w:tcPr>
            <w:tcW w:w="50" w:type="pct"/>
            <w:vAlign w:val="center"/>
            <w:hideMark/>
          </w:tcPr>
          <w:p w:rsidR="00000000" w:rsidRDefault="002223F7">
            <w:pPr>
              <w:jc w:val="both"/>
              <w:rPr>
                <w:rFonts w:eastAsia="Times New Roman"/>
              </w:rPr>
            </w:pPr>
          </w:p>
        </w:tc>
        <w:tc>
          <w:tcPr>
            <w:tcW w:w="264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6"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1103768815"/>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For the Year Ended December 31,</w:t>
            </w:r>
          </w:p>
        </w:tc>
      </w:tr>
      <w:tr w:rsidR="00000000">
        <w:trPr>
          <w:divId w:val="1103768815"/>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2020</w:t>
            </w:r>
          </w:p>
        </w:tc>
      </w:tr>
      <w:tr w:rsidR="00000000">
        <w:trPr>
          <w:divId w:val="1103768815"/>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103768815"/>
        </w:trPr>
        <w:tc>
          <w:tcPr>
            <w:tcW w:w="0" w:type="auto"/>
            <w:gridSpan w:val="3"/>
            <w:shd w:val="clear" w:color="auto" w:fill="FFFF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Aviation segment</w:t>
            </w: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26,799.9 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12,824.3 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8,179.6 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103768815"/>
        </w:trPr>
        <w:tc>
          <w:tcPr>
            <w:tcW w:w="0" w:type="auto"/>
            <w:gridSpan w:val="3"/>
            <w:shd w:val="clear" w:color="auto" w:fill="CCEE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Land segment</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19,283.7 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10,426.8 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6,663.1 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103768815"/>
        </w:trPr>
        <w:tc>
          <w:tcPr>
            <w:tcW w:w="0" w:type="auto"/>
            <w:gridSpan w:val="3"/>
            <w:shd w:val="clear" w:color="auto" w:fill="FFFF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Marine segment</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12,959.6 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8,085.8 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5,515.7 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103768815"/>
        </w:trPr>
        <w:tc>
          <w:tcPr>
            <w:tcW w:w="0" w:type="auto"/>
            <w:gridSpan w:val="3"/>
            <w:shd w:val="clear" w:color="auto" w:fill="CCEEFF"/>
            <w:tcMar>
              <w:top w:w="30" w:type="dxa"/>
              <w:left w:w="26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59,043.1 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31,337.0 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20,358.3 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103768815"/>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divId w:val="1225987883"/>
              <w:rPr>
                <w:rFonts w:eastAsia="Times New Roman"/>
              </w:rPr>
            </w:pPr>
            <w:r>
              <w:rPr>
                <w:rFonts w:ascii="Arial" w:eastAsia="Times New Roman" w:hAnsi="Arial" w:cs="Arial"/>
                <w:color w:val="000000"/>
                <w:sz w:val="20"/>
                <w:szCs w:val="20"/>
              </w:rPr>
              <w:t>Income from operations</w:t>
            </w:r>
            <w:r>
              <w:rPr>
                <w:rFonts w:ascii="Arial" w:eastAsia="Times New Roman" w:hAnsi="Arial" w:cs="Arial"/>
                <w:color w:val="000000"/>
                <w:sz w:val="20"/>
                <w:szCs w:val="20"/>
              </w:rPr>
              <w:t>:</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103768815"/>
        </w:trPr>
        <w:tc>
          <w:tcPr>
            <w:tcW w:w="0" w:type="auto"/>
            <w:gridSpan w:val="3"/>
            <w:shd w:val="clear" w:color="auto" w:fill="CCEE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Aviation segment</w:t>
            </w: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99.5 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163.4 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84.5 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103768815"/>
        </w:trPr>
        <w:tc>
          <w:tcPr>
            <w:tcW w:w="0" w:type="auto"/>
            <w:gridSpan w:val="3"/>
            <w:shd w:val="clear" w:color="auto" w:fill="FFFF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Land segment</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125.6 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44.6 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72.6 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103768815"/>
        </w:trPr>
        <w:tc>
          <w:tcPr>
            <w:tcW w:w="0" w:type="auto"/>
            <w:gridSpan w:val="3"/>
            <w:shd w:val="clear" w:color="auto" w:fill="CCEE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Marine segment</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155.5 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20.7 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58.5 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103768815"/>
        </w:trPr>
        <w:tc>
          <w:tcPr>
            <w:tcW w:w="0" w:type="auto"/>
            <w:gridSpan w:val="3"/>
            <w:shd w:val="clear" w:color="auto" w:fill="FFFF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Corporate overhead - unallocated</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(107.4)</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(86.1)</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(77.8)</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103768815"/>
        </w:trPr>
        <w:tc>
          <w:tcPr>
            <w:tcW w:w="0" w:type="auto"/>
            <w:gridSpan w:val="3"/>
            <w:shd w:val="clear" w:color="auto" w:fill="CCEEFF"/>
            <w:tcMar>
              <w:top w:w="30" w:type="dxa"/>
              <w:left w:w="26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income from operations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273.2 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137.9 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103768815"/>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Depreciation and amortization:</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103768815"/>
        </w:trPr>
        <w:tc>
          <w:tcPr>
            <w:tcW w:w="0" w:type="auto"/>
            <w:gridSpan w:val="3"/>
            <w:shd w:val="clear" w:color="auto" w:fill="CCEE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Aviation segment</w:t>
            </w: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32.8 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32.7 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31.5 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103768815"/>
        </w:trPr>
        <w:tc>
          <w:tcPr>
            <w:tcW w:w="0" w:type="auto"/>
            <w:gridSpan w:val="3"/>
            <w:shd w:val="clear" w:color="auto" w:fill="FFFF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Land segment</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65.1 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39.0 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45.3 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103768815"/>
        </w:trPr>
        <w:tc>
          <w:tcPr>
            <w:tcW w:w="0" w:type="auto"/>
            <w:gridSpan w:val="3"/>
            <w:shd w:val="clear" w:color="auto" w:fill="CCEE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Marine segment</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3.5 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103768815"/>
        </w:trPr>
        <w:tc>
          <w:tcPr>
            <w:tcW w:w="0" w:type="auto"/>
            <w:gridSpan w:val="3"/>
            <w:shd w:val="clear" w:color="auto" w:fill="FFFF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Corporate segment</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103768815"/>
        </w:trPr>
        <w:tc>
          <w:tcPr>
            <w:tcW w:w="0" w:type="auto"/>
            <w:gridSpan w:val="3"/>
            <w:shd w:val="clear" w:color="auto" w:fill="CCEEFF"/>
            <w:tcMar>
              <w:top w:w="30" w:type="dxa"/>
              <w:left w:w="26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depreciation and amortization</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103768815"/>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Capital expenditures: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103768815"/>
        </w:trPr>
        <w:tc>
          <w:tcPr>
            <w:tcW w:w="0" w:type="auto"/>
            <w:gridSpan w:val="3"/>
            <w:shd w:val="clear" w:color="auto" w:fill="CCEE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Aviation segment</w:t>
            </w: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25.9 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18.8 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17.6 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103768815"/>
        </w:trPr>
        <w:tc>
          <w:tcPr>
            <w:tcW w:w="0" w:type="auto"/>
            <w:gridSpan w:val="3"/>
            <w:shd w:val="clear" w:color="auto" w:fill="FFFF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Land segment</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38.1 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17.4 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12.5 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103768815"/>
        </w:trPr>
        <w:tc>
          <w:tcPr>
            <w:tcW w:w="0" w:type="auto"/>
            <w:gridSpan w:val="3"/>
            <w:shd w:val="clear" w:color="auto" w:fill="CCEE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Marine segment</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0.8 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103768815"/>
        </w:trPr>
        <w:tc>
          <w:tcPr>
            <w:tcW w:w="0" w:type="auto"/>
            <w:gridSpan w:val="3"/>
            <w:shd w:val="clear" w:color="auto" w:fill="FFFF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Corporate</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9.9 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20.4 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103768815"/>
        </w:trPr>
        <w:tc>
          <w:tcPr>
            <w:tcW w:w="0" w:type="auto"/>
            <w:gridSpan w:val="3"/>
            <w:shd w:val="clear" w:color="auto" w:fill="CCEEFF"/>
            <w:tcMar>
              <w:top w:w="30" w:type="dxa"/>
              <w:left w:w="26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capital expenditures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ind w:hanging="360"/>
        <w:jc w:val="both"/>
        <w:divId w:val="1712802308"/>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 xml:space="preserve">Includes asset impairment and restructuring charges as discussed in Note 15. Restructuring. </w:t>
      </w:r>
    </w:p>
    <w:p w:rsidR="00000000" w:rsidRDefault="002223F7">
      <w:pPr>
        <w:jc w:val="both"/>
        <w:divId w:val="406995916"/>
        <w:rPr>
          <w:rFonts w:eastAsia="Times New Roman"/>
        </w:rPr>
      </w:pPr>
      <w:r>
        <w:rPr>
          <w:rFonts w:ascii="Arial" w:eastAsia="Times New Roman" w:hAnsi="Arial" w:cs="Arial"/>
          <w:color w:val="000000"/>
          <w:sz w:val="20"/>
          <w:szCs w:val="20"/>
        </w:rPr>
        <w:t>Information concerning our accounts receivable, net, and total assets by segment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5652"/>
        <w:gridCol w:w="37"/>
        <w:gridCol w:w="132"/>
        <w:gridCol w:w="1074"/>
        <w:gridCol w:w="36"/>
        <w:gridCol w:w="36"/>
        <w:gridCol w:w="36"/>
        <w:gridCol w:w="36"/>
        <w:gridCol w:w="132"/>
        <w:gridCol w:w="1061"/>
        <w:gridCol w:w="36"/>
      </w:tblGrid>
      <w:tr w:rsidR="00000000">
        <w:trPr>
          <w:divId w:val="100271321"/>
        </w:trPr>
        <w:tc>
          <w:tcPr>
            <w:tcW w:w="50" w:type="pct"/>
            <w:vAlign w:val="center"/>
            <w:hideMark/>
          </w:tcPr>
          <w:p w:rsidR="00000000" w:rsidRDefault="002223F7">
            <w:pPr>
              <w:jc w:val="both"/>
              <w:rPr>
                <w:rFonts w:eastAsia="Times New Roman"/>
              </w:rPr>
            </w:pPr>
          </w:p>
        </w:tc>
        <w:tc>
          <w:tcPr>
            <w:tcW w:w="343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6"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100271321"/>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As of December 31,</w:t>
            </w:r>
          </w:p>
        </w:tc>
      </w:tr>
      <w:tr w:rsidR="00000000">
        <w:trPr>
          <w:divId w:val="100271321"/>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2021</w:t>
            </w:r>
          </w:p>
        </w:tc>
      </w:tr>
      <w:tr w:rsidR="00000000">
        <w:trPr>
          <w:divId w:val="100271321"/>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Accounts receivable, net: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00271321"/>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divId w:val="1938246505"/>
              <w:rPr>
                <w:rFonts w:eastAsia="Times New Roman"/>
              </w:rPr>
            </w:pPr>
            <w:r>
              <w:rPr>
                <w:rFonts w:ascii="Arial" w:eastAsia="Times New Roman" w:hAnsi="Arial" w:cs="Arial"/>
                <w:color w:val="000000"/>
                <w:sz w:val="20"/>
                <w:szCs w:val="20"/>
              </w:rPr>
              <w:t xml:space="preserve">Aviation segment, net of allowance for credit losses of $4.9 and $18.4 as of December 31, 2022 and 2021, respectively </w:t>
            </w: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1,452.4 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972.9 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00271321"/>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divId w:val="415588873"/>
              <w:rPr>
                <w:rFonts w:eastAsia="Times New Roman"/>
              </w:rPr>
            </w:pPr>
            <w:r>
              <w:rPr>
                <w:rFonts w:ascii="Arial" w:eastAsia="Times New Roman" w:hAnsi="Arial" w:cs="Arial"/>
                <w:color w:val="000000"/>
                <w:sz w:val="20"/>
                <w:szCs w:val="20"/>
              </w:rPr>
              <w:t>Land segment, net of allowance for credit losses of $5.8 and $3.8 as of December 31, 2022 and 2021, respectively</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1,141.9 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664.7 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00271321"/>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divId w:val="728186559"/>
              <w:rPr>
                <w:rFonts w:eastAsia="Times New Roman"/>
              </w:rPr>
            </w:pPr>
            <w:r>
              <w:rPr>
                <w:rFonts w:ascii="Arial" w:eastAsia="Times New Roman" w:hAnsi="Arial" w:cs="Arial"/>
                <w:color w:val="000000"/>
                <w:sz w:val="20"/>
                <w:szCs w:val="20"/>
              </w:rPr>
              <w:t>Marine segment, net of allowance for credit losses of $3.4 and $3.9 as of December </w:t>
            </w:r>
            <w:r>
              <w:rPr>
                <w:rFonts w:ascii="Arial" w:eastAsia="Times New Roman" w:hAnsi="Arial" w:cs="Arial"/>
                <w:color w:val="000000"/>
                <w:sz w:val="20"/>
                <w:szCs w:val="20"/>
              </w:rPr>
              <w:t>31, 2022 and 2021, respectively</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699.8 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717.7 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00271321"/>
        </w:trPr>
        <w:tc>
          <w:tcPr>
            <w:tcW w:w="0" w:type="auto"/>
            <w:gridSpan w:val="3"/>
            <w:shd w:val="clear" w:color="auto" w:fill="CCEEFF"/>
            <w:tcMar>
              <w:top w:w="30" w:type="dxa"/>
              <w:left w:w="26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accounts receivable, net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3,294.1 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2,355.3 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00271321"/>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assets: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100271321"/>
        </w:trPr>
        <w:tc>
          <w:tcPr>
            <w:tcW w:w="0" w:type="auto"/>
            <w:gridSpan w:val="3"/>
            <w:shd w:val="clear" w:color="auto" w:fill="CCEE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Aviation segment</w:t>
            </w: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3,036.2 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2,305.6 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00271321"/>
        </w:trPr>
        <w:tc>
          <w:tcPr>
            <w:tcW w:w="0" w:type="auto"/>
            <w:gridSpan w:val="3"/>
            <w:shd w:val="clear" w:color="auto" w:fill="FFFF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Land segment</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3,710.1 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2,106.1 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00271321"/>
        </w:trPr>
        <w:tc>
          <w:tcPr>
            <w:tcW w:w="0" w:type="auto"/>
            <w:gridSpan w:val="3"/>
            <w:shd w:val="clear" w:color="auto" w:fill="CCEE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Marine segment</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1,007.4 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1,022.7 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00271321"/>
        </w:trPr>
        <w:tc>
          <w:tcPr>
            <w:tcW w:w="0" w:type="auto"/>
            <w:gridSpan w:val="3"/>
            <w:shd w:val="clear" w:color="auto" w:fill="FFFF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Corporate</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410.8 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507.9 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00271321"/>
        </w:trPr>
        <w:tc>
          <w:tcPr>
            <w:tcW w:w="0" w:type="auto"/>
            <w:gridSpan w:val="3"/>
            <w:shd w:val="clear" w:color="auto" w:fill="CCEEFF"/>
            <w:tcMar>
              <w:top w:w="30" w:type="dxa"/>
              <w:left w:w="26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8,164.6 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5,942.4 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jc w:val="center"/>
        <w:divId w:val="157355187"/>
        <w:rPr>
          <w:rFonts w:eastAsia="Times New Roman"/>
        </w:rPr>
      </w:pPr>
      <w:r>
        <w:rPr>
          <w:rFonts w:ascii="Arial" w:eastAsia="Times New Roman" w:hAnsi="Arial" w:cs="Arial"/>
          <w:color w:val="000000"/>
          <w:sz w:val="16"/>
          <w:szCs w:val="16"/>
        </w:rPr>
        <w:t>82</w:t>
      </w:r>
    </w:p>
    <w:p w:rsidR="00000000" w:rsidRDefault="002223F7">
      <w:pPr>
        <w:rPr>
          <w:rFonts w:eastAsia="Times New Roman"/>
        </w:rPr>
      </w:pPr>
      <w:r>
        <w:rPr>
          <w:rFonts w:eastAsia="Times New Roman"/>
        </w:rPr>
        <w:pict>
          <v:rect id="_x0000_i1113" style="width:0;height:1.5pt" o:hralign="center" o:hrstd="t" o:hr="t" fillcolor="#a0a0a0" stroked="f"/>
        </w:pict>
      </w:r>
    </w:p>
    <w:p w:rsidR="00000000" w:rsidRDefault="002223F7">
      <w:pPr>
        <w:jc w:val="both"/>
        <w:divId w:val="1397629348"/>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divId w:val="2086948025"/>
        <w:rPr>
          <w:rFonts w:eastAsia="Times New Roman"/>
        </w:rPr>
      </w:pPr>
      <w:r>
        <w:rPr>
          <w:rFonts w:ascii="Arial" w:eastAsia="Times New Roman" w:hAnsi="Arial" w:cs="Arial"/>
          <w:b/>
          <w:bCs/>
          <w:color w:val="000000"/>
          <w:sz w:val="20"/>
          <w:szCs w:val="20"/>
        </w:rPr>
        <w:t>Geographic Information</w:t>
      </w:r>
    </w:p>
    <w:p w:rsidR="00000000" w:rsidRDefault="002223F7">
      <w:pPr>
        <w:jc w:val="both"/>
        <w:divId w:val="2000384055"/>
        <w:rPr>
          <w:rFonts w:eastAsia="Times New Roman"/>
        </w:rPr>
      </w:pPr>
      <w:r>
        <w:rPr>
          <w:rFonts w:ascii="Arial" w:eastAsia="Times New Roman" w:hAnsi="Arial" w:cs="Arial"/>
          <w:color w:val="000000"/>
          <w:sz w:val="20"/>
          <w:szCs w:val="20"/>
        </w:rPr>
        <w:t>Information concerning our revenue and property and equipment, net, as segregated between the Americas, EMEA (Europe, Middle East and Africa) and the Asia Pacific regions, is presented as follows, based on the country of incorporation of the relevant subsi</w:t>
      </w:r>
      <w:r>
        <w:rPr>
          <w:rFonts w:ascii="Arial" w:eastAsia="Times New Roman" w:hAnsi="Arial" w:cs="Arial"/>
          <w:color w:val="000000"/>
          <w:sz w:val="20"/>
          <w:szCs w:val="20"/>
        </w:rPr>
        <w:t>diary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343"/>
        <w:gridCol w:w="37"/>
        <w:gridCol w:w="133"/>
        <w:gridCol w:w="1068"/>
        <w:gridCol w:w="37"/>
        <w:gridCol w:w="37"/>
        <w:gridCol w:w="57"/>
        <w:gridCol w:w="36"/>
        <w:gridCol w:w="132"/>
        <w:gridCol w:w="1026"/>
        <w:gridCol w:w="36"/>
        <w:gridCol w:w="36"/>
        <w:gridCol w:w="57"/>
        <w:gridCol w:w="36"/>
        <w:gridCol w:w="132"/>
        <w:gridCol w:w="1029"/>
        <w:gridCol w:w="36"/>
      </w:tblGrid>
      <w:tr w:rsidR="00000000">
        <w:trPr>
          <w:divId w:val="222759689"/>
          <w:jc w:val="center"/>
        </w:trPr>
        <w:tc>
          <w:tcPr>
            <w:tcW w:w="50" w:type="pct"/>
            <w:vAlign w:val="center"/>
            <w:hideMark/>
          </w:tcPr>
          <w:p w:rsidR="00000000" w:rsidRDefault="002223F7">
            <w:pPr>
              <w:jc w:val="both"/>
              <w:rPr>
                <w:rFonts w:eastAsia="Times New Roman"/>
              </w:rPr>
            </w:pPr>
          </w:p>
        </w:tc>
        <w:tc>
          <w:tcPr>
            <w:tcW w:w="2649"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6"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222759689"/>
          <w:jc w:val="center"/>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For the Year Ended December 31,</w:t>
            </w:r>
          </w:p>
        </w:tc>
      </w:tr>
      <w:tr w:rsidR="00000000">
        <w:trPr>
          <w:divId w:val="222759689"/>
          <w:jc w:val="center"/>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2020</w:t>
            </w:r>
          </w:p>
        </w:tc>
      </w:tr>
      <w:tr w:rsidR="00000000">
        <w:trPr>
          <w:divId w:val="222759689"/>
          <w:jc w:val="center"/>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22759689"/>
          <w:jc w:val="center"/>
        </w:trPr>
        <w:tc>
          <w:tcPr>
            <w:tcW w:w="0" w:type="auto"/>
            <w:gridSpan w:val="3"/>
            <w:shd w:val="clear" w:color="auto" w:fill="FFFF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United States</w:t>
            </w: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32,901.7 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16,696.2 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10,365.2 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22759689"/>
          <w:jc w:val="center"/>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divId w:val="286006292"/>
              <w:rPr>
                <w:rFonts w:eastAsia="Times New Roman"/>
              </w:rPr>
            </w:pPr>
            <w:r>
              <w:rPr>
                <w:rFonts w:ascii="Arial" w:eastAsia="Times New Roman" w:hAnsi="Arial" w:cs="Arial"/>
                <w:color w:val="000000"/>
                <w:sz w:val="20"/>
                <w:szCs w:val="20"/>
              </w:rPr>
              <w:t>EMEA</w:t>
            </w:r>
            <w:r>
              <w:rPr>
                <w:rFonts w:ascii="Arial" w:eastAsia="Times New Roman" w:hAnsi="Arial" w:cs="Arial"/>
                <w:color w:val="000000"/>
                <w:sz w:val="20"/>
                <w:szCs w:val="20"/>
              </w:rPr>
              <w:t> </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12,396.1 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6,735.7 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4,961.0 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22759689"/>
          <w:jc w:val="center"/>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divId w:val="874539381"/>
              <w:rPr>
                <w:rFonts w:eastAsia="Times New Roman"/>
              </w:rPr>
            </w:pPr>
            <w:r>
              <w:rPr>
                <w:rFonts w:ascii="Arial" w:eastAsia="Times New Roman" w:hAnsi="Arial" w:cs="Arial"/>
                <w:color w:val="000000"/>
                <w:sz w:val="20"/>
                <w:szCs w:val="20"/>
              </w:rPr>
              <w:t>Asia Pacific</w:t>
            </w:r>
            <w:r>
              <w:rPr>
                <w:rFonts w:ascii="Arial" w:eastAsia="Times New Roman" w:hAnsi="Arial" w:cs="Arial"/>
                <w:color w:val="000000"/>
                <w:sz w:val="20"/>
                <w:szCs w:val="20"/>
              </w:rPr>
              <w:t> </w:t>
            </w:r>
            <w:r>
              <w:rPr>
                <w:rFonts w:ascii="Arial" w:eastAsia="Times New Roman" w:hAnsi="Arial" w:cs="Arial"/>
                <w:color w:val="000000"/>
                <w:sz w:val="13"/>
                <w:szCs w:val="13"/>
              </w:rPr>
              <w:t>(2</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7,076.6 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4,620.0 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3,035.6 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22759689"/>
          <w:jc w:val="center"/>
        </w:trPr>
        <w:tc>
          <w:tcPr>
            <w:tcW w:w="0" w:type="auto"/>
            <w:gridSpan w:val="3"/>
            <w:shd w:val="clear" w:color="auto" w:fill="CCEE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Americas, excluding United States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6,668.6 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3,285.1 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1,996.6 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22759689"/>
          <w:jc w:val="center"/>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divId w:val="1418751005"/>
              <w:rPr>
                <w:rFonts w:eastAsia="Times New Roman"/>
              </w:rPr>
            </w:pPr>
            <w:r>
              <w:rPr>
                <w:rFonts w:ascii="Arial" w:eastAsia="Times New Roman" w:hAnsi="Arial" w:cs="Arial"/>
                <w:color w:val="000000"/>
                <w:sz w:val="20"/>
                <w:szCs w:val="20"/>
              </w:rPr>
              <w:t>Tota</w:t>
            </w:r>
            <w:r>
              <w:rPr>
                <w:rFonts w:ascii="Arial" w:eastAsia="Times New Roman" w:hAnsi="Arial" w:cs="Arial"/>
                <w:color w:val="000000"/>
                <w:sz w:val="20"/>
                <w:szCs w:val="20"/>
              </w:rPr>
              <w:t>l</w:t>
            </w:r>
            <w:r>
              <w:rPr>
                <w:rFonts w:ascii="Arial" w:eastAsia="Times New Roman" w:hAnsi="Arial" w:cs="Arial"/>
                <w:color w:val="000000"/>
                <w:sz w:val="13"/>
                <w:szCs w:val="13"/>
              </w:rPr>
              <w:t xml:space="preserve"> (3</w:t>
            </w:r>
            <w:r>
              <w:rPr>
                <w:rFonts w:ascii="Arial" w:eastAsia="Times New Roman" w:hAnsi="Arial" w:cs="Arial"/>
                <w:color w:val="000000"/>
                <w:sz w:val="13"/>
                <w:szCs w:val="13"/>
              </w:rPr>
              <w: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59,043.1 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31,337.0 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20,358.3 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222759689"/>
          <w:jc w:val="center"/>
        </w:trPr>
        <w:tc>
          <w:tcPr>
            <w:tcW w:w="0" w:type="auto"/>
            <w:gridSpan w:val="3"/>
            <w:vAlign w:val="center"/>
            <w:hideMark/>
          </w:tcPr>
          <w:p w:rsidR="00000000" w:rsidRDefault="002223F7">
            <w:pPr>
              <w:spacing w:after="100"/>
              <w:jc w:val="right"/>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222759689"/>
          <w:jc w:val="center"/>
        </w:trPr>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222759689"/>
          <w:jc w:val="center"/>
        </w:trPr>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222759689"/>
          <w:jc w:val="center"/>
        </w:trPr>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222759689"/>
          <w:jc w:val="center"/>
        </w:trPr>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r w:rsidR="00000000">
        <w:trPr>
          <w:divId w:val="222759689"/>
          <w:jc w:val="center"/>
        </w:trPr>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c>
          <w:tcPr>
            <w:tcW w:w="0" w:type="auto"/>
            <w:gridSpan w:val="3"/>
            <w:vAlign w:val="center"/>
            <w:hideMark/>
          </w:tcPr>
          <w:p w:rsidR="00000000" w:rsidRDefault="002223F7">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5699"/>
        <w:gridCol w:w="144"/>
        <w:gridCol w:w="144"/>
        <w:gridCol w:w="1121"/>
        <w:gridCol w:w="144"/>
        <w:gridCol w:w="144"/>
        <w:gridCol w:w="144"/>
        <w:gridCol w:w="144"/>
        <w:gridCol w:w="144"/>
        <w:gridCol w:w="1122"/>
        <w:gridCol w:w="144"/>
      </w:tblGrid>
      <w:tr w:rsidR="00000000">
        <w:tc>
          <w:tcPr>
            <w:tcW w:w="50" w:type="pct"/>
            <w:vAlign w:val="center"/>
            <w:hideMark/>
          </w:tcPr>
          <w:p w:rsidR="00000000" w:rsidRDefault="002223F7">
            <w:pPr>
              <w:jc w:val="center"/>
              <w:rPr>
                <w:rFonts w:eastAsia="Times New Roman"/>
              </w:rPr>
            </w:pPr>
          </w:p>
        </w:tc>
        <w:tc>
          <w:tcPr>
            <w:tcW w:w="343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76"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As of December 31,</w:t>
            </w:r>
          </w:p>
        </w:tc>
      </w:tr>
      <w:tr w:rsidR="00000000">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2021</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Property and equipment, net: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United States</w:t>
            </w: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323.7 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183.9 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EMEA</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138.1 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145.7 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Asia Pacific</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9.9 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8.3 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Americas, excluding United States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12.6 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11.1 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484.2 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348.9 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ind w:hanging="360"/>
        <w:jc w:val="both"/>
        <w:divId w:val="1348212778"/>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20"/>
          <w:szCs w:val="20"/>
        </w:rPr>
        <w:t xml:space="preserve">Includes revenue related to the U.K. of $6.7 billion, $4.2 billion and $3.1 </w:t>
      </w:r>
      <w:r>
        <w:rPr>
          <w:rFonts w:ascii="Arial" w:eastAsia="Times New Roman" w:hAnsi="Arial" w:cs="Arial"/>
          <w:color w:val="000000"/>
          <w:sz w:val="20"/>
          <w:szCs w:val="20"/>
        </w:rPr>
        <w:t>billion for 2022, 2021 and 2020, respectively.</w:t>
      </w:r>
    </w:p>
    <w:p w:rsidR="00000000" w:rsidRDefault="002223F7">
      <w:pPr>
        <w:ind w:hanging="360"/>
        <w:jc w:val="both"/>
        <w:divId w:val="527178850"/>
        <w:rPr>
          <w:rFonts w:eastAsia="Times New Roman"/>
        </w:rPr>
      </w:pPr>
      <w:r>
        <w:rPr>
          <w:rFonts w:ascii="Arial" w:eastAsia="Times New Roman" w:hAnsi="Arial" w:cs="Arial"/>
          <w:color w:val="000000"/>
          <w:sz w:val="13"/>
          <w:szCs w:val="13"/>
        </w:rPr>
        <w:t>(2</w:t>
      </w:r>
      <w:r>
        <w:rPr>
          <w:rFonts w:ascii="Arial" w:eastAsia="Times New Roman" w:hAnsi="Arial" w:cs="Arial"/>
          <w:color w:val="000000"/>
          <w:sz w:val="13"/>
          <w:szCs w:val="13"/>
        </w:rPr>
        <w:t>)</w:t>
      </w:r>
      <w:r>
        <w:rPr>
          <w:rFonts w:ascii="Arial" w:eastAsia="Times New Roman" w:hAnsi="Arial" w:cs="Arial"/>
          <w:color w:val="000000"/>
          <w:sz w:val="20"/>
          <w:szCs w:val="20"/>
        </w:rPr>
        <w:t>Includes revenue related to Singapore of $7.2 billion, $4.6 billion and $3.0 billion for 2022, 2021 and 2020, respectively.</w:t>
      </w:r>
    </w:p>
    <w:p w:rsidR="00000000" w:rsidRDefault="002223F7">
      <w:pPr>
        <w:ind w:hanging="360"/>
        <w:jc w:val="both"/>
        <w:divId w:val="1926189011"/>
        <w:rPr>
          <w:rFonts w:eastAsia="Times New Roman"/>
        </w:rPr>
      </w:pPr>
      <w:r>
        <w:rPr>
          <w:rFonts w:ascii="Arial" w:eastAsia="Times New Roman" w:hAnsi="Arial" w:cs="Arial"/>
          <w:color w:val="000000"/>
          <w:sz w:val="13"/>
          <w:szCs w:val="13"/>
        </w:rPr>
        <w:t>(3</w:t>
      </w:r>
      <w:r>
        <w:rPr>
          <w:rFonts w:ascii="Arial" w:eastAsia="Times New Roman" w:hAnsi="Arial" w:cs="Arial"/>
          <w:color w:val="000000"/>
          <w:sz w:val="13"/>
          <w:szCs w:val="13"/>
        </w:rPr>
        <w:t>)</w:t>
      </w:r>
      <w:r>
        <w:rPr>
          <w:rFonts w:ascii="Arial" w:eastAsia="Times New Roman" w:hAnsi="Arial" w:cs="Arial"/>
          <w:color w:val="000000"/>
          <w:sz w:val="20"/>
          <w:szCs w:val="20"/>
        </w:rPr>
        <w:t>Geographic revenue information in this table includes impacts from derivatives and hedging activities, which are excluded from that geographic revenue information presented at Note 9. Revenue from Contracts with Customers.</w:t>
      </w:r>
    </w:p>
    <w:p w:rsidR="00000000" w:rsidRDefault="002223F7">
      <w:pPr>
        <w:divId w:val="2137066781"/>
        <w:rPr>
          <w:rFonts w:eastAsia="Times New Roman"/>
        </w:rPr>
      </w:pPr>
      <w:r>
        <w:rPr>
          <w:rFonts w:ascii="Arial" w:eastAsia="Times New Roman" w:hAnsi="Arial" w:cs="Arial"/>
          <w:b/>
          <w:bCs/>
          <w:color w:val="000000"/>
          <w:sz w:val="20"/>
          <w:szCs w:val="20"/>
        </w:rPr>
        <w:t>Major Customers</w:t>
      </w:r>
    </w:p>
    <w:p w:rsidR="00000000" w:rsidRDefault="002223F7">
      <w:pPr>
        <w:jc w:val="both"/>
        <w:divId w:val="579292618"/>
        <w:rPr>
          <w:rFonts w:eastAsia="Times New Roman"/>
        </w:rPr>
      </w:pPr>
      <w:r>
        <w:rPr>
          <w:rFonts w:ascii="Arial" w:eastAsia="Times New Roman" w:hAnsi="Arial" w:cs="Arial"/>
          <w:color w:val="000000"/>
          <w:sz w:val="20"/>
          <w:szCs w:val="20"/>
        </w:rPr>
        <w:t>For the years end</w:t>
      </w:r>
      <w:r>
        <w:rPr>
          <w:rFonts w:ascii="Arial" w:eastAsia="Times New Roman" w:hAnsi="Arial" w:cs="Arial"/>
          <w:color w:val="000000"/>
          <w:sz w:val="20"/>
          <w:szCs w:val="20"/>
        </w:rPr>
        <w:t xml:space="preserve">ed December 31, 2022, 2021, and 2020, none of our customers accounted for more than 10% of total consolidated revenue. </w:t>
      </w:r>
    </w:p>
    <w:p w:rsidR="00000000" w:rsidRDefault="002223F7">
      <w:pPr>
        <w:divId w:val="1316908595"/>
        <w:rPr>
          <w:rFonts w:eastAsia="Times New Roman"/>
        </w:rPr>
      </w:pPr>
      <w:r>
        <w:rPr>
          <w:rFonts w:ascii="Arial" w:eastAsia="Times New Roman" w:hAnsi="Arial" w:cs="Arial"/>
          <w:b/>
          <w:bCs/>
          <w:color w:val="000000"/>
          <w:sz w:val="20"/>
          <w:szCs w:val="20"/>
        </w:rPr>
        <w:t>15. Restructuring</w:t>
      </w:r>
    </w:p>
    <w:p w:rsidR="00000000" w:rsidRDefault="002223F7">
      <w:pPr>
        <w:divId w:val="1313367411"/>
        <w:rPr>
          <w:rFonts w:eastAsia="Times New Roman"/>
        </w:rPr>
      </w:pPr>
      <w:r>
        <w:rPr>
          <w:rFonts w:ascii="Arial" w:eastAsia="Times New Roman" w:hAnsi="Arial" w:cs="Arial"/>
          <w:b/>
          <w:bCs/>
          <w:color w:val="000000"/>
          <w:sz w:val="20"/>
          <w:szCs w:val="20"/>
        </w:rPr>
        <w:t>Restructuring Program</w:t>
      </w:r>
    </w:p>
    <w:p w:rsidR="00000000" w:rsidRDefault="002223F7">
      <w:pPr>
        <w:jc w:val="both"/>
        <w:divId w:val="143087544"/>
        <w:rPr>
          <w:rFonts w:eastAsia="Times New Roman"/>
        </w:rPr>
      </w:pPr>
      <w:r>
        <w:rPr>
          <w:rFonts w:ascii="Arial" w:eastAsia="Times New Roman" w:hAnsi="Arial" w:cs="Arial"/>
          <w:color w:val="000000"/>
          <w:sz w:val="20"/>
          <w:szCs w:val="20"/>
        </w:rPr>
        <w:t>As a result of the review of our land business and changes in the overall economic landscape for</w:t>
      </w:r>
      <w:r>
        <w:rPr>
          <w:rFonts w:ascii="Arial" w:eastAsia="Times New Roman" w:hAnsi="Arial" w:cs="Arial"/>
          <w:color w:val="000000"/>
          <w:sz w:val="20"/>
          <w:szCs w:val="20"/>
        </w:rPr>
        <w:t xml:space="preserve"> all our reportable segments due to the COVID-19 pandemic, in the first quarter of 2020, we implemented a restructuring initiative focused on streamlining our operations and rationalizing our deployment and allocation of resources. While we took several ac</w:t>
      </w:r>
      <w:r>
        <w:rPr>
          <w:rFonts w:ascii="Arial" w:eastAsia="Times New Roman" w:hAnsi="Arial" w:cs="Arial"/>
          <w:color w:val="000000"/>
          <w:sz w:val="20"/>
          <w:szCs w:val="20"/>
        </w:rPr>
        <w:t>tions during the year ended December 31, 2020, our focus was primarily on cost-reduction initiatives in response to the pandemic. In 2021, we heightened our focus on restructuring our land business in North America, which has included reorganizing and relo</w:t>
      </w:r>
      <w:r>
        <w:rPr>
          <w:rFonts w:ascii="Arial" w:eastAsia="Times New Roman" w:hAnsi="Arial" w:cs="Arial"/>
          <w:color w:val="000000"/>
          <w:sz w:val="20"/>
          <w:szCs w:val="20"/>
        </w:rPr>
        <w:t>cating certain business activities, as well as implementing changes to the operational and management structure of the business. During the fourth quarter of 2021, we were able to complete all necessary activities and close the restructuring program. Durin</w:t>
      </w:r>
      <w:r>
        <w:rPr>
          <w:rFonts w:ascii="Arial" w:eastAsia="Times New Roman" w:hAnsi="Arial" w:cs="Arial"/>
          <w:color w:val="000000"/>
          <w:sz w:val="20"/>
          <w:szCs w:val="20"/>
        </w:rPr>
        <w:t>g the year ended December 31, 2022, we released the remaining accrual associated with the restructuring program, which resulted in the reversal of $0.8 million of previously recognized restructuring charges.</w:t>
      </w:r>
    </w:p>
    <w:p w:rsidR="00000000" w:rsidRDefault="002223F7">
      <w:pPr>
        <w:jc w:val="center"/>
        <w:divId w:val="1307710869"/>
        <w:rPr>
          <w:rFonts w:eastAsia="Times New Roman"/>
        </w:rPr>
      </w:pPr>
      <w:r>
        <w:rPr>
          <w:rFonts w:ascii="Arial" w:eastAsia="Times New Roman" w:hAnsi="Arial" w:cs="Arial"/>
          <w:color w:val="000000"/>
          <w:sz w:val="16"/>
          <w:szCs w:val="16"/>
        </w:rPr>
        <w:t>83</w:t>
      </w:r>
    </w:p>
    <w:p w:rsidR="00000000" w:rsidRDefault="002223F7">
      <w:pPr>
        <w:rPr>
          <w:rFonts w:eastAsia="Times New Roman"/>
        </w:rPr>
      </w:pPr>
      <w:r>
        <w:rPr>
          <w:rFonts w:eastAsia="Times New Roman"/>
        </w:rPr>
        <w:pict>
          <v:rect id="_x0000_i1114" style="width:0;height:1.5pt" o:hralign="center" o:hrstd="t" o:hr="t" fillcolor="#a0a0a0" stroked="f"/>
        </w:pict>
      </w:r>
    </w:p>
    <w:p w:rsidR="00000000" w:rsidRDefault="002223F7">
      <w:pPr>
        <w:jc w:val="both"/>
        <w:divId w:val="839276513"/>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270405666"/>
        <w:rPr>
          <w:rFonts w:eastAsia="Times New Roman"/>
        </w:rPr>
      </w:pPr>
      <w:r>
        <w:rPr>
          <w:rFonts w:ascii="Arial" w:eastAsia="Times New Roman" w:hAnsi="Arial" w:cs="Arial"/>
          <w:color w:val="000000"/>
          <w:sz w:val="20"/>
          <w:szCs w:val="20"/>
        </w:rPr>
        <w:t>The following table provides a summary of our restructuring activities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2986"/>
        <w:gridCol w:w="37"/>
        <w:gridCol w:w="133"/>
        <w:gridCol w:w="744"/>
        <w:gridCol w:w="36"/>
        <w:gridCol w:w="36"/>
        <w:gridCol w:w="36"/>
        <w:gridCol w:w="36"/>
        <w:gridCol w:w="133"/>
        <w:gridCol w:w="516"/>
        <w:gridCol w:w="36"/>
        <w:gridCol w:w="36"/>
        <w:gridCol w:w="36"/>
        <w:gridCol w:w="36"/>
        <w:gridCol w:w="133"/>
        <w:gridCol w:w="614"/>
        <w:gridCol w:w="36"/>
        <w:gridCol w:w="36"/>
        <w:gridCol w:w="36"/>
        <w:gridCol w:w="36"/>
        <w:gridCol w:w="133"/>
        <w:gridCol w:w="893"/>
        <w:gridCol w:w="36"/>
        <w:gridCol w:w="36"/>
        <w:gridCol w:w="36"/>
        <w:gridCol w:w="36"/>
        <w:gridCol w:w="133"/>
        <w:gridCol w:w="1201"/>
        <w:gridCol w:w="36"/>
      </w:tblGrid>
      <w:tr w:rsidR="00000000">
        <w:trPr>
          <w:divId w:val="1596866810"/>
        </w:trPr>
        <w:tc>
          <w:tcPr>
            <w:tcW w:w="50" w:type="pct"/>
            <w:vAlign w:val="center"/>
            <w:hideMark/>
          </w:tcPr>
          <w:p w:rsidR="00000000" w:rsidRDefault="002223F7">
            <w:pPr>
              <w:jc w:val="both"/>
              <w:rPr>
                <w:rFonts w:eastAsia="Times New Roman"/>
              </w:rPr>
            </w:pPr>
          </w:p>
        </w:tc>
        <w:tc>
          <w:tcPr>
            <w:tcW w:w="192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78"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78"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78"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78"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2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1596866810"/>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Aviation</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Land</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Marine</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Corporate</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Consolidated</w:t>
            </w:r>
          </w:p>
        </w:tc>
      </w:tr>
      <w:tr w:rsidR="00000000">
        <w:trPr>
          <w:divId w:val="159686681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Accrued charges as of December 31,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59686681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Restructuring charges</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6.3 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(0.5)</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59686681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Paid during the period</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(0.8)</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(10.8)</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(0.4)</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(0.1)</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(12.2)</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59686681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Accrued charges as of December 31, 2021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59686681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Restructuring charges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(0.7)</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(0.1)</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(0.8)</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596866810"/>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Paid during the period</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(0.1)</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(0.2)</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1596866810"/>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Accrued charges as of December 31, 2022</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divId w:val="1089234621"/>
        <w:rPr>
          <w:rFonts w:eastAsia="Times New Roman"/>
        </w:rPr>
      </w:pPr>
      <w:r>
        <w:rPr>
          <w:rFonts w:ascii="Arial" w:eastAsia="Times New Roman" w:hAnsi="Arial" w:cs="Arial"/>
          <w:b/>
          <w:bCs/>
          <w:color w:val="000000"/>
          <w:sz w:val="20"/>
          <w:szCs w:val="20"/>
        </w:rPr>
        <w:t>2020 Global Office Rationalization</w:t>
      </w:r>
    </w:p>
    <w:p w:rsidR="00000000" w:rsidRDefault="002223F7">
      <w:pPr>
        <w:jc w:val="both"/>
        <w:divId w:val="2084524212"/>
        <w:rPr>
          <w:rFonts w:eastAsia="Times New Roman"/>
        </w:rPr>
      </w:pPr>
      <w:r>
        <w:rPr>
          <w:rFonts w:ascii="Arial" w:eastAsia="Times New Roman" w:hAnsi="Arial" w:cs="Arial"/>
          <w:color w:val="000000"/>
          <w:sz w:val="20"/>
          <w:szCs w:val="20"/>
        </w:rPr>
        <w:t>During the second quarter of 2020, we completed a cost reduction initiative to rationalize our global</w:t>
      </w:r>
      <w:r>
        <w:rPr>
          <w:rFonts w:ascii="Arial" w:eastAsia="Times New Roman" w:hAnsi="Arial" w:cs="Arial"/>
          <w:color w:val="000000"/>
          <w:sz w:val="20"/>
          <w:szCs w:val="20"/>
        </w:rPr>
        <w:t xml:space="preserve"> office footprint and approved the abandonment of certain office leases, including the transition of select offices to smaller or more cost-effective locations. These asset groups, consisting mainly of right-of-use assets and leasehold improvements, were t</w:t>
      </w:r>
      <w:r>
        <w:rPr>
          <w:rFonts w:ascii="Arial" w:eastAsia="Times New Roman" w:hAnsi="Arial" w:cs="Arial"/>
          <w:color w:val="000000"/>
          <w:sz w:val="20"/>
          <w:szCs w:val="20"/>
        </w:rPr>
        <w:t>ested for impairment. We concluded that the carrying amounts of these asset groups were not recoverable and the fair value determined was concluded to be nominal based on a discounted cash flow model. As a result, an $18.6 million impairment charge was rec</w:t>
      </w:r>
      <w:r>
        <w:rPr>
          <w:rFonts w:ascii="Arial" w:eastAsia="Times New Roman" w:hAnsi="Arial" w:cs="Arial"/>
          <w:color w:val="000000"/>
          <w:sz w:val="20"/>
          <w:szCs w:val="20"/>
        </w:rPr>
        <w:t>orded during the second quarter of 2020 and included within Asset impairments on our Consolidated Statements of Income and Comprehensive Income.</w:t>
      </w:r>
    </w:p>
    <w:p w:rsidR="00000000" w:rsidRDefault="002223F7">
      <w:pPr>
        <w:jc w:val="both"/>
        <w:divId w:val="432828249"/>
        <w:rPr>
          <w:rFonts w:eastAsia="Times New Roman"/>
        </w:rPr>
      </w:pPr>
      <w:r>
        <w:rPr>
          <w:rFonts w:ascii="Arial" w:eastAsia="Times New Roman" w:hAnsi="Arial" w:cs="Arial"/>
          <w:color w:val="000000"/>
          <w:sz w:val="20"/>
          <w:szCs w:val="20"/>
        </w:rPr>
        <w:t>The following table provides a summary of this impairment by reportable business segment for the year ended Dec</w:t>
      </w:r>
      <w:r>
        <w:rPr>
          <w:rFonts w:ascii="Arial" w:eastAsia="Times New Roman" w:hAnsi="Arial" w:cs="Arial"/>
          <w:color w:val="000000"/>
          <w:sz w:val="20"/>
          <w:szCs w:val="20"/>
        </w:rPr>
        <w:t>ember 31, 2020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2987"/>
        <w:gridCol w:w="36"/>
        <w:gridCol w:w="133"/>
        <w:gridCol w:w="744"/>
        <w:gridCol w:w="36"/>
        <w:gridCol w:w="36"/>
        <w:gridCol w:w="36"/>
        <w:gridCol w:w="36"/>
        <w:gridCol w:w="133"/>
        <w:gridCol w:w="517"/>
        <w:gridCol w:w="36"/>
        <w:gridCol w:w="36"/>
        <w:gridCol w:w="36"/>
        <w:gridCol w:w="36"/>
        <w:gridCol w:w="133"/>
        <w:gridCol w:w="614"/>
        <w:gridCol w:w="36"/>
        <w:gridCol w:w="36"/>
        <w:gridCol w:w="36"/>
        <w:gridCol w:w="36"/>
        <w:gridCol w:w="133"/>
        <w:gridCol w:w="893"/>
        <w:gridCol w:w="36"/>
        <w:gridCol w:w="36"/>
        <w:gridCol w:w="36"/>
        <w:gridCol w:w="36"/>
        <w:gridCol w:w="133"/>
        <w:gridCol w:w="1201"/>
        <w:gridCol w:w="36"/>
      </w:tblGrid>
      <w:tr w:rsidR="00000000">
        <w:trPr>
          <w:divId w:val="1469131636"/>
        </w:trPr>
        <w:tc>
          <w:tcPr>
            <w:tcW w:w="50" w:type="pct"/>
            <w:vAlign w:val="center"/>
            <w:hideMark/>
          </w:tcPr>
          <w:p w:rsidR="00000000" w:rsidRDefault="002223F7">
            <w:pPr>
              <w:jc w:val="both"/>
              <w:rPr>
                <w:rFonts w:eastAsia="Times New Roman"/>
              </w:rPr>
            </w:pPr>
          </w:p>
        </w:tc>
        <w:tc>
          <w:tcPr>
            <w:tcW w:w="192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78"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78"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78"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478"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2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1469131636"/>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Aviation</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Land</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Marine</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Corporate</w:t>
            </w:r>
          </w:p>
        </w:tc>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Consolidated</w:t>
            </w:r>
          </w:p>
        </w:tc>
      </w:tr>
      <w:tr w:rsidR="00000000">
        <w:trPr>
          <w:divId w:val="1469131636"/>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Asset impairment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divId w:val="346560783"/>
        <w:rPr>
          <w:rFonts w:eastAsia="Times New Roman"/>
        </w:rPr>
      </w:pPr>
      <w:r>
        <w:rPr>
          <w:rFonts w:ascii="Arial" w:eastAsia="Times New Roman" w:hAnsi="Arial" w:cs="Arial"/>
          <w:b/>
          <w:bCs/>
          <w:color w:val="000000"/>
          <w:sz w:val="20"/>
          <w:szCs w:val="20"/>
        </w:rPr>
        <w:t>16. Earnings per Common Sh</w:t>
      </w:r>
      <w:r>
        <w:rPr>
          <w:rFonts w:ascii="Arial" w:eastAsia="Times New Roman" w:hAnsi="Arial" w:cs="Arial"/>
          <w:b/>
          <w:bCs/>
          <w:color w:val="000000"/>
          <w:sz w:val="20"/>
          <w:szCs w:val="20"/>
        </w:rPr>
        <w:t>are</w:t>
      </w:r>
    </w:p>
    <w:p w:rsidR="00000000" w:rsidRDefault="002223F7">
      <w:pPr>
        <w:jc w:val="both"/>
        <w:divId w:val="1934317150"/>
        <w:rPr>
          <w:rFonts w:eastAsia="Times New Roman"/>
        </w:rPr>
      </w:pPr>
      <w:r>
        <w:rPr>
          <w:rFonts w:ascii="Arial" w:eastAsia="Times New Roman" w:hAnsi="Arial" w:cs="Arial"/>
          <w:color w:val="000000"/>
          <w:sz w:val="20"/>
          <w:szCs w:val="20"/>
        </w:rPr>
        <w:t>The following table sets forth the computation of basic and diluted earnings per common share (in millions, except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39"/>
        <w:gridCol w:w="4598"/>
        <w:gridCol w:w="37"/>
        <w:gridCol w:w="132"/>
        <w:gridCol w:w="984"/>
        <w:gridCol w:w="36"/>
        <w:gridCol w:w="36"/>
        <w:gridCol w:w="36"/>
        <w:gridCol w:w="36"/>
        <w:gridCol w:w="132"/>
        <w:gridCol w:w="963"/>
        <w:gridCol w:w="36"/>
        <w:gridCol w:w="36"/>
        <w:gridCol w:w="36"/>
        <w:gridCol w:w="36"/>
        <w:gridCol w:w="132"/>
        <w:gridCol w:w="965"/>
        <w:gridCol w:w="36"/>
      </w:tblGrid>
      <w:tr w:rsidR="00000000">
        <w:trPr>
          <w:divId w:val="438718371"/>
        </w:trPr>
        <w:tc>
          <w:tcPr>
            <w:tcW w:w="50" w:type="pct"/>
            <w:vAlign w:val="center"/>
            <w:hideMark/>
          </w:tcPr>
          <w:p w:rsidR="00000000" w:rsidRDefault="002223F7">
            <w:pPr>
              <w:jc w:val="both"/>
              <w:rPr>
                <w:rFonts w:eastAsia="Times New Roman"/>
              </w:rPr>
            </w:pPr>
          </w:p>
        </w:tc>
        <w:tc>
          <w:tcPr>
            <w:tcW w:w="2803"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2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2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62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438718371"/>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For the Year Ended December 31,</w:t>
            </w:r>
          </w:p>
        </w:tc>
      </w:tr>
      <w:tr w:rsidR="00000000">
        <w:trPr>
          <w:divId w:val="438718371"/>
        </w:trPr>
        <w:tc>
          <w:tcPr>
            <w:tcW w:w="0" w:type="auto"/>
            <w:gridSpan w:val="3"/>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223F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jc w:val="center"/>
              <w:rPr>
                <w:rFonts w:eastAsia="Times New Roman"/>
              </w:rPr>
            </w:pPr>
            <w:r>
              <w:rPr>
                <w:rFonts w:ascii="Arial" w:eastAsia="Times New Roman" w:hAnsi="Arial" w:cs="Arial"/>
                <w:b/>
                <w:bCs/>
                <w:color w:val="000000"/>
                <w:sz w:val="20"/>
                <w:szCs w:val="20"/>
              </w:rPr>
              <w:t>2020</w:t>
            </w:r>
          </w:p>
        </w:tc>
      </w:tr>
      <w:tr w:rsidR="00000000">
        <w:trPr>
          <w:divId w:val="438718371"/>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Numerator:</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438718371"/>
        </w:trPr>
        <w:tc>
          <w:tcPr>
            <w:tcW w:w="0" w:type="auto"/>
            <w:gridSpan w:val="3"/>
            <w:shd w:val="clear" w:color="auto" w:fill="FFFF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Net income (loss) attributable to World Fuel</w:t>
            </w: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114.1 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73.7 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109.6 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38718371"/>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Denominator:</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438718371"/>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divId w:val="84150121"/>
              <w:rPr>
                <w:rFonts w:eastAsia="Times New Roman"/>
              </w:rPr>
            </w:pPr>
            <w:r>
              <w:rPr>
                <w:rFonts w:ascii="Arial" w:eastAsia="Times New Roman" w:hAnsi="Arial" w:cs="Arial"/>
                <w:color w:val="000000"/>
                <w:sz w:val="20"/>
                <w:szCs w:val="20"/>
              </w:rPr>
              <w:t>Weighted average common shares for basic earnings per common shar</w:t>
            </w:r>
            <w:r>
              <w:rPr>
                <w:rFonts w:ascii="Arial" w:eastAsia="Times New Roman" w:hAnsi="Arial" w:cs="Arial"/>
                <w:color w:val="000000"/>
                <w:sz w:val="20"/>
                <w:szCs w:val="20"/>
              </w:rPr>
              <w:t>e</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62.3 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62.9 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63.7 </w:t>
            </w:r>
          </w:p>
        </w:tc>
        <w:tc>
          <w:tcPr>
            <w:tcW w:w="0" w:type="auto"/>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38718371"/>
        </w:trPr>
        <w:tc>
          <w:tcPr>
            <w:tcW w:w="0" w:type="auto"/>
            <w:gridSpan w:val="3"/>
            <w:shd w:val="clear" w:color="auto" w:fill="CCEE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Effect of dilutive securities</w:t>
            </w: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0.4 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38718371"/>
        </w:trPr>
        <w:tc>
          <w:tcPr>
            <w:tcW w:w="0" w:type="auto"/>
            <w:gridSpan w:val="3"/>
            <w:shd w:val="clear" w:color="auto" w:fill="FFFFFF"/>
            <w:tcMar>
              <w:top w:w="30" w:type="dxa"/>
              <w:left w:w="14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Weighted average common shares for diluted earnings per common share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64.0 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38718371"/>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Basic earnings (loss) per common share</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1.83 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1.72 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38718371"/>
        </w:trPr>
        <w:tc>
          <w:tcPr>
            <w:tcW w:w="0" w:type="auto"/>
            <w:gridSpan w:val="3"/>
            <w:shd w:val="clear" w:color="auto" w:fill="FFFF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Diluted earnings (loss) per common share</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1.82 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1.16 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1.71 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2223F7">
            <w:pPr>
              <w:spacing w:after="100"/>
              <w:jc w:val="right"/>
              <w:rPr>
                <w:rFonts w:eastAsia="Times New Roman"/>
              </w:rPr>
            </w:pPr>
          </w:p>
        </w:tc>
      </w:tr>
      <w:tr w:rsidR="00000000">
        <w:trPr>
          <w:divId w:val="438718371"/>
        </w:trPr>
        <w:tc>
          <w:tcPr>
            <w:tcW w:w="0" w:type="auto"/>
            <w:gridSpan w:val="3"/>
            <w:shd w:val="clear" w:color="auto" w:fill="CCEEFF"/>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20"/>
                <w:szCs w:val="20"/>
              </w:rPr>
              <w:t>Weighted average securities which are not included in the calculation of diluted earnings per common share because their impact is anti-dilutive or their performance conditions ha</w:t>
            </w:r>
            <w:r>
              <w:rPr>
                <w:rFonts w:ascii="Arial" w:eastAsia="Times New Roman" w:hAnsi="Arial" w:cs="Arial"/>
                <w:color w:val="000000"/>
                <w:sz w:val="20"/>
                <w:szCs w:val="20"/>
              </w:rPr>
              <w:t>ve not been met</w:t>
            </w: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1.5 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1.5 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223F7">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223F7">
            <w:pPr>
              <w:spacing w:after="100"/>
              <w:jc w:val="right"/>
              <w:rPr>
                <w:rFonts w:eastAsia="Times New Roman"/>
              </w:rPr>
            </w:pPr>
            <w:r>
              <w:rPr>
                <w:rFonts w:ascii="Arial" w:eastAsia="Times New Roman" w:hAnsi="Arial" w:cs="Arial"/>
                <w:color w:val="000000"/>
                <w:sz w:val="20"/>
                <w:szCs w:val="20"/>
              </w:rPr>
              <w:t>3.0 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223F7">
            <w:pPr>
              <w:spacing w:after="100"/>
              <w:jc w:val="right"/>
              <w:rPr>
                <w:rFonts w:eastAsia="Times New Roman"/>
              </w:rPr>
            </w:pPr>
          </w:p>
        </w:tc>
      </w:tr>
    </w:tbl>
    <w:p w:rsidR="00000000" w:rsidRDefault="002223F7">
      <w:pPr>
        <w:divId w:val="932589150"/>
        <w:rPr>
          <w:rFonts w:eastAsia="Times New Roman"/>
        </w:rPr>
      </w:pPr>
      <w:r>
        <w:rPr>
          <w:rFonts w:ascii="Arial" w:eastAsia="Times New Roman" w:hAnsi="Arial" w:cs="Arial"/>
          <w:b/>
          <w:bCs/>
          <w:color w:val="000000"/>
        </w:rPr>
        <w:t>Item 16. Form 10-K Summary</w:t>
      </w:r>
    </w:p>
    <w:p w:rsidR="00000000" w:rsidRDefault="002223F7">
      <w:pPr>
        <w:jc w:val="both"/>
        <w:divId w:val="1833444398"/>
        <w:rPr>
          <w:rFonts w:eastAsia="Times New Roman"/>
        </w:rPr>
      </w:pPr>
      <w:r>
        <w:rPr>
          <w:rFonts w:ascii="Arial" w:eastAsia="Times New Roman" w:hAnsi="Arial" w:cs="Arial"/>
          <w:color w:val="000000"/>
          <w:sz w:val="20"/>
          <w:szCs w:val="20"/>
        </w:rPr>
        <w:t>None.</w:t>
      </w:r>
    </w:p>
    <w:p w:rsidR="00000000" w:rsidRDefault="002223F7">
      <w:pPr>
        <w:jc w:val="center"/>
        <w:divId w:val="511534806"/>
        <w:rPr>
          <w:rFonts w:eastAsia="Times New Roman"/>
        </w:rPr>
      </w:pPr>
      <w:r>
        <w:rPr>
          <w:rFonts w:ascii="Arial" w:eastAsia="Times New Roman" w:hAnsi="Arial" w:cs="Arial"/>
          <w:color w:val="000000"/>
          <w:sz w:val="16"/>
          <w:szCs w:val="16"/>
        </w:rPr>
        <w:t>84</w:t>
      </w:r>
    </w:p>
    <w:p w:rsidR="00000000" w:rsidRDefault="002223F7">
      <w:pPr>
        <w:rPr>
          <w:rFonts w:eastAsia="Times New Roman"/>
        </w:rPr>
      </w:pPr>
      <w:r>
        <w:rPr>
          <w:rFonts w:eastAsia="Times New Roman"/>
        </w:rPr>
        <w:pict>
          <v:rect id="_x0000_i1115" style="width:0;height:1.5pt" o:hralign="center" o:hrstd="t" o:hr="t" fillcolor="#a0a0a0" stroked="f"/>
        </w:pict>
      </w:r>
    </w:p>
    <w:p w:rsidR="00000000" w:rsidRDefault="002223F7">
      <w:pPr>
        <w:jc w:val="both"/>
        <w:divId w:val="1454325726"/>
        <w:rPr>
          <w:rFonts w:eastAsia="Times New Roman"/>
        </w:rPr>
      </w:pPr>
      <w:hyperlink w:anchor="ic88e567e3f8642dcb6f41d9ec77f1b73_7" w:history="1">
        <w:r>
          <w:rPr>
            <w:rStyle w:val="a3"/>
            <w:rFonts w:ascii="Arial" w:eastAsia="Times New Roman" w:hAnsi="Arial" w:cs="Arial"/>
            <w:sz w:val="20"/>
            <w:szCs w:val="20"/>
          </w:rPr>
          <w:t xml:space="preserve">Table of </w:t>
        </w:r>
      </w:hyperlink>
      <w:hyperlink w:anchor="ic88e567e3f8642dcb6f41d9ec77f1b73_7" w:history="1">
        <w:r>
          <w:rPr>
            <w:rStyle w:val="a3"/>
            <w:rFonts w:ascii="Arial" w:eastAsia="Times New Roman" w:hAnsi="Arial" w:cs="Arial"/>
            <w:sz w:val="20"/>
            <w:szCs w:val="20"/>
          </w:rPr>
          <w:t>Contents</w:t>
        </w:r>
      </w:hyperlink>
    </w:p>
    <w:p w:rsidR="00000000" w:rsidRDefault="002223F7">
      <w:pPr>
        <w:jc w:val="both"/>
        <w:divId w:val="1754887494"/>
        <w:rPr>
          <w:rFonts w:eastAsia="Times New Roman"/>
        </w:rPr>
      </w:pPr>
      <w:r>
        <w:rPr>
          <w:rFonts w:ascii="Arial" w:eastAsia="Times New Roman" w:hAnsi="Arial" w:cs="Arial"/>
          <w:b/>
          <w:bCs/>
          <w:color w:val="000000"/>
          <w:sz w:val="18"/>
          <w:szCs w:val="18"/>
        </w:rPr>
        <w:t>SIGNATURES</w:t>
      </w:r>
    </w:p>
    <w:p w:rsidR="00000000" w:rsidRDefault="002223F7">
      <w:pPr>
        <w:jc w:val="both"/>
        <w:divId w:val="562570785"/>
        <w:rPr>
          <w:rFonts w:eastAsia="Times New Roman"/>
        </w:rPr>
      </w:pPr>
      <w:r>
        <w:rPr>
          <w:rFonts w:ascii="Arial" w:eastAsia="Times New Roman" w:hAnsi="Arial" w:cs="Arial"/>
          <w:color w:val="000000"/>
          <w:sz w:val="18"/>
          <w:szCs w:val="18"/>
        </w:rPr>
        <w:t>Pursuant to the requirements of Section 13 or 15(d) of the Securities Exchange Act of 1934, the registrant has duly caused this Form 10</w:t>
      </w:r>
      <w:r>
        <w:rPr>
          <w:rFonts w:ascii="Arial" w:eastAsia="Times New Roman" w:hAnsi="Arial" w:cs="Arial"/>
          <w:color w:val="000000"/>
          <w:sz w:val="18"/>
          <w:szCs w:val="18"/>
        </w:rPr>
        <w:noBreakHyphen/>
        <w:t>K to be signed on its behalf by the unders</w:t>
      </w:r>
      <w:r>
        <w:rPr>
          <w:rFonts w:ascii="Arial" w:eastAsia="Times New Roman" w:hAnsi="Arial" w:cs="Arial"/>
          <w:color w:val="000000"/>
          <w:sz w:val="18"/>
          <w:szCs w:val="18"/>
        </w:rPr>
        <w:t>igned, thereunto duly authorized, on February 24, 2023.</w:t>
      </w:r>
    </w:p>
    <w:p w:rsidR="00000000" w:rsidRDefault="002223F7">
      <w:pPr>
        <w:jc w:val="both"/>
        <w:divId w:val="1335378228"/>
        <w:rPr>
          <w:rFonts w:eastAsia="Times New Roman"/>
        </w:rPr>
      </w:pPr>
      <w:r>
        <w:rPr>
          <w:rFonts w:ascii="Arial" w:eastAsia="Times New Roman" w:hAnsi="Arial" w:cs="Arial"/>
          <w:color w:val="000000"/>
          <w:sz w:val="18"/>
          <w:szCs w:val="18"/>
        </w:rPr>
        <w:t>WORLD FUEL SERVICES CORPORATION</w:t>
      </w:r>
    </w:p>
    <w:tbl>
      <w:tblPr>
        <w:tblW w:w="2339" w:type="pct"/>
        <w:tblCellMar>
          <w:top w:w="15" w:type="dxa"/>
          <w:left w:w="15" w:type="dxa"/>
          <w:bottom w:w="15" w:type="dxa"/>
          <w:right w:w="15" w:type="dxa"/>
        </w:tblCellMar>
        <w:tblLook w:val="04A0" w:firstRow="1" w:lastRow="0" w:firstColumn="1" w:lastColumn="0" w:noHBand="0" w:noVBand="1"/>
      </w:tblPr>
      <w:tblGrid>
        <w:gridCol w:w="38"/>
        <w:gridCol w:w="1709"/>
        <w:gridCol w:w="37"/>
        <w:gridCol w:w="36"/>
        <w:gridCol w:w="2030"/>
        <w:gridCol w:w="36"/>
      </w:tblGrid>
      <w:tr w:rsidR="00000000">
        <w:trPr>
          <w:divId w:val="376397009"/>
        </w:trPr>
        <w:tc>
          <w:tcPr>
            <w:tcW w:w="50" w:type="pct"/>
            <w:vAlign w:val="center"/>
            <w:hideMark/>
          </w:tcPr>
          <w:p w:rsidR="00000000" w:rsidRDefault="002223F7">
            <w:pPr>
              <w:jc w:val="both"/>
              <w:rPr>
                <w:rFonts w:eastAsia="Times New Roman"/>
              </w:rPr>
            </w:pPr>
          </w:p>
        </w:tc>
        <w:tc>
          <w:tcPr>
            <w:tcW w:w="2241"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2648"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376397009"/>
        </w:trPr>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/s/ MICHAEL J. KASBAR</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r>
      <w:tr w:rsidR="00000000">
        <w:trPr>
          <w:divId w:val="376397009"/>
        </w:trPr>
        <w:tc>
          <w:tcPr>
            <w:tcW w:w="0" w:type="auto"/>
            <w:gridSpan w:val="6"/>
            <w:tcBorders>
              <w:top w:val="single" w:sz="8" w:space="0" w:color="000000"/>
            </w:tcBorders>
            <w:tcMar>
              <w:top w:w="30" w:type="dxa"/>
              <w:left w:w="20" w:type="dxa"/>
              <w:bottom w:w="30" w:type="dxa"/>
              <w:right w:w="20" w:type="dxa"/>
            </w:tcMar>
            <w:vAlign w:val="bottom"/>
            <w:hideMark/>
          </w:tcPr>
          <w:p w:rsidR="00000000" w:rsidRDefault="002223F7">
            <w:pPr>
              <w:spacing w:after="100"/>
              <w:ind w:firstLine="135"/>
              <w:divId w:val="2710403"/>
              <w:rPr>
                <w:rFonts w:eastAsia="Times New Roman"/>
              </w:rPr>
            </w:pPr>
            <w:r>
              <w:rPr>
                <w:rFonts w:ascii="Arial" w:eastAsia="Times New Roman" w:hAnsi="Arial" w:cs="Arial"/>
                <w:color w:val="000000"/>
                <w:sz w:val="18"/>
                <w:szCs w:val="18"/>
              </w:rPr>
              <w:t> Michael J. Kasbar</w:t>
            </w:r>
          </w:p>
          <w:p w:rsidR="00000000" w:rsidRDefault="002223F7">
            <w:pPr>
              <w:spacing w:after="100"/>
              <w:ind w:firstLine="135"/>
              <w:divId w:val="1369601290"/>
              <w:rPr>
                <w:rFonts w:eastAsia="Times New Roman"/>
              </w:rPr>
            </w:pPr>
            <w:r>
              <w:rPr>
                <w:rFonts w:ascii="Arial" w:eastAsia="Times New Roman" w:hAnsi="Arial" w:cs="Arial"/>
                <w:color w:val="000000"/>
                <w:sz w:val="18"/>
                <w:szCs w:val="18"/>
              </w:rPr>
              <w:t> Chairman, President and Chief Executive Officer</w:t>
            </w:r>
          </w:p>
        </w:tc>
      </w:tr>
      <w:tr w:rsidR="00000000">
        <w:trPr>
          <w:divId w:val="376397009"/>
          <w:trHeight w:val="60"/>
        </w:trPr>
        <w:tc>
          <w:tcPr>
            <w:tcW w:w="0" w:type="auto"/>
            <w:gridSpan w:val="3"/>
            <w:tcMar>
              <w:top w:w="0" w:type="dxa"/>
              <w:left w:w="20" w:type="dxa"/>
              <w:bottom w:w="0" w:type="dxa"/>
              <w:right w:w="20" w:type="dxa"/>
            </w:tcMar>
            <w:vAlign w:val="center"/>
            <w:hideMark/>
          </w:tcPr>
          <w:p w:rsidR="00000000" w:rsidRDefault="002223F7">
            <w:pPr>
              <w:spacing w:after="100"/>
              <w:ind w:firstLine="135"/>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376397009"/>
        </w:trPr>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/s/ IRA M. BIRNS</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r>
      <w:tr w:rsidR="00000000">
        <w:trPr>
          <w:divId w:val="376397009"/>
        </w:trPr>
        <w:tc>
          <w:tcPr>
            <w:tcW w:w="0" w:type="auto"/>
            <w:gridSpan w:val="6"/>
            <w:tcBorders>
              <w:top w:val="single" w:sz="8" w:space="0" w:color="000000"/>
            </w:tcBorders>
            <w:tcMar>
              <w:top w:w="30" w:type="dxa"/>
              <w:left w:w="20" w:type="dxa"/>
              <w:bottom w:w="30" w:type="dxa"/>
              <w:right w:w="20" w:type="dxa"/>
            </w:tcMar>
            <w:vAlign w:val="bottom"/>
            <w:hideMark/>
          </w:tcPr>
          <w:p w:rsidR="00000000" w:rsidRDefault="002223F7">
            <w:pPr>
              <w:spacing w:after="100"/>
              <w:ind w:firstLine="135"/>
              <w:divId w:val="1044523041"/>
              <w:rPr>
                <w:rFonts w:eastAsia="Times New Roman"/>
              </w:rPr>
            </w:pPr>
            <w:r>
              <w:rPr>
                <w:rFonts w:ascii="Arial" w:eastAsia="Times New Roman" w:hAnsi="Arial" w:cs="Arial"/>
                <w:color w:val="000000"/>
                <w:sz w:val="18"/>
                <w:szCs w:val="18"/>
              </w:rPr>
              <w:t> Ira M. Birns</w:t>
            </w:r>
          </w:p>
          <w:p w:rsidR="00000000" w:rsidRDefault="002223F7">
            <w:pPr>
              <w:spacing w:after="100"/>
              <w:ind w:firstLine="135"/>
              <w:divId w:val="111025043"/>
              <w:rPr>
                <w:rFonts w:eastAsia="Times New Roman"/>
              </w:rPr>
            </w:pPr>
            <w:r>
              <w:rPr>
                <w:rFonts w:ascii="Arial" w:eastAsia="Times New Roman" w:hAnsi="Arial" w:cs="Arial"/>
                <w:color w:val="000000"/>
                <w:sz w:val="18"/>
                <w:szCs w:val="18"/>
              </w:rPr>
              <w:t> </w:t>
            </w:r>
            <w:r>
              <w:rPr>
                <w:rFonts w:ascii="Arial" w:eastAsia="Times New Roman" w:hAnsi="Arial" w:cs="Arial"/>
                <w:color w:val="000000"/>
                <w:sz w:val="18"/>
                <w:szCs w:val="18"/>
              </w:rPr>
              <w:t>Executive Vice President and Chief Financial Officer</w:t>
            </w:r>
          </w:p>
        </w:tc>
      </w:tr>
    </w:tbl>
    <w:p w:rsidR="00000000" w:rsidRDefault="002223F7">
      <w:pPr>
        <w:jc w:val="both"/>
        <w:divId w:val="1596550325"/>
        <w:rPr>
          <w:rFonts w:eastAsia="Times New Roman"/>
        </w:rPr>
      </w:pPr>
      <w:r>
        <w:rPr>
          <w:rFonts w:ascii="Arial" w:eastAsia="Times New Roman" w:hAnsi="Arial" w:cs="Arial"/>
          <w:color w:val="000000"/>
          <w:sz w:val="18"/>
          <w:szCs w:val="18"/>
        </w:rPr>
        <w:t>Pursuant to the requirements of the Securities Exchange Act of 1934, this Form 10</w:t>
      </w:r>
      <w:r>
        <w:rPr>
          <w:rFonts w:ascii="Arial" w:eastAsia="Times New Roman" w:hAnsi="Arial" w:cs="Arial"/>
          <w:color w:val="000000"/>
          <w:sz w:val="18"/>
          <w:szCs w:val="18"/>
        </w:rPr>
        <w:noBreakHyphen/>
      </w:r>
      <w:r>
        <w:rPr>
          <w:rFonts w:ascii="Arial" w:eastAsia="Times New Roman" w:hAnsi="Arial" w:cs="Arial"/>
          <w:color w:val="000000"/>
          <w:sz w:val="18"/>
          <w:szCs w:val="18"/>
        </w:rPr>
        <w:t>K has been signed below by the following persons on behalf of the registrant and in the capacities indicated on February 24, 2023.</w:t>
      </w:r>
    </w:p>
    <w:tbl>
      <w:tblPr>
        <w:tblW w:w="4985" w:type="pct"/>
        <w:tblCellMar>
          <w:top w:w="15" w:type="dxa"/>
          <w:left w:w="15" w:type="dxa"/>
          <w:bottom w:w="15" w:type="dxa"/>
          <w:right w:w="15" w:type="dxa"/>
        </w:tblCellMar>
        <w:tblLook w:val="04A0" w:firstRow="1" w:lastRow="0" w:firstColumn="1" w:lastColumn="0" w:noHBand="0" w:noVBand="1"/>
      </w:tblPr>
      <w:tblGrid>
        <w:gridCol w:w="60"/>
        <w:gridCol w:w="2801"/>
        <w:gridCol w:w="38"/>
        <w:gridCol w:w="36"/>
        <w:gridCol w:w="36"/>
        <w:gridCol w:w="36"/>
        <w:gridCol w:w="44"/>
        <w:gridCol w:w="5193"/>
        <w:gridCol w:w="37"/>
      </w:tblGrid>
      <w:tr w:rsidR="00000000">
        <w:trPr>
          <w:divId w:val="2036036296"/>
        </w:trPr>
        <w:tc>
          <w:tcPr>
            <w:tcW w:w="50" w:type="pct"/>
            <w:vAlign w:val="center"/>
            <w:hideMark/>
          </w:tcPr>
          <w:p w:rsidR="00000000" w:rsidRDefault="002223F7">
            <w:pPr>
              <w:jc w:val="both"/>
              <w:rPr>
                <w:rFonts w:eastAsia="Times New Roman"/>
              </w:rPr>
            </w:pPr>
          </w:p>
        </w:tc>
        <w:tc>
          <w:tcPr>
            <w:tcW w:w="1704"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26"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c>
          <w:tcPr>
            <w:tcW w:w="50" w:type="pct"/>
            <w:vAlign w:val="center"/>
            <w:hideMark/>
          </w:tcPr>
          <w:p w:rsidR="00000000" w:rsidRDefault="002223F7">
            <w:pPr>
              <w:spacing w:after="100"/>
              <w:rPr>
                <w:rFonts w:eastAsia="Times New Roman"/>
                <w:sz w:val="20"/>
                <w:szCs w:val="20"/>
              </w:rPr>
            </w:pPr>
          </w:p>
        </w:tc>
        <w:tc>
          <w:tcPr>
            <w:tcW w:w="3148" w:type="pct"/>
            <w:vAlign w:val="center"/>
            <w:hideMark/>
          </w:tcPr>
          <w:p w:rsidR="00000000" w:rsidRDefault="002223F7">
            <w:pPr>
              <w:spacing w:after="100"/>
              <w:rPr>
                <w:rFonts w:eastAsia="Times New Roman"/>
                <w:sz w:val="20"/>
                <w:szCs w:val="20"/>
              </w:rPr>
            </w:pPr>
          </w:p>
        </w:tc>
        <w:tc>
          <w:tcPr>
            <w:tcW w:w="5" w:type="pct"/>
            <w:vAlign w:val="center"/>
            <w:hideMark/>
          </w:tcPr>
          <w:p w:rsidR="00000000" w:rsidRDefault="002223F7">
            <w:pPr>
              <w:spacing w:after="100"/>
              <w:rPr>
                <w:rFonts w:eastAsia="Times New Roman"/>
                <w:sz w:val="20"/>
                <w:szCs w:val="20"/>
              </w:rPr>
            </w:pPr>
          </w:p>
        </w:tc>
      </w:tr>
      <w:tr w:rsidR="00000000">
        <w:trPr>
          <w:divId w:val="2036036296"/>
        </w:trPr>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18"/>
                <w:szCs w:val="18"/>
              </w:rPr>
              <w:t>Signature</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b/>
                <w:bCs/>
                <w:color w:val="000000"/>
                <w:sz w:val="18"/>
                <w:szCs w:val="18"/>
              </w:rPr>
              <w:t>Title</w:t>
            </w:r>
          </w:p>
        </w:tc>
      </w:tr>
      <w:tr w:rsidR="00000000">
        <w:trPr>
          <w:divId w:val="2036036296"/>
        </w:trPr>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/s/ MICHAEL J. KASBAR</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Chairman, President and Chief Executive Officer</w:t>
            </w:r>
          </w:p>
        </w:tc>
      </w:tr>
      <w:tr w:rsidR="00000000">
        <w:trPr>
          <w:divId w:val="2036036296"/>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Michael J. Kasbar</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(Principal Executive Officer)</w:t>
            </w:r>
          </w:p>
        </w:tc>
      </w:tr>
      <w:tr w:rsidR="00000000">
        <w:trPr>
          <w:divId w:val="2036036296"/>
          <w:trHeight w:val="60"/>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036036296"/>
        </w:trPr>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/s/ IRA M. BIRNS</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Executive Vice President and Chief Financial Officer</w:t>
            </w:r>
          </w:p>
        </w:tc>
      </w:tr>
      <w:tr w:rsidR="00000000">
        <w:trPr>
          <w:divId w:val="2036036296"/>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Ira M. Birns</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(Principal Financial Officer)</w:t>
            </w:r>
          </w:p>
        </w:tc>
      </w:tr>
      <w:tr w:rsidR="00000000">
        <w:trPr>
          <w:divId w:val="2036036296"/>
          <w:trHeight w:val="60"/>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036036296"/>
        </w:trPr>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/s/ JOSE-MIGUEL TEJADA</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Senior Vice President and Chief Accounting Officer</w:t>
            </w:r>
          </w:p>
        </w:tc>
      </w:tr>
      <w:tr w:rsidR="00000000">
        <w:trPr>
          <w:divId w:val="2036036296"/>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Jose-Miguel Tejada</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(Principal Accounting Officer)</w:t>
            </w:r>
          </w:p>
        </w:tc>
      </w:tr>
      <w:tr w:rsidR="00000000">
        <w:trPr>
          <w:divId w:val="2036036296"/>
          <w:trHeight w:val="60"/>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036036296"/>
        </w:trPr>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/s/ KEN BAKSHI</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18"/>
                <w:szCs w:val="18"/>
              </w:rPr>
              <w:t>Director</w:t>
            </w:r>
          </w:p>
        </w:tc>
      </w:tr>
      <w:tr w:rsidR="00000000">
        <w:trPr>
          <w:divId w:val="2036036296"/>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Ken Bakshi</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036036296"/>
          <w:trHeight w:val="60"/>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036036296"/>
        </w:trPr>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/s/ JORGE L. BENITEZ</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18"/>
                <w:szCs w:val="18"/>
              </w:rPr>
              <w:t>Director</w:t>
            </w:r>
          </w:p>
        </w:tc>
      </w:tr>
      <w:tr w:rsidR="00000000">
        <w:trPr>
          <w:divId w:val="2036036296"/>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Jorge L. Benitez</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036036296"/>
          <w:trHeight w:val="60"/>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036036296"/>
        </w:trPr>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/s/ SHARDA CHERWOO</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18"/>
                <w:szCs w:val="18"/>
              </w:rPr>
              <w:t>Director</w:t>
            </w:r>
          </w:p>
        </w:tc>
      </w:tr>
      <w:tr w:rsidR="00000000">
        <w:trPr>
          <w:divId w:val="2036036296"/>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Sharda Cherwoo</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036036296"/>
          <w:trHeight w:val="60"/>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036036296"/>
        </w:trPr>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/s/ RICHARD A. KASSAR</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18"/>
                <w:szCs w:val="18"/>
              </w:rPr>
              <w:t>Director</w:t>
            </w:r>
          </w:p>
        </w:tc>
      </w:tr>
      <w:tr w:rsidR="00000000">
        <w:trPr>
          <w:divId w:val="2036036296"/>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Richard A. Kassar</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036036296"/>
          <w:trHeight w:val="100"/>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036036296"/>
        </w:trPr>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/s/ JOHN L. MANLEY</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18"/>
                <w:szCs w:val="18"/>
              </w:rPr>
              <w:t>Director</w:t>
            </w:r>
          </w:p>
        </w:tc>
      </w:tr>
      <w:tr w:rsidR="00000000">
        <w:trPr>
          <w:divId w:val="2036036296"/>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John L. Manley</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036036296"/>
          <w:trHeight w:val="60"/>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036036296"/>
        </w:trPr>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/s/ STEPHEN K. RODDENBERRY</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18"/>
                <w:szCs w:val="18"/>
              </w:rPr>
              <w:t>Director</w:t>
            </w:r>
          </w:p>
        </w:tc>
      </w:tr>
      <w:tr w:rsidR="00000000">
        <w:trPr>
          <w:divId w:val="2036036296"/>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Stephen K. Roddenberry</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036036296"/>
          <w:trHeight w:val="60"/>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036036296"/>
        </w:trPr>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/s/ JILL B. SMART</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18"/>
                <w:szCs w:val="18"/>
              </w:rPr>
              <w:t>Director</w:t>
            </w:r>
          </w:p>
        </w:tc>
      </w:tr>
      <w:tr w:rsidR="00000000">
        <w:trPr>
          <w:divId w:val="2036036296"/>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Jill B. Smart</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036036296"/>
          <w:trHeight w:val="60"/>
        </w:trPr>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r w:rsidR="00000000">
        <w:trPr>
          <w:divId w:val="2036036296"/>
        </w:trPr>
        <w:tc>
          <w:tcPr>
            <w:tcW w:w="0" w:type="auto"/>
            <w:gridSpan w:val="3"/>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/s/ PAUL H. STEBBINS</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30" w:type="dxa"/>
              <w:left w:w="20" w:type="dxa"/>
              <w:bottom w:w="30" w:type="dxa"/>
              <w:right w:w="20" w:type="dxa"/>
            </w:tcMar>
            <w:hideMark/>
          </w:tcPr>
          <w:p w:rsidR="00000000" w:rsidRDefault="002223F7">
            <w:pPr>
              <w:spacing w:after="100"/>
              <w:rPr>
                <w:rFonts w:eastAsia="Times New Roman"/>
              </w:rPr>
            </w:pPr>
            <w:r>
              <w:rPr>
                <w:rFonts w:ascii="Arial" w:eastAsia="Times New Roman" w:hAnsi="Arial" w:cs="Arial"/>
                <w:color w:val="000000"/>
                <w:sz w:val="18"/>
                <w:szCs w:val="18"/>
              </w:rPr>
              <w:t>Director</w:t>
            </w:r>
          </w:p>
        </w:tc>
      </w:tr>
      <w:tr w:rsidR="00000000">
        <w:trPr>
          <w:divId w:val="2036036296"/>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2223F7">
            <w:pPr>
              <w:spacing w:after="100"/>
              <w:rPr>
                <w:rFonts w:eastAsia="Times New Roman"/>
              </w:rPr>
            </w:pPr>
            <w:r>
              <w:rPr>
                <w:rFonts w:ascii="Arial" w:eastAsia="Times New Roman" w:hAnsi="Arial" w:cs="Arial"/>
                <w:color w:val="000000"/>
                <w:sz w:val="18"/>
                <w:szCs w:val="18"/>
              </w:rPr>
              <w:t>Paul H. Stebbins</w:t>
            </w: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223F7">
            <w:pPr>
              <w:spacing w:after="100"/>
              <w:rPr>
                <w:rFonts w:eastAsia="Times New Roman"/>
                <w:sz w:val="20"/>
                <w:szCs w:val="20"/>
              </w:rPr>
            </w:pPr>
          </w:p>
        </w:tc>
      </w:tr>
    </w:tbl>
    <w:p w:rsidR="002223F7" w:rsidRDefault="002223F7">
      <w:pPr>
        <w:jc w:val="center"/>
        <w:divId w:val="280264131"/>
        <w:rPr>
          <w:rFonts w:eastAsia="Times New Roman"/>
        </w:rPr>
      </w:pPr>
      <w:r>
        <w:rPr>
          <w:rFonts w:ascii="Arial" w:eastAsia="Times New Roman" w:hAnsi="Arial" w:cs="Arial"/>
          <w:color w:val="000000"/>
          <w:sz w:val="16"/>
          <w:szCs w:val="16"/>
        </w:rPr>
        <w:t>85</w:t>
      </w:r>
    </w:p>
    <w:sectPr w:rsidR="002223F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223F7"/>
    <w:rsid w:val="002223F7"/>
  </w:rsids>
  <m:mathPr>
    <m:mathFont m:val="Cambria Math"/>
    <m:brkBin m:val="before"/>
    <m:brkBinSub m:val="--"/>
    <m:smallFrac m:val="0"/>
    <m:dispDef/>
    <m:lMargin m:val="0"/>
    <m:rMargin m:val="0"/>
    <m:defJc m:val="centerGroup"/>
    <m:wrapIndent m:val="1440"/>
    <m:intLim m:val="subSup"/>
    <m:naryLim m:val="undOvr"/>
  </m:mathPr>
  <w:attachedSchema w:val="http://www.xbrl.org/inlineXBRL/transformation/2020-02-12"/>
  <w:attachedSchema w:val="http://www.xbrl.org/2003/iso4217"/>
  <w:attachedSchema w:val="http://www.xbrl.org/2003/linkbase"/>
  <w:attachedSchema w:val="http://www.xbrl.org/2009/utr"/>
  <w:attachedSchema w:val="http://www.wfscorp.com/20221231"/>
  <w:attachedSchema w:val="http://www.xbrl.org/2013/inlineXBRL"/>
  <w:attachedSchema w:val="http://www.xbrl.org/2003/instance"/>
  <w:attachedSchema w:val="http://fasb.org/srt/2022"/>
  <w:attachedSchema w:val="http://xbrl.sec.gov/country/2022"/>
  <w:attachedSchema w:val="http://fasb.org/us-gaap/2022"/>
  <w:attachedSchema w:val="http://xbrl.sec.gov/dei/2022"/>
  <w:attachedSchema w:val="http://xbrl.sec.gov/currency/2022"/>
  <w:attachedSchema w:val="http://www.w3.org/1999/xlink"/>
  <w:attachedSchema w:val="http://www.sec.gov/inlineXBRL/transformation/2015-08-31"/>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179">
      <w:marLeft w:val="0"/>
      <w:marRight w:val="0"/>
      <w:marTop w:val="0"/>
      <w:marBottom w:val="120"/>
      <w:divBdr>
        <w:top w:val="none" w:sz="0" w:space="0" w:color="auto"/>
        <w:left w:val="none" w:sz="0" w:space="0" w:color="auto"/>
        <w:bottom w:val="none" w:sz="0" w:space="0" w:color="auto"/>
        <w:right w:val="none" w:sz="0" w:space="0" w:color="auto"/>
      </w:divBdr>
    </w:div>
    <w:div w:id="1443401">
      <w:marLeft w:val="0"/>
      <w:marRight w:val="0"/>
      <w:marTop w:val="0"/>
      <w:marBottom w:val="120"/>
      <w:divBdr>
        <w:top w:val="none" w:sz="0" w:space="0" w:color="auto"/>
        <w:left w:val="none" w:sz="0" w:space="0" w:color="auto"/>
        <w:bottom w:val="none" w:sz="0" w:space="0" w:color="auto"/>
        <w:right w:val="none" w:sz="0" w:space="0" w:color="auto"/>
      </w:divBdr>
    </w:div>
    <w:div w:id="1976312">
      <w:marLeft w:val="0"/>
      <w:marRight w:val="0"/>
      <w:marTop w:val="0"/>
      <w:marBottom w:val="120"/>
      <w:divBdr>
        <w:top w:val="none" w:sz="0" w:space="0" w:color="auto"/>
        <w:left w:val="none" w:sz="0" w:space="0" w:color="auto"/>
        <w:bottom w:val="none" w:sz="0" w:space="0" w:color="auto"/>
        <w:right w:val="none" w:sz="0" w:space="0" w:color="auto"/>
      </w:divBdr>
    </w:div>
    <w:div w:id="2241529">
      <w:marLeft w:val="0"/>
      <w:marRight w:val="0"/>
      <w:marTop w:val="0"/>
      <w:marBottom w:val="120"/>
      <w:divBdr>
        <w:top w:val="none" w:sz="0" w:space="0" w:color="auto"/>
        <w:left w:val="none" w:sz="0" w:space="0" w:color="auto"/>
        <w:bottom w:val="none" w:sz="0" w:space="0" w:color="auto"/>
        <w:right w:val="none" w:sz="0" w:space="0" w:color="auto"/>
      </w:divBdr>
    </w:div>
    <w:div w:id="4552657">
      <w:marLeft w:val="0"/>
      <w:marRight w:val="0"/>
      <w:marTop w:val="0"/>
      <w:marBottom w:val="120"/>
      <w:divBdr>
        <w:top w:val="none" w:sz="0" w:space="0" w:color="auto"/>
        <w:left w:val="none" w:sz="0" w:space="0" w:color="auto"/>
        <w:bottom w:val="none" w:sz="0" w:space="0" w:color="auto"/>
        <w:right w:val="none" w:sz="0" w:space="0" w:color="auto"/>
      </w:divBdr>
    </w:div>
    <w:div w:id="11036758">
      <w:marLeft w:val="0"/>
      <w:marRight w:val="0"/>
      <w:marTop w:val="0"/>
      <w:marBottom w:val="120"/>
      <w:divBdr>
        <w:top w:val="none" w:sz="0" w:space="0" w:color="auto"/>
        <w:left w:val="none" w:sz="0" w:space="0" w:color="auto"/>
        <w:bottom w:val="none" w:sz="0" w:space="0" w:color="auto"/>
        <w:right w:val="none" w:sz="0" w:space="0" w:color="auto"/>
      </w:divBdr>
    </w:div>
    <w:div w:id="16540747">
      <w:marLeft w:val="0"/>
      <w:marRight w:val="0"/>
      <w:marTop w:val="0"/>
      <w:marBottom w:val="120"/>
      <w:divBdr>
        <w:top w:val="none" w:sz="0" w:space="0" w:color="auto"/>
        <w:left w:val="none" w:sz="0" w:space="0" w:color="auto"/>
        <w:bottom w:val="none" w:sz="0" w:space="0" w:color="auto"/>
        <w:right w:val="none" w:sz="0" w:space="0" w:color="auto"/>
      </w:divBdr>
    </w:div>
    <w:div w:id="19018238">
      <w:marLeft w:val="0"/>
      <w:marRight w:val="0"/>
      <w:marTop w:val="0"/>
      <w:marBottom w:val="0"/>
      <w:divBdr>
        <w:top w:val="none" w:sz="0" w:space="0" w:color="auto"/>
        <w:left w:val="none" w:sz="0" w:space="0" w:color="auto"/>
        <w:bottom w:val="none" w:sz="0" w:space="0" w:color="auto"/>
        <w:right w:val="none" w:sz="0" w:space="0" w:color="auto"/>
      </w:divBdr>
      <w:divsChild>
        <w:div w:id="1258515497">
          <w:marLeft w:val="0"/>
          <w:marRight w:val="0"/>
          <w:marTop w:val="0"/>
          <w:marBottom w:val="120"/>
          <w:divBdr>
            <w:top w:val="none" w:sz="0" w:space="0" w:color="auto"/>
            <w:left w:val="none" w:sz="0" w:space="0" w:color="auto"/>
            <w:bottom w:val="none" w:sz="0" w:space="0" w:color="auto"/>
            <w:right w:val="none" w:sz="0" w:space="0" w:color="auto"/>
          </w:divBdr>
        </w:div>
      </w:divsChild>
    </w:div>
    <w:div w:id="20010862">
      <w:marLeft w:val="0"/>
      <w:marRight w:val="0"/>
      <w:marTop w:val="240"/>
      <w:marBottom w:val="0"/>
      <w:divBdr>
        <w:top w:val="none" w:sz="0" w:space="0" w:color="auto"/>
        <w:left w:val="none" w:sz="0" w:space="0" w:color="auto"/>
        <w:bottom w:val="none" w:sz="0" w:space="0" w:color="auto"/>
        <w:right w:val="none" w:sz="0" w:space="0" w:color="auto"/>
      </w:divBdr>
    </w:div>
    <w:div w:id="20132001">
      <w:marLeft w:val="0"/>
      <w:marRight w:val="0"/>
      <w:marTop w:val="0"/>
      <w:marBottom w:val="120"/>
      <w:divBdr>
        <w:top w:val="none" w:sz="0" w:space="0" w:color="auto"/>
        <w:left w:val="none" w:sz="0" w:space="0" w:color="auto"/>
        <w:bottom w:val="none" w:sz="0" w:space="0" w:color="auto"/>
        <w:right w:val="none" w:sz="0" w:space="0" w:color="auto"/>
      </w:divBdr>
    </w:div>
    <w:div w:id="20518587">
      <w:marLeft w:val="0"/>
      <w:marRight w:val="0"/>
      <w:marTop w:val="0"/>
      <w:marBottom w:val="120"/>
      <w:divBdr>
        <w:top w:val="none" w:sz="0" w:space="0" w:color="auto"/>
        <w:left w:val="none" w:sz="0" w:space="0" w:color="auto"/>
        <w:bottom w:val="none" w:sz="0" w:space="0" w:color="auto"/>
        <w:right w:val="none" w:sz="0" w:space="0" w:color="auto"/>
      </w:divBdr>
    </w:div>
    <w:div w:id="20597864">
      <w:marLeft w:val="0"/>
      <w:marRight w:val="0"/>
      <w:marTop w:val="0"/>
      <w:marBottom w:val="120"/>
      <w:divBdr>
        <w:top w:val="none" w:sz="0" w:space="0" w:color="auto"/>
        <w:left w:val="none" w:sz="0" w:space="0" w:color="auto"/>
        <w:bottom w:val="none" w:sz="0" w:space="0" w:color="auto"/>
        <w:right w:val="none" w:sz="0" w:space="0" w:color="auto"/>
      </w:divBdr>
    </w:div>
    <w:div w:id="23755364">
      <w:marLeft w:val="0"/>
      <w:marRight w:val="0"/>
      <w:marTop w:val="0"/>
      <w:marBottom w:val="0"/>
      <w:divBdr>
        <w:top w:val="none" w:sz="0" w:space="0" w:color="auto"/>
        <w:left w:val="none" w:sz="0" w:space="0" w:color="auto"/>
        <w:bottom w:val="none" w:sz="0" w:space="0" w:color="auto"/>
        <w:right w:val="none" w:sz="0" w:space="0" w:color="auto"/>
      </w:divBdr>
      <w:divsChild>
        <w:div w:id="1503621595">
          <w:marLeft w:val="0"/>
          <w:marRight w:val="0"/>
          <w:marTop w:val="0"/>
          <w:marBottom w:val="120"/>
          <w:divBdr>
            <w:top w:val="none" w:sz="0" w:space="0" w:color="auto"/>
            <w:left w:val="none" w:sz="0" w:space="0" w:color="auto"/>
            <w:bottom w:val="none" w:sz="0" w:space="0" w:color="auto"/>
            <w:right w:val="none" w:sz="0" w:space="0" w:color="auto"/>
          </w:divBdr>
        </w:div>
      </w:divsChild>
    </w:div>
    <w:div w:id="24410094">
      <w:marLeft w:val="0"/>
      <w:marRight w:val="0"/>
      <w:marTop w:val="140"/>
      <w:marBottom w:val="120"/>
      <w:divBdr>
        <w:top w:val="none" w:sz="0" w:space="0" w:color="auto"/>
        <w:left w:val="none" w:sz="0" w:space="0" w:color="auto"/>
        <w:bottom w:val="none" w:sz="0" w:space="0" w:color="auto"/>
        <w:right w:val="none" w:sz="0" w:space="0" w:color="auto"/>
      </w:divBdr>
    </w:div>
    <w:div w:id="25300177">
      <w:marLeft w:val="0"/>
      <w:marRight w:val="0"/>
      <w:marTop w:val="0"/>
      <w:marBottom w:val="120"/>
      <w:divBdr>
        <w:top w:val="none" w:sz="0" w:space="0" w:color="auto"/>
        <w:left w:val="none" w:sz="0" w:space="0" w:color="auto"/>
        <w:bottom w:val="none" w:sz="0" w:space="0" w:color="auto"/>
        <w:right w:val="none" w:sz="0" w:space="0" w:color="auto"/>
      </w:divBdr>
    </w:div>
    <w:div w:id="25372968">
      <w:marLeft w:val="0"/>
      <w:marRight w:val="0"/>
      <w:marTop w:val="0"/>
      <w:marBottom w:val="120"/>
      <w:divBdr>
        <w:top w:val="none" w:sz="0" w:space="0" w:color="auto"/>
        <w:left w:val="none" w:sz="0" w:space="0" w:color="auto"/>
        <w:bottom w:val="none" w:sz="0" w:space="0" w:color="auto"/>
        <w:right w:val="none" w:sz="0" w:space="0" w:color="auto"/>
      </w:divBdr>
    </w:div>
    <w:div w:id="26880257">
      <w:marLeft w:val="0"/>
      <w:marRight w:val="0"/>
      <w:marTop w:val="0"/>
      <w:marBottom w:val="0"/>
      <w:divBdr>
        <w:top w:val="none" w:sz="0" w:space="0" w:color="auto"/>
        <w:left w:val="none" w:sz="0" w:space="0" w:color="auto"/>
        <w:bottom w:val="none" w:sz="0" w:space="0" w:color="auto"/>
        <w:right w:val="none" w:sz="0" w:space="0" w:color="auto"/>
      </w:divBdr>
      <w:divsChild>
        <w:div w:id="1366515262">
          <w:marLeft w:val="0"/>
          <w:marRight w:val="0"/>
          <w:marTop w:val="0"/>
          <w:marBottom w:val="0"/>
          <w:divBdr>
            <w:top w:val="none" w:sz="0" w:space="0" w:color="auto"/>
            <w:left w:val="none" w:sz="0" w:space="0" w:color="auto"/>
            <w:bottom w:val="none" w:sz="0" w:space="0" w:color="auto"/>
            <w:right w:val="none" w:sz="0" w:space="0" w:color="auto"/>
          </w:divBdr>
          <w:divsChild>
            <w:div w:id="19322743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0544136">
      <w:marLeft w:val="0"/>
      <w:marRight w:val="0"/>
      <w:marTop w:val="0"/>
      <w:marBottom w:val="0"/>
      <w:divBdr>
        <w:top w:val="none" w:sz="0" w:space="0" w:color="auto"/>
        <w:left w:val="none" w:sz="0" w:space="0" w:color="auto"/>
        <w:bottom w:val="none" w:sz="0" w:space="0" w:color="auto"/>
        <w:right w:val="none" w:sz="0" w:space="0" w:color="auto"/>
      </w:divBdr>
      <w:divsChild>
        <w:div w:id="208802487">
          <w:marLeft w:val="0"/>
          <w:marRight w:val="0"/>
          <w:marTop w:val="0"/>
          <w:marBottom w:val="120"/>
          <w:divBdr>
            <w:top w:val="none" w:sz="0" w:space="0" w:color="auto"/>
            <w:left w:val="none" w:sz="0" w:space="0" w:color="auto"/>
            <w:bottom w:val="none" w:sz="0" w:space="0" w:color="auto"/>
            <w:right w:val="none" w:sz="0" w:space="0" w:color="auto"/>
          </w:divBdr>
        </w:div>
      </w:divsChild>
    </w:div>
    <w:div w:id="31351195">
      <w:marLeft w:val="0"/>
      <w:marRight w:val="0"/>
      <w:marTop w:val="0"/>
      <w:marBottom w:val="0"/>
      <w:divBdr>
        <w:top w:val="none" w:sz="0" w:space="0" w:color="auto"/>
        <w:left w:val="none" w:sz="0" w:space="0" w:color="auto"/>
        <w:bottom w:val="none" w:sz="0" w:space="0" w:color="auto"/>
        <w:right w:val="none" w:sz="0" w:space="0" w:color="auto"/>
      </w:divBdr>
      <w:divsChild>
        <w:div w:id="1577589885">
          <w:marLeft w:val="0"/>
          <w:marRight w:val="0"/>
          <w:marTop w:val="0"/>
          <w:marBottom w:val="0"/>
          <w:divBdr>
            <w:top w:val="none" w:sz="0" w:space="0" w:color="auto"/>
            <w:left w:val="none" w:sz="0" w:space="0" w:color="auto"/>
            <w:bottom w:val="none" w:sz="0" w:space="0" w:color="auto"/>
            <w:right w:val="none" w:sz="0" w:space="0" w:color="auto"/>
          </w:divBdr>
          <w:divsChild>
            <w:div w:id="726304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2965074">
      <w:marLeft w:val="0"/>
      <w:marRight w:val="0"/>
      <w:marTop w:val="0"/>
      <w:marBottom w:val="0"/>
      <w:divBdr>
        <w:top w:val="none" w:sz="0" w:space="0" w:color="auto"/>
        <w:left w:val="none" w:sz="0" w:space="0" w:color="auto"/>
        <w:bottom w:val="none" w:sz="0" w:space="0" w:color="auto"/>
        <w:right w:val="none" w:sz="0" w:space="0" w:color="auto"/>
      </w:divBdr>
    </w:div>
    <w:div w:id="33820627">
      <w:marLeft w:val="0"/>
      <w:marRight w:val="0"/>
      <w:marTop w:val="0"/>
      <w:marBottom w:val="0"/>
      <w:divBdr>
        <w:top w:val="none" w:sz="0" w:space="0" w:color="auto"/>
        <w:left w:val="none" w:sz="0" w:space="0" w:color="auto"/>
        <w:bottom w:val="none" w:sz="0" w:space="0" w:color="auto"/>
        <w:right w:val="none" w:sz="0" w:space="0" w:color="auto"/>
      </w:divBdr>
    </w:div>
    <w:div w:id="37172162">
      <w:marLeft w:val="0"/>
      <w:marRight w:val="0"/>
      <w:marTop w:val="0"/>
      <w:marBottom w:val="120"/>
      <w:divBdr>
        <w:top w:val="none" w:sz="0" w:space="0" w:color="auto"/>
        <w:left w:val="none" w:sz="0" w:space="0" w:color="auto"/>
        <w:bottom w:val="none" w:sz="0" w:space="0" w:color="auto"/>
        <w:right w:val="none" w:sz="0" w:space="0" w:color="auto"/>
      </w:divBdr>
    </w:div>
    <w:div w:id="37632980">
      <w:marLeft w:val="0"/>
      <w:marRight w:val="0"/>
      <w:marTop w:val="0"/>
      <w:marBottom w:val="120"/>
      <w:divBdr>
        <w:top w:val="none" w:sz="0" w:space="0" w:color="auto"/>
        <w:left w:val="none" w:sz="0" w:space="0" w:color="auto"/>
        <w:bottom w:val="none" w:sz="0" w:space="0" w:color="auto"/>
        <w:right w:val="none" w:sz="0" w:space="0" w:color="auto"/>
      </w:divBdr>
    </w:div>
    <w:div w:id="39481345">
      <w:marLeft w:val="0"/>
      <w:marRight w:val="0"/>
      <w:marTop w:val="0"/>
      <w:marBottom w:val="0"/>
      <w:divBdr>
        <w:top w:val="none" w:sz="0" w:space="0" w:color="auto"/>
        <w:left w:val="none" w:sz="0" w:space="0" w:color="auto"/>
        <w:bottom w:val="none" w:sz="0" w:space="0" w:color="auto"/>
        <w:right w:val="none" w:sz="0" w:space="0" w:color="auto"/>
      </w:divBdr>
    </w:div>
    <w:div w:id="42679202">
      <w:marLeft w:val="0"/>
      <w:marRight w:val="0"/>
      <w:marTop w:val="0"/>
      <w:marBottom w:val="120"/>
      <w:divBdr>
        <w:top w:val="none" w:sz="0" w:space="0" w:color="auto"/>
        <w:left w:val="none" w:sz="0" w:space="0" w:color="auto"/>
        <w:bottom w:val="none" w:sz="0" w:space="0" w:color="auto"/>
        <w:right w:val="none" w:sz="0" w:space="0" w:color="auto"/>
      </w:divBdr>
    </w:div>
    <w:div w:id="46733421">
      <w:marLeft w:val="0"/>
      <w:marRight w:val="0"/>
      <w:marTop w:val="0"/>
      <w:marBottom w:val="0"/>
      <w:divBdr>
        <w:top w:val="none" w:sz="0" w:space="0" w:color="auto"/>
        <w:left w:val="none" w:sz="0" w:space="0" w:color="auto"/>
        <w:bottom w:val="none" w:sz="0" w:space="0" w:color="auto"/>
        <w:right w:val="none" w:sz="0" w:space="0" w:color="auto"/>
      </w:divBdr>
    </w:div>
    <w:div w:id="49504705">
      <w:marLeft w:val="0"/>
      <w:marRight w:val="0"/>
      <w:marTop w:val="240"/>
      <w:marBottom w:val="0"/>
      <w:divBdr>
        <w:top w:val="none" w:sz="0" w:space="0" w:color="auto"/>
        <w:left w:val="none" w:sz="0" w:space="0" w:color="auto"/>
        <w:bottom w:val="none" w:sz="0" w:space="0" w:color="auto"/>
        <w:right w:val="none" w:sz="0" w:space="0" w:color="auto"/>
      </w:divBdr>
    </w:div>
    <w:div w:id="50153087">
      <w:marLeft w:val="0"/>
      <w:marRight w:val="0"/>
      <w:marTop w:val="0"/>
      <w:marBottom w:val="120"/>
      <w:divBdr>
        <w:top w:val="none" w:sz="0" w:space="0" w:color="auto"/>
        <w:left w:val="none" w:sz="0" w:space="0" w:color="auto"/>
        <w:bottom w:val="none" w:sz="0" w:space="0" w:color="auto"/>
        <w:right w:val="none" w:sz="0" w:space="0" w:color="auto"/>
      </w:divBdr>
    </w:div>
    <w:div w:id="55587999">
      <w:marLeft w:val="0"/>
      <w:marRight w:val="0"/>
      <w:marTop w:val="0"/>
      <w:marBottom w:val="0"/>
      <w:divBdr>
        <w:top w:val="none" w:sz="0" w:space="0" w:color="auto"/>
        <w:left w:val="none" w:sz="0" w:space="0" w:color="auto"/>
        <w:bottom w:val="none" w:sz="0" w:space="0" w:color="auto"/>
        <w:right w:val="none" w:sz="0" w:space="0" w:color="auto"/>
      </w:divBdr>
      <w:divsChild>
        <w:div w:id="505247465">
          <w:marLeft w:val="0"/>
          <w:marRight w:val="0"/>
          <w:marTop w:val="0"/>
          <w:marBottom w:val="0"/>
          <w:divBdr>
            <w:top w:val="none" w:sz="0" w:space="0" w:color="auto"/>
            <w:left w:val="none" w:sz="0" w:space="0" w:color="auto"/>
            <w:bottom w:val="none" w:sz="0" w:space="0" w:color="auto"/>
            <w:right w:val="none" w:sz="0" w:space="0" w:color="auto"/>
          </w:divBdr>
          <w:divsChild>
            <w:div w:id="5117986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0368106">
      <w:marLeft w:val="0"/>
      <w:marRight w:val="0"/>
      <w:marTop w:val="0"/>
      <w:marBottom w:val="120"/>
      <w:divBdr>
        <w:top w:val="none" w:sz="0" w:space="0" w:color="auto"/>
        <w:left w:val="none" w:sz="0" w:space="0" w:color="auto"/>
        <w:bottom w:val="none" w:sz="0" w:space="0" w:color="auto"/>
        <w:right w:val="none" w:sz="0" w:space="0" w:color="auto"/>
      </w:divBdr>
    </w:div>
    <w:div w:id="65542657">
      <w:marLeft w:val="0"/>
      <w:marRight w:val="0"/>
      <w:marTop w:val="240"/>
      <w:marBottom w:val="240"/>
      <w:divBdr>
        <w:top w:val="none" w:sz="0" w:space="0" w:color="auto"/>
        <w:left w:val="none" w:sz="0" w:space="0" w:color="auto"/>
        <w:bottom w:val="none" w:sz="0" w:space="0" w:color="auto"/>
        <w:right w:val="none" w:sz="0" w:space="0" w:color="auto"/>
      </w:divBdr>
    </w:div>
    <w:div w:id="68115280">
      <w:marLeft w:val="0"/>
      <w:marRight w:val="0"/>
      <w:marTop w:val="0"/>
      <w:marBottom w:val="120"/>
      <w:divBdr>
        <w:top w:val="none" w:sz="0" w:space="0" w:color="auto"/>
        <w:left w:val="none" w:sz="0" w:space="0" w:color="auto"/>
        <w:bottom w:val="none" w:sz="0" w:space="0" w:color="auto"/>
        <w:right w:val="none" w:sz="0" w:space="0" w:color="auto"/>
      </w:divBdr>
    </w:div>
    <w:div w:id="69237451">
      <w:marLeft w:val="0"/>
      <w:marRight w:val="0"/>
      <w:marTop w:val="0"/>
      <w:marBottom w:val="120"/>
      <w:divBdr>
        <w:top w:val="none" w:sz="0" w:space="0" w:color="auto"/>
        <w:left w:val="none" w:sz="0" w:space="0" w:color="auto"/>
        <w:bottom w:val="none" w:sz="0" w:space="0" w:color="auto"/>
        <w:right w:val="none" w:sz="0" w:space="0" w:color="auto"/>
      </w:divBdr>
    </w:div>
    <w:div w:id="71045111">
      <w:marLeft w:val="0"/>
      <w:marRight w:val="0"/>
      <w:marTop w:val="0"/>
      <w:marBottom w:val="0"/>
      <w:divBdr>
        <w:top w:val="none" w:sz="0" w:space="0" w:color="auto"/>
        <w:left w:val="none" w:sz="0" w:space="0" w:color="auto"/>
        <w:bottom w:val="none" w:sz="0" w:space="0" w:color="auto"/>
        <w:right w:val="none" w:sz="0" w:space="0" w:color="auto"/>
      </w:divBdr>
      <w:divsChild>
        <w:div w:id="527453626">
          <w:marLeft w:val="0"/>
          <w:marRight w:val="0"/>
          <w:marTop w:val="0"/>
          <w:marBottom w:val="0"/>
          <w:divBdr>
            <w:top w:val="none" w:sz="0" w:space="0" w:color="auto"/>
            <w:left w:val="none" w:sz="0" w:space="0" w:color="auto"/>
            <w:bottom w:val="none" w:sz="0" w:space="0" w:color="auto"/>
            <w:right w:val="none" w:sz="0" w:space="0" w:color="auto"/>
          </w:divBdr>
          <w:divsChild>
            <w:div w:id="10432111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4982779">
      <w:marLeft w:val="0"/>
      <w:marRight w:val="0"/>
      <w:marTop w:val="0"/>
      <w:marBottom w:val="0"/>
      <w:divBdr>
        <w:top w:val="none" w:sz="0" w:space="0" w:color="auto"/>
        <w:left w:val="none" w:sz="0" w:space="0" w:color="auto"/>
        <w:bottom w:val="none" w:sz="0" w:space="0" w:color="auto"/>
        <w:right w:val="none" w:sz="0" w:space="0" w:color="auto"/>
      </w:divBdr>
      <w:divsChild>
        <w:div w:id="309142647">
          <w:marLeft w:val="0"/>
          <w:marRight w:val="0"/>
          <w:marTop w:val="0"/>
          <w:marBottom w:val="0"/>
          <w:divBdr>
            <w:top w:val="none" w:sz="0" w:space="0" w:color="auto"/>
            <w:left w:val="none" w:sz="0" w:space="0" w:color="auto"/>
            <w:bottom w:val="none" w:sz="0" w:space="0" w:color="auto"/>
            <w:right w:val="none" w:sz="0" w:space="0" w:color="auto"/>
          </w:divBdr>
          <w:divsChild>
            <w:div w:id="12260660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6950502">
      <w:marLeft w:val="0"/>
      <w:marRight w:val="0"/>
      <w:marTop w:val="0"/>
      <w:marBottom w:val="120"/>
      <w:divBdr>
        <w:top w:val="none" w:sz="0" w:space="0" w:color="auto"/>
        <w:left w:val="none" w:sz="0" w:space="0" w:color="auto"/>
        <w:bottom w:val="none" w:sz="0" w:space="0" w:color="auto"/>
        <w:right w:val="none" w:sz="0" w:space="0" w:color="auto"/>
      </w:divBdr>
    </w:div>
    <w:div w:id="81992249">
      <w:marLeft w:val="0"/>
      <w:marRight w:val="0"/>
      <w:marTop w:val="0"/>
      <w:marBottom w:val="120"/>
      <w:divBdr>
        <w:top w:val="none" w:sz="0" w:space="0" w:color="auto"/>
        <w:left w:val="none" w:sz="0" w:space="0" w:color="auto"/>
        <w:bottom w:val="none" w:sz="0" w:space="0" w:color="auto"/>
        <w:right w:val="none" w:sz="0" w:space="0" w:color="auto"/>
      </w:divBdr>
    </w:div>
    <w:div w:id="83963622">
      <w:marLeft w:val="0"/>
      <w:marRight w:val="0"/>
      <w:marTop w:val="0"/>
      <w:marBottom w:val="0"/>
      <w:divBdr>
        <w:top w:val="none" w:sz="0" w:space="0" w:color="auto"/>
        <w:left w:val="none" w:sz="0" w:space="0" w:color="auto"/>
        <w:bottom w:val="none" w:sz="0" w:space="0" w:color="auto"/>
        <w:right w:val="none" w:sz="0" w:space="0" w:color="auto"/>
      </w:divBdr>
    </w:div>
    <w:div w:id="84765490">
      <w:marLeft w:val="0"/>
      <w:marRight w:val="0"/>
      <w:marTop w:val="0"/>
      <w:marBottom w:val="0"/>
      <w:divBdr>
        <w:top w:val="none" w:sz="0" w:space="0" w:color="auto"/>
        <w:left w:val="none" w:sz="0" w:space="0" w:color="auto"/>
        <w:bottom w:val="none" w:sz="0" w:space="0" w:color="auto"/>
        <w:right w:val="none" w:sz="0" w:space="0" w:color="auto"/>
      </w:divBdr>
      <w:divsChild>
        <w:div w:id="793792057">
          <w:marLeft w:val="0"/>
          <w:marRight w:val="0"/>
          <w:marTop w:val="0"/>
          <w:marBottom w:val="0"/>
          <w:divBdr>
            <w:top w:val="none" w:sz="0" w:space="0" w:color="auto"/>
            <w:left w:val="none" w:sz="0" w:space="0" w:color="auto"/>
            <w:bottom w:val="none" w:sz="0" w:space="0" w:color="auto"/>
            <w:right w:val="none" w:sz="0" w:space="0" w:color="auto"/>
          </w:divBdr>
          <w:divsChild>
            <w:div w:id="1871259833">
              <w:marLeft w:val="0"/>
              <w:marRight w:val="0"/>
              <w:marTop w:val="140"/>
              <w:marBottom w:val="120"/>
              <w:divBdr>
                <w:top w:val="none" w:sz="0" w:space="0" w:color="auto"/>
                <w:left w:val="none" w:sz="0" w:space="0" w:color="auto"/>
                <w:bottom w:val="none" w:sz="0" w:space="0" w:color="auto"/>
                <w:right w:val="none" w:sz="0" w:space="0" w:color="auto"/>
              </w:divBdr>
            </w:div>
            <w:div w:id="14723588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5805631">
      <w:marLeft w:val="0"/>
      <w:marRight w:val="0"/>
      <w:marTop w:val="0"/>
      <w:marBottom w:val="0"/>
      <w:divBdr>
        <w:top w:val="none" w:sz="0" w:space="0" w:color="auto"/>
        <w:left w:val="none" w:sz="0" w:space="0" w:color="auto"/>
        <w:bottom w:val="none" w:sz="0" w:space="0" w:color="auto"/>
        <w:right w:val="none" w:sz="0" w:space="0" w:color="auto"/>
      </w:divBdr>
      <w:divsChild>
        <w:div w:id="980772554">
          <w:marLeft w:val="0"/>
          <w:marRight w:val="0"/>
          <w:marTop w:val="0"/>
          <w:marBottom w:val="120"/>
          <w:divBdr>
            <w:top w:val="none" w:sz="0" w:space="0" w:color="auto"/>
            <w:left w:val="none" w:sz="0" w:space="0" w:color="auto"/>
            <w:bottom w:val="none" w:sz="0" w:space="0" w:color="auto"/>
            <w:right w:val="none" w:sz="0" w:space="0" w:color="auto"/>
          </w:divBdr>
        </w:div>
      </w:divsChild>
    </w:div>
    <w:div w:id="87848154">
      <w:marLeft w:val="0"/>
      <w:marRight w:val="0"/>
      <w:marTop w:val="0"/>
      <w:marBottom w:val="120"/>
      <w:divBdr>
        <w:top w:val="none" w:sz="0" w:space="0" w:color="auto"/>
        <w:left w:val="none" w:sz="0" w:space="0" w:color="auto"/>
        <w:bottom w:val="none" w:sz="0" w:space="0" w:color="auto"/>
        <w:right w:val="none" w:sz="0" w:space="0" w:color="auto"/>
      </w:divBdr>
    </w:div>
    <w:div w:id="88700196">
      <w:marLeft w:val="0"/>
      <w:marRight w:val="0"/>
      <w:marTop w:val="0"/>
      <w:marBottom w:val="0"/>
      <w:divBdr>
        <w:top w:val="none" w:sz="0" w:space="0" w:color="auto"/>
        <w:left w:val="none" w:sz="0" w:space="0" w:color="auto"/>
        <w:bottom w:val="none" w:sz="0" w:space="0" w:color="auto"/>
        <w:right w:val="none" w:sz="0" w:space="0" w:color="auto"/>
      </w:divBdr>
      <w:divsChild>
        <w:div w:id="214581906">
          <w:marLeft w:val="0"/>
          <w:marRight w:val="0"/>
          <w:marTop w:val="0"/>
          <w:marBottom w:val="120"/>
          <w:divBdr>
            <w:top w:val="none" w:sz="0" w:space="0" w:color="auto"/>
            <w:left w:val="none" w:sz="0" w:space="0" w:color="auto"/>
            <w:bottom w:val="none" w:sz="0" w:space="0" w:color="auto"/>
            <w:right w:val="none" w:sz="0" w:space="0" w:color="auto"/>
          </w:divBdr>
        </w:div>
      </w:divsChild>
    </w:div>
    <w:div w:id="89008017">
      <w:marLeft w:val="0"/>
      <w:marRight w:val="0"/>
      <w:marTop w:val="0"/>
      <w:marBottom w:val="120"/>
      <w:divBdr>
        <w:top w:val="none" w:sz="0" w:space="0" w:color="auto"/>
        <w:left w:val="none" w:sz="0" w:space="0" w:color="auto"/>
        <w:bottom w:val="none" w:sz="0" w:space="0" w:color="auto"/>
        <w:right w:val="none" w:sz="0" w:space="0" w:color="auto"/>
      </w:divBdr>
    </w:div>
    <w:div w:id="90318999">
      <w:marLeft w:val="0"/>
      <w:marRight w:val="0"/>
      <w:marTop w:val="240"/>
      <w:marBottom w:val="240"/>
      <w:divBdr>
        <w:top w:val="none" w:sz="0" w:space="0" w:color="auto"/>
        <w:left w:val="none" w:sz="0" w:space="0" w:color="auto"/>
        <w:bottom w:val="none" w:sz="0" w:space="0" w:color="auto"/>
        <w:right w:val="none" w:sz="0" w:space="0" w:color="auto"/>
      </w:divBdr>
    </w:div>
    <w:div w:id="91248905">
      <w:marLeft w:val="0"/>
      <w:marRight w:val="0"/>
      <w:marTop w:val="240"/>
      <w:marBottom w:val="0"/>
      <w:divBdr>
        <w:top w:val="none" w:sz="0" w:space="0" w:color="auto"/>
        <w:left w:val="none" w:sz="0" w:space="0" w:color="auto"/>
        <w:bottom w:val="none" w:sz="0" w:space="0" w:color="auto"/>
        <w:right w:val="none" w:sz="0" w:space="0" w:color="auto"/>
      </w:divBdr>
    </w:div>
    <w:div w:id="91318809">
      <w:marLeft w:val="0"/>
      <w:marRight w:val="0"/>
      <w:marTop w:val="40"/>
      <w:marBottom w:val="40"/>
      <w:divBdr>
        <w:top w:val="none" w:sz="0" w:space="0" w:color="auto"/>
        <w:left w:val="none" w:sz="0" w:space="0" w:color="auto"/>
        <w:bottom w:val="none" w:sz="0" w:space="0" w:color="auto"/>
        <w:right w:val="none" w:sz="0" w:space="0" w:color="auto"/>
      </w:divBdr>
    </w:div>
    <w:div w:id="100271321">
      <w:marLeft w:val="0"/>
      <w:marRight w:val="0"/>
      <w:marTop w:val="0"/>
      <w:marBottom w:val="20"/>
      <w:divBdr>
        <w:top w:val="none" w:sz="0" w:space="0" w:color="auto"/>
        <w:left w:val="none" w:sz="0" w:space="0" w:color="auto"/>
        <w:bottom w:val="none" w:sz="0" w:space="0" w:color="auto"/>
        <w:right w:val="none" w:sz="0" w:space="0" w:color="auto"/>
      </w:divBdr>
      <w:divsChild>
        <w:div w:id="1938246505">
          <w:marLeft w:val="0"/>
          <w:marRight w:val="0"/>
          <w:marTop w:val="0"/>
          <w:marBottom w:val="0"/>
          <w:divBdr>
            <w:top w:val="none" w:sz="0" w:space="0" w:color="auto"/>
            <w:left w:val="none" w:sz="0" w:space="0" w:color="auto"/>
            <w:bottom w:val="none" w:sz="0" w:space="0" w:color="auto"/>
            <w:right w:val="none" w:sz="0" w:space="0" w:color="auto"/>
          </w:divBdr>
        </w:div>
        <w:div w:id="415588873">
          <w:marLeft w:val="0"/>
          <w:marRight w:val="0"/>
          <w:marTop w:val="0"/>
          <w:marBottom w:val="0"/>
          <w:divBdr>
            <w:top w:val="none" w:sz="0" w:space="0" w:color="auto"/>
            <w:left w:val="none" w:sz="0" w:space="0" w:color="auto"/>
            <w:bottom w:val="none" w:sz="0" w:space="0" w:color="auto"/>
            <w:right w:val="none" w:sz="0" w:space="0" w:color="auto"/>
          </w:divBdr>
        </w:div>
        <w:div w:id="728186559">
          <w:marLeft w:val="0"/>
          <w:marRight w:val="0"/>
          <w:marTop w:val="0"/>
          <w:marBottom w:val="0"/>
          <w:divBdr>
            <w:top w:val="none" w:sz="0" w:space="0" w:color="auto"/>
            <w:left w:val="none" w:sz="0" w:space="0" w:color="auto"/>
            <w:bottom w:val="none" w:sz="0" w:space="0" w:color="auto"/>
            <w:right w:val="none" w:sz="0" w:space="0" w:color="auto"/>
          </w:divBdr>
        </w:div>
      </w:divsChild>
    </w:div>
    <w:div w:id="100537336">
      <w:marLeft w:val="0"/>
      <w:marRight w:val="0"/>
      <w:marTop w:val="0"/>
      <w:marBottom w:val="120"/>
      <w:divBdr>
        <w:top w:val="none" w:sz="0" w:space="0" w:color="auto"/>
        <w:left w:val="none" w:sz="0" w:space="0" w:color="auto"/>
        <w:bottom w:val="none" w:sz="0" w:space="0" w:color="auto"/>
        <w:right w:val="none" w:sz="0" w:space="0" w:color="auto"/>
      </w:divBdr>
    </w:div>
    <w:div w:id="103503955">
      <w:marLeft w:val="0"/>
      <w:marRight w:val="0"/>
      <w:marTop w:val="0"/>
      <w:marBottom w:val="0"/>
      <w:divBdr>
        <w:top w:val="none" w:sz="0" w:space="0" w:color="auto"/>
        <w:left w:val="none" w:sz="0" w:space="0" w:color="auto"/>
        <w:bottom w:val="none" w:sz="0" w:space="0" w:color="auto"/>
        <w:right w:val="none" w:sz="0" w:space="0" w:color="auto"/>
      </w:divBdr>
      <w:divsChild>
        <w:div w:id="1351952190">
          <w:marLeft w:val="0"/>
          <w:marRight w:val="0"/>
          <w:marTop w:val="0"/>
          <w:marBottom w:val="0"/>
          <w:divBdr>
            <w:top w:val="none" w:sz="0" w:space="0" w:color="auto"/>
            <w:left w:val="none" w:sz="0" w:space="0" w:color="auto"/>
            <w:bottom w:val="none" w:sz="0" w:space="0" w:color="auto"/>
            <w:right w:val="none" w:sz="0" w:space="0" w:color="auto"/>
          </w:divBdr>
          <w:divsChild>
            <w:div w:id="14179418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3883618">
      <w:marLeft w:val="0"/>
      <w:marRight w:val="0"/>
      <w:marTop w:val="0"/>
      <w:marBottom w:val="120"/>
      <w:divBdr>
        <w:top w:val="none" w:sz="0" w:space="0" w:color="auto"/>
        <w:left w:val="none" w:sz="0" w:space="0" w:color="auto"/>
        <w:bottom w:val="none" w:sz="0" w:space="0" w:color="auto"/>
        <w:right w:val="none" w:sz="0" w:space="0" w:color="auto"/>
      </w:divBdr>
    </w:div>
    <w:div w:id="104807809">
      <w:marLeft w:val="0"/>
      <w:marRight w:val="0"/>
      <w:marTop w:val="0"/>
      <w:marBottom w:val="120"/>
      <w:divBdr>
        <w:top w:val="none" w:sz="0" w:space="0" w:color="auto"/>
        <w:left w:val="none" w:sz="0" w:space="0" w:color="auto"/>
        <w:bottom w:val="none" w:sz="0" w:space="0" w:color="auto"/>
        <w:right w:val="none" w:sz="0" w:space="0" w:color="auto"/>
      </w:divBdr>
      <w:divsChild>
        <w:div w:id="836965575">
          <w:marLeft w:val="0"/>
          <w:marRight w:val="0"/>
          <w:marTop w:val="0"/>
          <w:marBottom w:val="0"/>
          <w:divBdr>
            <w:top w:val="none" w:sz="0" w:space="0" w:color="auto"/>
            <w:left w:val="none" w:sz="0" w:space="0" w:color="auto"/>
            <w:bottom w:val="none" w:sz="0" w:space="0" w:color="auto"/>
            <w:right w:val="none" w:sz="0" w:space="0" w:color="auto"/>
          </w:divBdr>
        </w:div>
      </w:divsChild>
    </w:div>
    <w:div w:id="109201033">
      <w:marLeft w:val="0"/>
      <w:marRight w:val="0"/>
      <w:marTop w:val="0"/>
      <w:marBottom w:val="120"/>
      <w:divBdr>
        <w:top w:val="none" w:sz="0" w:space="0" w:color="auto"/>
        <w:left w:val="none" w:sz="0" w:space="0" w:color="auto"/>
        <w:bottom w:val="none" w:sz="0" w:space="0" w:color="auto"/>
        <w:right w:val="none" w:sz="0" w:space="0" w:color="auto"/>
      </w:divBdr>
    </w:div>
    <w:div w:id="112789511">
      <w:marLeft w:val="0"/>
      <w:marRight w:val="0"/>
      <w:marTop w:val="0"/>
      <w:marBottom w:val="120"/>
      <w:divBdr>
        <w:top w:val="none" w:sz="0" w:space="0" w:color="auto"/>
        <w:left w:val="none" w:sz="0" w:space="0" w:color="auto"/>
        <w:bottom w:val="none" w:sz="0" w:space="0" w:color="auto"/>
        <w:right w:val="none" w:sz="0" w:space="0" w:color="auto"/>
      </w:divBdr>
    </w:div>
    <w:div w:id="112988340">
      <w:marLeft w:val="0"/>
      <w:marRight w:val="0"/>
      <w:marTop w:val="0"/>
      <w:marBottom w:val="120"/>
      <w:divBdr>
        <w:top w:val="none" w:sz="0" w:space="0" w:color="auto"/>
        <w:left w:val="none" w:sz="0" w:space="0" w:color="auto"/>
        <w:bottom w:val="none" w:sz="0" w:space="0" w:color="auto"/>
        <w:right w:val="none" w:sz="0" w:space="0" w:color="auto"/>
      </w:divBdr>
    </w:div>
    <w:div w:id="119225067">
      <w:marLeft w:val="0"/>
      <w:marRight w:val="0"/>
      <w:marTop w:val="0"/>
      <w:marBottom w:val="120"/>
      <w:divBdr>
        <w:top w:val="none" w:sz="0" w:space="0" w:color="auto"/>
        <w:left w:val="none" w:sz="0" w:space="0" w:color="auto"/>
        <w:bottom w:val="none" w:sz="0" w:space="0" w:color="auto"/>
        <w:right w:val="none" w:sz="0" w:space="0" w:color="auto"/>
      </w:divBdr>
    </w:div>
    <w:div w:id="122043704">
      <w:marLeft w:val="0"/>
      <w:marRight w:val="0"/>
      <w:marTop w:val="0"/>
      <w:marBottom w:val="120"/>
      <w:divBdr>
        <w:top w:val="none" w:sz="0" w:space="0" w:color="auto"/>
        <w:left w:val="none" w:sz="0" w:space="0" w:color="auto"/>
        <w:bottom w:val="none" w:sz="0" w:space="0" w:color="auto"/>
        <w:right w:val="none" w:sz="0" w:space="0" w:color="auto"/>
      </w:divBdr>
    </w:div>
    <w:div w:id="123282358">
      <w:marLeft w:val="0"/>
      <w:marRight w:val="0"/>
      <w:marTop w:val="0"/>
      <w:marBottom w:val="0"/>
      <w:divBdr>
        <w:top w:val="none" w:sz="0" w:space="0" w:color="auto"/>
        <w:left w:val="none" w:sz="0" w:space="0" w:color="auto"/>
        <w:bottom w:val="none" w:sz="0" w:space="0" w:color="auto"/>
        <w:right w:val="none" w:sz="0" w:space="0" w:color="auto"/>
      </w:divBdr>
      <w:divsChild>
        <w:div w:id="1040280243">
          <w:marLeft w:val="0"/>
          <w:marRight w:val="0"/>
          <w:marTop w:val="0"/>
          <w:marBottom w:val="120"/>
          <w:divBdr>
            <w:top w:val="none" w:sz="0" w:space="0" w:color="auto"/>
            <w:left w:val="none" w:sz="0" w:space="0" w:color="auto"/>
            <w:bottom w:val="none" w:sz="0" w:space="0" w:color="auto"/>
            <w:right w:val="none" w:sz="0" w:space="0" w:color="auto"/>
          </w:divBdr>
        </w:div>
      </w:divsChild>
    </w:div>
    <w:div w:id="125702883">
      <w:marLeft w:val="0"/>
      <w:marRight w:val="0"/>
      <w:marTop w:val="0"/>
      <w:marBottom w:val="0"/>
      <w:divBdr>
        <w:top w:val="none" w:sz="0" w:space="0" w:color="auto"/>
        <w:left w:val="none" w:sz="0" w:space="0" w:color="auto"/>
        <w:bottom w:val="none" w:sz="0" w:space="0" w:color="auto"/>
        <w:right w:val="none" w:sz="0" w:space="0" w:color="auto"/>
      </w:divBdr>
    </w:div>
    <w:div w:id="129787033">
      <w:marLeft w:val="0"/>
      <w:marRight w:val="0"/>
      <w:marTop w:val="240"/>
      <w:marBottom w:val="240"/>
      <w:divBdr>
        <w:top w:val="none" w:sz="0" w:space="0" w:color="auto"/>
        <w:left w:val="none" w:sz="0" w:space="0" w:color="auto"/>
        <w:bottom w:val="none" w:sz="0" w:space="0" w:color="auto"/>
        <w:right w:val="none" w:sz="0" w:space="0" w:color="auto"/>
      </w:divBdr>
    </w:div>
    <w:div w:id="132333668">
      <w:marLeft w:val="0"/>
      <w:marRight w:val="0"/>
      <w:marTop w:val="0"/>
      <w:marBottom w:val="120"/>
      <w:divBdr>
        <w:top w:val="none" w:sz="0" w:space="0" w:color="auto"/>
        <w:left w:val="none" w:sz="0" w:space="0" w:color="auto"/>
        <w:bottom w:val="none" w:sz="0" w:space="0" w:color="auto"/>
        <w:right w:val="none" w:sz="0" w:space="0" w:color="auto"/>
      </w:divBdr>
    </w:div>
    <w:div w:id="132841752">
      <w:marLeft w:val="0"/>
      <w:marRight w:val="0"/>
      <w:marTop w:val="240"/>
      <w:marBottom w:val="240"/>
      <w:divBdr>
        <w:top w:val="none" w:sz="0" w:space="0" w:color="auto"/>
        <w:left w:val="none" w:sz="0" w:space="0" w:color="auto"/>
        <w:bottom w:val="none" w:sz="0" w:space="0" w:color="auto"/>
        <w:right w:val="none" w:sz="0" w:space="0" w:color="auto"/>
      </w:divBdr>
    </w:div>
    <w:div w:id="139277382">
      <w:marLeft w:val="0"/>
      <w:marRight w:val="0"/>
      <w:marTop w:val="0"/>
      <w:marBottom w:val="120"/>
      <w:divBdr>
        <w:top w:val="none" w:sz="0" w:space="0" w:color="auto"/>
        <w:left w:val="none" w:sz="0" w:space="0" w:color="auto"/>
        <w:bottom w:val="none" w:sz="0" w:space="0" w:color="auto"/>
        <w:right w:val="none" w:sz="0" w:space="0" w:color="auto"/>
      </w:divBdr>
    </w:div>
    <w:div w:id="140925257">
      <w:marLeft w:val="0"/>
      <w:marRight w:val="0"/>
      <w:marTop w:val="0"/>
      <w:marBottom w:val="120"/>
      <w:divBdr>
        <w:top w:val="none" w:sz="0" w:space="0" w:color="auto"/>
        <w:left w:val="none" w:sz="0" w:space="0" w:color="auto"/>
        <w:bottom w:val="none" w:sz="0" w:space="0" w:color="auto"/>
        <w:right w:val="none" w:sz="0" w:space="0" w:color="auto"/>
      </w:divBdr>
    </w:div>
    <w:div w:id="141234366">
      <w:marLeft w:val="0"/>
      <w:marRight w:val="0"/>
      <w:marTop w:val="0"/>
      <w:marBottom w:val="120"/>
      <w:divBdr>
        <w:top w:val="none" w:sz="0" w:space="0" w:color="auto"/>
        <w:left w:val="none" w:sz="0" w:space="0" w:color="auto"/>
        <w:bottom w:val="none" w:sz="0" w:space="0" w:color="auto"/>
        <w:right w:val="none" w:sz="0" w:space="0" w:color="auto"/>
      </w:divBdr>
    </w:div>
    <w:div w:id="141429221">
      <w:marLeft w:val="0"/>
      <w:marRight w:val="0"/>
      <w:marTop w:val="0"/>
      <w:marBottom w:val="120"/>
      <w:divBdr>
        <w:top w:val="none" w:sz="0" w:space="0" w:color="auto"/>
        <w:left w:val="none" w:sz="0" w:space="0" w:color="auto"/>
        <w:bottom w:val="none" w:sz="0" w:space="0" w:color="auto"/>
        <w:right w:val="none" w:sz="0" w:space="0" w:color="auto"/>
      </w:divBdr>
    </w:div>
    <w:div w:id="143087544">
      <w:marLeft w:val="0"/>
      <w:marRight w:val="0"/>
      <w:marTop w:val="0"/>
      <w:marBottom w:val="120"/>
      <w:divBdr>
        <w:top w:val="none" w:sz="0" w:space="0" w:color="auto"/>
        <w:left w:val="none" w:sz="0" w:space="0" w:color="auto"/>
        <w:bottom w:val="none" w:sz="0" w:space="0" w:color="auto"/>
        <w:right w:val="none" w:sz="0" w:space="0" w:color="auto"/>
      </w:divBdr>
    </w:div>
    <w:div w:id="143931626">
      <w:marLeft w:val="0"/>
      <w:marRight w:val="0"/>
      <w:marTop w:val="0"/>
      <w:marBottom w:val="120"/>
      <w:divBdr>
        <w:top w:val="none" w:sz="0" w:space="0" w:color="auto"/>
        <w:left w:val="none" w:sz="0" w:space="0" w:color="auto"/>
        <w:bottom w:val="none" w:sz="0" w:space="0" w:color="auto"/>
        <w:right w:val="none" w:sz="0" w:space="0" w:color="auto"/>
      </w:divBdr>
    </w:div>
    <w:div w:id="144251169">
      <w:marLeft w:val="0"/>
      <w:marRight w:val="0"/>
      <w:marTop w:val="0"/>
      <w:marBottom w:val="0"/>
      <w:divBdr>
        <w:top w:val="none" w:sz="0" w:space="0" w:color="auto"/>
        <w:left w:val="none" w:sz="0" w:space="0" w:color="auto"/>
        <w:bottom w:val="none" w:sz="0" w:space="0" w:color="auto"/>
        <w:right w:val="none" w:sz="0" w:space="0" w:color="auto"/>
      </w:divBdr>
      <w:divsChild>
        <w:div w:id="2113279601">
          <w:marLeft w:val="0"/>
          <w:marRight w:val="0"/>
          <w:marTop w:val="0"/>
          <w:marBottom w:val="120"/>
          <w:divBdr>
            <w:top w:val="none" w:sz="0" w:space="0" w:color="auto"/>
            <w:left w:val="none" w:sz="0" w:space="0" w:color="auto"/>
            <w:bottom w:val="none" w:sz="0" w:space="0" w:color="auto"/>
            <w:right w:val="none" w:sz="0" w:space="0" w:color="auto"/>
          </w:divBdr>
        </w:div>
      </w:divsChild>
    </w:div>
    <w:div w:id="145360374">
      <w:marLeft w:val="0"/>
      <w:marRight w:val="0"/>
      <w:marTop w:val="0"/>
      <w:marBottom w:val="120"/>
      <w:divBdr>
        <w:top w:val="none" w:sz="0" w:space="0" w:color="auto"/>
        <w:left w:val="none" w:sz="0" w:space="0" w:color="auto"/>
        <w:bottom w:val="none" w:sz="0" w:space="0" w:color="auto"/>
        <w:right w:val="none" w:sz="0" w:space="0" w:color="auto"/>
      </w:divBdr>
    </w:div>
    <w:div w:id="147326026">
      <w:marLeft w:val="0"/>
      <w:marRight w:val="0"/>
      <w:marTop w:val="0"/>
      <w:marBottom w:val="0"/>
      <w:divBdr>
        <w:top w:val="none" w:sz="0" w:space="0" w:color="auto"/>
        <w:left w:val="none" w:sz="0" w:space="0" w:color="auto"/>
        <w:bottom w:val="none" w:sz="0" w:space="0" w:color="auto"/>
        <w:right w:val="none" w:sz="0" w:space="0" w:color="auto"/>
      </w:divBdr>
      <w:divsChild>
        <w:div w:id="1054503887">
          <w:marLeft w:val="0"/>
          <w:marRight w:val="0"/>
          <w:marTop w:val="0"/>
          <w:marBottom w:val="0"/>
          <w:divBdr>
            <w:top w:val="none" w:sz="0" w:space="0" w:color="auto"/>
            <w:left w:val="none" w:sz="0" w:space="0" w:color="auto"/>
            <w:bottom w:val="none" w:sz="0" w:space="0" w:color="auto"/>
            <w:right w:val="none" w:sz="0" w:space="0" w:color="auto"/>
          </w:divBdr>
          <w:divsChild>
            <w:div w:id="13262032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7326836">
      <w:marLeft w:val="0"/>
      <w:marRight w:val="0"/>
      <w:marTop w:val="240"/>
      <w:marBottom w:val="240"/>
      <w:divBdr>
        <w:top w:val="none" w:sz="0" w:space="0" w:color="auto"/>
        <w:left w:val="none" w:sz="0" w:space="0" w:color="auto"/>
        <w:bottom w:val="none" w:sz="0" w:space="0" w:color="auto"/>
        <w:right w:val="none" w:sz="0" w:space="0" w:color="auto"/>
      </w:divBdr>
    </w:div>
    <w:div w:id="148134166">
      <w:marLeft w:val="0"/>
      <w:marRight w:val="0"/>
      <w:marTop w:val="0"/>
      <w:marBottom w:val="0"/>
      <w:divBdr>
        <w:top w:val="none" w:sz="0" w:space="0" w:color="auto"/>
        <w:left w:val="none" w:sz="0" w:space="0" w:color="auto"/>
        <w:bottom w:val="none" w:sz="0" w:space="0" w:color="auto"/>
        <w:right w:val="none" w:sz="0" w:space="0" w:color="auto"/>
      </w:divBdr>
      <w:divsChild>
        <w:div w:id="951790378">
          <w:marLeft w:val="0"/>
          <w:marRight w:val="0"/>
          <w:marTop w:val="0"/>
          <w:marBottom w:val="0"/>
          <w:divBdr>
            <w:top w:val="none" w:sz="0" w:space="0" w:color="auto"/>
            <w:left w:val="none" w:sz="0" w:space="0" w:color="auto"/>
            <w:bottom w:val="none" w:sz="0" w:space="0" w:color="auto"/>
            <w:right w:val="none" w:sz="0" w:space="0" w:color="auto"/>
          </w:divBdr>
          <w:divsChild>
            <w:div w:id="3666093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8451553">
      <w:marLeft w:val="0"/>
      <w:marRight w:val="0"/>
      <w:marTop w:val="0"/>
      <w:marBottom w:val="120"/>
      <w:divBdr>
        <w:top w:val="none" w:sz="0" w:space="0" w:color="auto"/>
        <w:left w:val="none" w:sz="0" w:space="0" w:color="auto"/>
        <w:bottom w:val="none" w:sz="0" w:space="0" w:color="auto"/>
        <w:right w:val="none" w:sz="0" w:space="0" w:color="auto"/>
      </w:divBdr>
      <w:divsChild>
        <w:div w:id="2106224707">
          <w:marLeft w:val="0"/>
          <w:marRight w:val="0"/>
          <w:marTop w:val="0"/>
          <w:marBottom w:val="0"/>
          <w:divBdr>
            <w:top w:val="none" w:sz="0" w:space="0" w:color="auto"/>
            <w:left w:val="none" w:sz="0" w:space="0" w:color="auto"/>
            <w:bottom w:val="none" w:sz="0" w:space="0" w:color="auto"/>
            <w:right w:val="none" w:sz="0" w:space="0" w:color="auto"/>
          </w:divBdr>
        </w:div>
        <w:div w:id="1547449918">
          <w:marLeft w:val="0"/>
          <w:marRight w:val="0"/>
          <w:marTop w:val="0"/>
          <w:marBottom w:val="0"/>
          <w:divBdr>
            <w:top w:val="none" w:sz="0" w:space="0" w:color="auto"/>
            <w:left w:val="none" w:sz="0" w:space="0" w:color="auto"/>
            <w:bottom w:val="none" w:sz="0" w:space="0" w:color="auto"/>
            <w:right w:val="none" w:sz="0" w:space="0" w:color="auto"/>
          </w:divBdr>
        </w:div>
        <w:div w:id="1851531696">
          <w:marLeft w:val="0"/>
          <w:marRight w:val="0"/>
          <w:marTop w:val="0"/>
          <w:marBottom w:val="0"/>
          <w:divBdr>
            <w:top w:val="none" w:sz="0" w:space="0" w:color="auto"/>
            <w:left w:val="none" w:sz="0" w:space="0" w:color="auto"/>
            <w:bottom w:val="none" w:sz="0" w:space="0" w:color="auto"/>
            <w:right w:val="none" w:sz="0" w:space="0" w:color="auto"/>
          </w:divBdr>
        </w:div>
      </w:divsChild>
    </w:div>
    <w:div w:id="149255154">
      <w:marLeft w:val="0"/>
      <w:marRight w:val="0"/>
      <w:marTop w:val="0"/>
      <w:marBottom w:val="120"/>
      <w:divBdr>
        <w:top w:val="none" w:sz="0" w:space="0" w:color="auto"/>
        <w:left w:val="none" w:sz="0" w:space="0" w:color="auto"/>
        <w:bottom w:val="none" w:sz="0" w:space="0" w:color="auto"/>
        <w:right w:val="none" w:sz="0" w:space="0" w:color="auto"/>
      </w:divBdr>
    </w:div>
    <w:div w:id="149445555">
      <w:marLeft w:val="0"/>
      <w:marRight w:val="0"/>
      <w:marTop w:val="0"/>
      <w:marBottom w:val="120"/>
      <w:divBdr>
        <w:top w:val="none" w:sz="0" w:space="0" w:color="auto"/>
        <w:left w:val="none" w:sz="0" w:space="0" w:color="auto"/>
        <w:bottom w:val="none" w:sz="0" w:space="0" w:color="auto"/>
        <w:right w:val="none" w:sz="0" w:space="0" w:color="auto"/>
      </w:divBdr>
    </w:div>
    <w:div w:id="150752910">
      <w:marLeft w:val="0"/>
      <w:marRight w:val="0"/>
      <w:marTop w:val="0"/>
      <w:marBottom w:val="0"/>
      <w:divBdr>
        <w:top w:val="none" w:sz="0" w:space="0" w:color="auto"/>
        <w:left w:val="none" w:sz="0" w:space="0" w:color="auto"/>
        <w:bottom w:val="none" w:sz="0" w:space="0" w:color="auto"/>
        <w:right w:val="none" w:sz="0" w:space="0" w:color="auto"/>
      </w:divBdr>
      <w:divsChild>
        <w:div w:id="1074204196">
          <w:marLeft w:val="0"/>
          <w:marRight w:val="0"/>
          <w:marTop w:val="0"/>
          <w:marBottom w:val="0"/>
          <w:divBdr>
            <w:top w:val="none" w:sz="0" w:space="0" w:color="auto"/>
            <w:left w:val="none" w:sz="0" w:space="0" w:color="auto"/>
            <w:bottom w:val="none" w:sz="0" w:space="0" w:color="auto"/>
            <w:right w:val="none" w:sz="0" w:space="0" w:color="auto"/>
          </w:divBdr>
          <w:divsChild>
            <w:div w:id="12555569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2724472">
      <w:marLeft w:val="0"/>
      <w:marRight w:val="0"/>
      <w:marTop w:val="160"/>
      <w:marBottom w:val="20"/>
      <w:divBdr>
        <w:top w:val="none" w:sz="0" w:space="0" w:color="auto"/>
        <w:left w:val="none" w:sz="0" w:space="0" w:color="auto"/>
        <w:bottom w:val="none" w:sz="0" w:space="0" w:color="auto"/>
        <w:right w:val="none" w:sz="0" w:space="0" w:color="auto"/>
      </w:divBdr>
    </w:div>
    <w:div w:id="157044667">
      <w:marLeft w:val="0"/>
      <w:marRight w:val="0"/>
      <w:marTop w:val="0"/>
      <w:marBottom w:val="0"/>
      <w:divBdr>
        <w:top w:val="none" w:sz="0" w:space="0" w:color="auto"/>
        <w:left w:val="none" w:sz="0" w:space="0" w:color="auto"/>
        <w:bottom w:val="none" w:sz="0" w:space="0" w:color="auto"/>
        <w:right w:val="none" w:sz="0" w:space="0" w:color="auto"/>
      </w:divBdr>
      <w:divsChild>
        <w:div w:id="1624573859">
          <w:marLeft w:val="0"/>
          <w:marRight w:val="0"/>
          <w:marTop w:val="0"/>
          <w:marBottom w:val="0"/>
          <w:divBdr>
            <w:top w:val="none" w:sz="0" w:space="0" w:color="auto"/>
            <w:left w:val="none" w:sz="0" w:space="0" w:color="auto"/>
            <w:bottom w:val="none" w:sz="0" w:space="0" w:color="auto"/>
            <w:right w:val="none" w:sz="0" w:space="0" w:color="auto"/>
          </w:divBdr>
          <w:divsChild>
            <w:div w:id="12741679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7574591">
      <w:marLeft w:val="0"/>
      <w:marRight w:val="0"/>
      <w:marTop w:val="0"/>
      <w:marBottom w:val="120"/>
      <w:divBdr>
        <w:top w:val="none" w:sz="0" w:space="0" w:color="auto"/>
        <w:left w:val="none" w:sz="0" w:space="0" w:color="auto"/>
        <w:bottom w:val="none" w:sz="0" w:space="0" w:color="auto"/>
        <w:right w:val="none" w:sz="0" w:space="0" w:color="auto"/>
      </w:divBdr>
    </w:div>
    <w:div w:id="163204241">
      <w:marLeft w:val="0"/>
      <w:marRight w:val="0"/>
      <w:marTop w:val="0"/>
      <w:marBottom w:val="120"/>
      <w:divBdr>
        <w:top w:val="none" w:sz="0" w:space="0" w:color="auto"/>
        <w:left w:val="none" w:sz="0" w:space="0" w:color="auto"/>
        <w:bottom w:val="none" w:sz="0" w:space="0" w:color="auto"/>
        <w:right w:val="none" w:sz="0" w:space="0" w:color="auto"/>
      </w:divBdr>
    </w:div>
    <w:div w:id="164437765">
      <w:marLeft w:val="0"/>
      <w:marRight w:val="0"/>
      <w:marTop w:val="140"/>
      <w:marBottom w:val="240"/>
      <w:divBdr>
        <w:top w:val="none" w:sz="0" w:space="0" w:color="auto"/>
        <w:left w:val="none" w:sz="0" w:space="0" w:color="auto"/>
        <w:bottom w:val="none" w:sz="0" w:space="0" w:color="auto"/>
        <w:right w:val="none" w:sz="0" w:space="0" w:color="auto"/>
      </w:divBdr>
    </w:div>
    <w:div w:id="164829952">
      <w:marLeft w:val="0"/>
      <w:marRight w:val="0"/>
      <w:marTop w:val="0"/>
      <w:marBottom w:val="0"/>
      <w:divBdr>
        <w:top w:val="none" w:sz="0" w:space="0" w:color="auto"/>
        <w:left w:val="none" w:sz="0" w:space="0" w:color="auto"/>
        <w:bottom w:val="none" w:sz="0" w:space="0" w:color="auto"/>
        <w:right w:val="none" w:sz="0" w:space="0" w:color="auto"/>
      </w:divBdr>
    </w:div>
    <w:div w:id="166213185">
      <w:marLeft w:val="0"/>
      <w:marRight w:val="0"/>
      <w:marTop w:val="0"/>
      <w:marBottom w:val="120"/>
      <w:divBdr>
        <w:top w:val="none" w:sz="0" w:space="0" w:color="auto"/>
        <w:left w:val="none" w:sz="0" w:space="0" w:color="auto"/>
        <w:bottom w:val="none" w:sz="0" w:space="0" w:color="auto"/>
        <w:right w:val="none" w:sz="0" w:space="0" w:color="auto"/>
      </w:divBdr>
    </w:div>
    <w:div w:id="174460907">
      <w:marLeft w:val="0"/>
      <w:marRight w:val="0"/>
      <w:marTop w:val="0"/>
      <w:marBottom w:val="120"/>
      <w:divBdr>
        <w:top w:val="none" w:sz="0" w:space="0" w:color="auto"/>
        <w:left w:val="none" w:sz="0" w:space="0" w:color="auto"/>
        <w:bottom w:val="none" w:sz="0" w:space="0" w:color="auto"/>
        <w:right w:val="none" w:sz="0" w:space="0" w:color="auto"/>
      </w:divBdr>
    </w:div>
    <w:div w:id="174803417">
      <w:marLeft w:val="0"/>
      <w:marRight w:val="0"/>
      <w:marTop w:val="0"/>
      <w:marBottom w:val="120"/>
      <w:divBdr>
        <w:top w:val="none" w:sz="0" w:space="0" w:color="auto"/>
        <w:left w:val="none" w:sz="0" w:space="0" w:color="auto"/>
        <w:bottom w:val="none" w:sz="0" w:space="0" w:color="auto"/>
        <w:right w:val="none" w:sz="0" w:space="0" w:color="auto"/>
      </w:divBdr>
    </w:div>
    <w:div w:id="174804779">
      <w:marLeft w:val="0"/>
      <w:marRight w:val="0"/>
      <w:marTop w:val="0"/>
      <w:marBottom w:val="0"/>
      <w:divBdr>
        <w:top w:val="none" w:sz="0" w:space="0" w:color="auto"/>
        <w:left w:val="none" w:sz="0" w:space="0" w:color="auto"/>
        <w:bottom w:val="none" w:sz="0" w:space="0" w:color="auto"/>
        <w:right w:val="none" w:sz="0" w:space="0" w:color="auto"/>
      </w:divBdr>
      <w:divsChild>
        <w:div w:id="2035155761">
          <w:marLeft w:val="0"/>
          <w:marRight w:val="0"/>
          <w:marTop w:val="0"/>
          <w:marBottom w:val="0"/>
          <w:divBdr>
            <w:top w:val="none" w:sz="0" w:space="0" w:color="auto"/>
            <w:left w:val="none" w:sz="0" w:space="0" w:color="auto"/>
            <w:bottom w:val="none" w:sz="0" w:space="0" w:color="auto"/>
            <w:right w:val="none" w:sz="0" w:space="0" w:color="auto"/>
          </w:divBdr>
          <w:divsChild>
            <w:div w:id="18654337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6120587">
      <w:marLeft w:val="0"/>
      <w:marRight w:val="0"/>
      <w:marTop w:val="0"/>
      <w:marBottom w:val="120"/>
      <w:divBdr>
        <w:top w:val="none" w:sz="0" w:space="0" w:color="auto"/>
        <w:left w:val="none" w:sz="0" w:space="0" w:color="auto"/>
        <w:bottom w:val="none" w:sz="0" w:space="0" w:color="auto"/>
        <w:right w:val="none" w:sz="0" w:space="0" w:color="auto"/>
      </w:divBdr>
      <w:divsChild>
        <w:div w:id="1217736900">
          <w:marLeft w:val="0"/>
          <w:marRight w:val="0"/>
          <w:marTop w:val="0"/>
          <w:marBottom w:val="0"/>
          <w:divBdr>
            <w:top w:val="none" w:sz="0" w:space="0" w:color="auto"/>
            <w:left w:val="none" w:sz="0" w:space="0" w:color="auto"/>
            <w:bottom w:val="none" w:sz="0" w:space="0" w:color="auto"/>
            <w:right w:val="none" w:sz="0" w:space="0" w:color="auto"/>
          </w:divBdr>
        </w:div>
      </w:divsChild>
    </w:div>
    <w:div w:id="181863495">
      <w:marLeft w:val="0"/>
      <w:marRight w:val="0"/>
      <w:marTop w:val="0"/>
      <w:marBottom w:val="120"/>
      <w:divBdr>
        <w:top w:val="none" w:sz="0" w:space="0" w:color="auto"/>
        <w:left w:val="none" w:sz="0" w:space="0" w:color="auto"/>
        <w:bottom w:val="none" w:sz="0" w:space="0" w:color="auto"/>
        <w:right w:val="none" w:sz="0" w:space="0" w:color="auto"/>
      </w:divBdr>
    </w:div>
    <w:div w:id="182407024">
      <w:marLeft w:val="0"/>
      <w:marRight w:val="0"/>
      <w:marTop w:val="0"/>
      <w:marBottom w:val="120"/>
      <w:divBdr>
        <w:top w:val="none" w:sz="0" w:space="0" w:color="auto"/>
        <w:left w:val="none" w:sz="0" w:space="0" w:color="auto"/>
        <w:bottom w:val="none" w:sz="0" w:space="0" w:color="auto"/>
        <w:right w:val="none" w:sz="0" w:space="0" w:color="auto"/>
      </w:divBdr>
    </w:div>
    <w:div w:id="183205621">
      <w:marLeft w:val="0"/>
      <w:marRight w:val="0"/>
      <w:marTop w:val="0"/>
      <w:marBottom w:val="0"/>
      <w:divBdr>
        <w:top w:val="none" w:sz="0" w:space="0" w:color="auto"/>
        <w:left w:val="none" w:sz="0" w:space="0" w:color="auto"/>
        <w:bottom w:val="none" w:sz="0" w:space="0" w:color="auto"/>
        <w:right w:val="none" w:sz="0" w:space="0" w:color="auto"/>
      </w:divBdr>
      <w:divsChild>
        <w:div w:id="346685687">
          <w:marLeft w:val="0"/>
          <w:marRight w:val="0"/>
          <w:marTop w:val="0"/>
          <w:marBottom w:val="120"/>
          <w:divBdr>
            <w:top w:val="none" w:sz="0" w:space="0" w:color="auto"/>
            <w:left w:val="none" w:sz="0" w:space="0" w:color="auto"/>
            <w:bottom w:val="none" w:sz="0" w:space="0" w:color="auto"/>
            <w:right w:val="none" w:sz="0" w:space="0" w:color="auto"/>
          </w:divBdr>
        </w:div>
      </w:divsChild>
    </w:div>
    <w:div w:id="183790863">
      <w:marLeft w:val="0"/>
      <w:marRight w:val="0"/>
      <w:marTop w:val="0"/>
      <w:marBottom w:val="120"/>
      <w:divBdr>
        <w:top w:val="none" w:sz="0" w:space="0" w:color="auto"/>
        <w:left w:val="none" w:sz="0" w:space="0" w:color="auto"/>
        <w:bottom w:val="none" w:sz="0" w:space="0" w:color="auto"/>
        <w:right w:val="none" w:sz="0" w:space="0" w:color="auto"/>
      </w:divBdr>
    </w:div>
    <w:div w:id="185406817">
      <w:marLeft w:val="0"/>
      <w:marRight w:val="0"/>
      <w:marTop w:val="0"/>
      <w:marBottom w:val="20"/>
      <w:divBdr>
        <w:top w:val="none" w:sz="0" w:space="0" w:color="auto"/>
        <w:left w:val="none" w:sz="0" w:space="0" w:color="auto"/>
        <w:bottom w:val="none" w:sz="0" w:space="0" w:color="auto"/>
        <w:right w:val="none" w:sz="0" w:space="0" w:color="auto"/>
      </w:divBdr>
    </w:div>
    <w:div w:id="186678965">
      <w:marLeft w:val="0"/>
      <w:marRight w:val="0"/>
      <w:marTop w:val="0"/>
      <w:marBottom w:val="120"/>
      <w:divBdr>
        <w:top w:val="none" w:sz="0" w:space="0" w:color="auto"/>
        <w:left w:val="none" w:sz="0" w:space="0" w:color="auto"/>
        <w:bottom w:val="none" w:sz="0" w:space="0" w:color="auto"/>
        <w:right w:val="none" w:sz="0" w:space="0" w:color="auto"/>
      </w:divBdr>
    </w:div>
    <w:div w:id="187068003">
      <w:marLeft w:val="0"/>
      <w:marRight w:val="0"/>
      <w:marTop w:val="0"/>
      <w:marBottom w:val="120"/>
      <w:divBdr>
        <w:top w:val="none" w:sz="0" w:space="0" w:color="auto"/>
        <w:left w:val="none" w:sz="0" w:space="0" w:color="auto"/>
        <w:bottom w:val="none" w:sz="0" w:space="0" w:color="auto"/>
        <w:right w:val="none" w:sz="0" w:space="0" w:color="auto"/>
      </w:divBdr>
    </w:div>
    <w:div w:id="187836872">
      <w:marLeft w:val="0"/>
      <w:marRight w:val="0"/>
      <w:marTop w:val="240"/>
      <w:marBottom w:val="0"/>
      <w:divBdr>
        <w:top w:val="none" w:sz="0" w:space="0" w:color="auto"/>
        <w:left w:val="none" w:sz="0" w:space="0" w:color="auto"/>
        <w:bottom w:val="none" w:sz="0" w:space="0" w:color="auto"/>
        <w:right w:val="none" w:sz="0" w:space="0" w:color="auto"/>
      </w:divBdr>
    </w:div>
    <w:div w:id="190265292">
      <w:marLeft w:val="0"/>
      <w:marRight w:val="0"/>
      <w:marTop w:val="0"/>
      <w:marBottom w:val="120"/>
      <w:divBdr>
        <w:top w:val="none" w:sz="0" w:space="0" w:color="auto"/>
        <w:left w:val="none" w:sz="0" w:space="0" w:color="auto"/>
        <w:bottom w:val="none" w:sz="0" w:space="0" w:color="auto"/>
        <w:right w:val="none" w:sz="0" w:space="0" w:color="auto"/>
      </w:divBdr>
    </w:div>
    <w:div w:id="190385826">
      <w:marLeft w:val="0"/>
      <w:marRight w:val="0"/>
      <w:marTop w:val="0"/>
      <w:marBottom w:val="120"/>
      <w:divBdr>
        <w:top w:val="none" w:sz="0" w:space="0" w:color="auto"/>
        <w:left w:val="none" w:sz="0" w:space="0" w:color="auto"/>
        <w:bottom w:val="none" w:sz="0" w:space="0" w:color="auto"/>
        <w:right w:val="none" w:sz="0" w:space="0" w:color="auto"/>
      </w:divBdr>
    </w:div>
    <w:div w:id="192427442">
      <w:marLeft w:val="0"/>
      <w:marRight w:val="0"/>
      <w:marTop w:val="0"/>
      <w:marBottom w:val="120"/>
      <w:divBdr>
        <w:top w:val="none" w:sz="0" w:space="0" w:color="auto"/>
        <w:left w:val="none" w:sz="0" w:space="0" w:color="auto"/>
        <w:bottom w:val="none" w:sz="0" w:space="0" w:color="auto"/>
        <w:right w:val="none" w:sz="0" w:space="0" w:color="auto"/>
      </w:divBdr>
    </w:div>
    <w:div w:id="193467061">
      <w:marLeft w:val="0"/>
      <w:marRight w:val="0"/>
      <w:marTop w:val="0"/>
      <w:marBottom w:val="0"/>
      <w:divBdr>
        <w:top w:val="none" w:sz="0" w:space="0" w:color="auto"/>
        <w:left w:val="none" w:sz="0" w:space="0" w:color="auto"/>
        <w:bottom w:val="none" w:sz="0" w:space="0" w:color="auto"/>
        <w:right w:val="none" w:sz="0" w:space="0" w:color="auto"/>
      </w:divBdr>
      <w:divsChild>
        <w:div w:id="1055812389">
          <w:marLeft w:val="0"/>
          <w:marRight w:val="0"/>
          <w:marTop w:val="0"/>
          <w:marBottom w:val="120"/>
          <w:divBdr>
            <w:top w:val="none" w:sz="0" w:space="0" w:color="auto"/>
            <w:left w:val="none" w:sz="0" w:space="0" w:color="auto"/>
            <w:bottom w:val="none" w:sz="0" w:space="0" w:color="auto"/>
            <w:right w:val="none" w:sz="0" w:space="0" w:color="auto"/>
          </w:divBdr>
        </w:div>
      </w:divsChild>
    </w:div>
    <w:div w:id="193545628">
      <w:marLeft w:val="0"/>
      <w:marRight w:val="0"/>
      <w:marTop w:val="0"/>
      <w:marBottom w:val="120"/>
      <w:divBdr>
        <w:top w:val="none" w:sz="0" w:space="0" w:color="auto"/>
        <w:left w:val="none" w:sz="0" w:space="0" w:color="auto"/>
        <w:bottom w:val="none" w:sz="0" w:space="0" w:color="auto"/>
        <w:right w:val="none" w:sz="0" w:space="0" w:color="auto"/>
      </w:divBdr>
    </w:div>
    <w:div w:id="197357605">
      <w:marLeft w:val="0"/>
      <w:marRight w:val="0"/>
      <w:marTop w:val="240"/>
      <w:marBottom w:val="0"/>
      <w:divBdr>
        <w:top w:val="none" w:sz="0" w:space="0" w:color="auto"/>
        <w:left w:val="none" w:sz="0" w:space="0" w:color="auto"/>
        <w:bottom w:val="none" w:sz="0" w:space="0" w:color="auto"/>
        <w:right w:val="none" w:sz="0" w:space="0" w:color="auto"/>
      </w:divBdr>
    </w:div>
    <w:div w:id="198014320">
      <w:marLeft w:val="0"/>
      <w:marRight w:val="0"/>
      <w:marTop w:val="0"/>
      <w:marBottom w:val="120"/>
      <w:divBdr>
        <w:top w:val="none" w:sz="0" w:space="0" w:color="auto"/>
        <w:left w:val="none" w:sz="0" w:space="0" w:color="auto"/>
        <w:bottom w:val="none" w:sz="0" w:space="0" w:color="auto"/>
        <w:right w:val="none" w:sz="0" w:space="0" w:color="auto"/>
      </w:divBdr>
    </w:div>
    <w:div w:id="201210509">
      <w:marLeft w:val="0"/>
      <w:marRight w:val="0"/>
      <w:marTop w:val="0"/>
      <w:marBottom w:val="120"/>
      <w:divBdr>
        <w:top w:val="none" w:sz="0" w:space="0" w:color="auto"/>
        <w:left w:val="none" w:sz="0" w:space="0" w:color="auto"/>
        <w:bottom w:val="none" w:sz="0" w:space="0" w:color="auto"/>
        <w:right w:val="none" w:sz="0" w:space="0" w:color="auto"/>
      </w:divBdr>
    </w:div>
    <w:div w:id="204174192">
      <w:marLeft w:val="0"/>
      <w:marRight w:val="0"/>
      <w:marTop w:val="0"/>
      <w:marBottom w:val="120"/>
      <w:divBdr>
        <w:top w:val="none" w:sz="0" w:space="0" w:color="auto"/>
        <w:left w:val="none" w:sz="0" w:space="0" w:color="auto"/>
        <w:bottom w:val="none" w:sz="0" w:space="0" w:color="auto"/>
        <w:right w:val="none" w:sz="0" w:space="0" w:color="auto"/>
      </w:divBdr>
    </w:div>
    <w:div w:id="207836049">
      <w:marLeft w:val="0"/>
      <w:marRight w:val="0"/>
      <w:marTop w:val="0"/>
      <w:marBottom w:val="120"/>
      <w:divBdr>
        <w:top w:val="none" w:sz="0" w:space="0" w:color="auto"/>
        <w:left w:val="none" w:sz="0" w:space="0" w:color="auto"/>
        <w:bottom w:val="none" w:sz="0" w:space="0" w:color="auto"/>
        <w:right w:val="none" w:sz="0" w:space="0" w:color="auto"/>
      </w:divBdr>
    </w:div>
    <w:div w:id="210195888">
      <w:marLeft w:val="0"/>
      <w:marRight w:val="0"/>
      <w:marTop w:val="0"/>
      <w:marBottom w:val="120"/>
      <w:divBdr>
        <w:top w:val="none" w:sz="0" w:space="0" w:color="auto"/>
        <w:left w:val="none" w:sz="0" w:space="0" w:color="auto"/>
        <w:bottom w:val="none" w:sz="0" w:space="0" w:color="auto"/>
        <w:right w:val="none" w:sz="0" w:space="0" w:color="auto"/>
      </w:divBdr>
    </w:div>
    <w:div w:id="211160288">
      <w:marLeft w:val="0"/>
      <w:marRight w:val="0"/>
      <w:marTop w:val="0"/>
      <w:marBottom w:val="120"/>
      <w:divBdr>
        <w:top w:val="none" w:sz="0" w:space="0" w:color="auto"/>
        <w:left w:val="none" w:sz="0" w:space="0" w:color="auto"/>
        <w:bottom w:val="none" w:sz="0" w:space="0" w:color="auto"/>
        <w:right w:val="none" w:sz="0" w:space="0" w:color="auto"/>
      </w:divBdr>
    </w:div>
    <w:div w:id="213322231">
      <w:marLeft w:val="0"/>
      <w:marRight w:val="0"/>
      <w:marTop w:val="0"/>
      <w:marBottom w:val="120"/>
      <w:divBdr>
        <w:top w:val="none" w:sz="0" w:space="0" w:color="auto"/>
        <w:left w:val="none" w:sz="0" w:space="0" w:color="auto"/>
        <w:bottom w:val="none" w:sz="0" w:space="0" w:color="auto"/>
        <w:right w:val="none" w:sz="0" w:space="0" w:color="auto"/>
      </w:divBdr>
    </w:div>
    <w:div w:id="213585080">
      <w:marLeft w:val="0"/>
      <w:marRight w:val="0"/>
      <w:marTop w:val="0"/>
      <w:marBottom w:val="0"/>
      <w:divBdr>
        <w:top w:val="none" w:sz="0" w:space="0" w:color="auto"/>
        <w:left w:val="none" w:sz="0" w:space="0" w:color="auto"/>
        <w:bottom w:val="none" w:sz="0" w:space="0" w:color="auto"/>
        <w:right w:val="none" w:sz="0" w:space="0" w:color="auto"/>
      </w:divBdr>
      <w:divsChild>
        <w:div w:id="376710814">
          <w:marLeft w:val="0"/>
          <w:marRight w:val="0"/>
          <w:marTop w:val="0"/>
          <w:marBottom w:val="0"/>
          <w:divBdr>
            <w:top w:val="none" w:sz="0" w:space="0" w:color="auto"/>
            <w:left w:val="none" w:sz="0" w:space="0" w:color="auto"/>
            <w:bottom w:val="none" w:sz="0" w:space="0" w:color="auto"/>
            <w:right w:val="none" w:sz="0" w:space="0" w:color="auto"/>
          </w:divBdr>
          <w:divsChild>
            <w:div w:id="2052602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4434598">
      <w:marLeft w:val="0"/>
      <w:marRight w:val="0"/>
      <w:marTop w:val="0"/>
      <w:marBottom w:val="120"/>
      <w:divBdr>
        <w:top w:val="none" w:sz="0" w:space="0" w:color="auto"/>
        <w:left w:val="none" w:sz="0" w:space="0" w:color="auto"/>
        <w:bottom w:val="none" w:sz="0" w:space="0" w:color="auto"/>
        <w:right w:val="none" w:sz="0" w:space="0" w:color="auto"/>
      </w:divBdr>
    </w:div>
    <w:div w:id="215092702">
      <w:marLeft w:val="0"/>
      <w:marRight w:val="0"/>
      <w:marTop w:val="0"/>
      <w:marBottom w:val="120"/>
      <w:divBdr>
        <w:top w:val="none" w:sz="0" w:space="0" w:color="auto"/>
        <w:left w:val="none" w:sz="0" w:space="0" w:color="auto"/>
        <w:bottom w:val="none" w:sz="0" w:space="0" w:color="auto"/>
        <w:right w:val="none" w:sz="0" w:space="0" w:color="auto"/>
      </w:divBdr>
    </w:div>
    <w:div w:id="218978391">
      <w:marLeft w:val="0"/>
      <w:marRight w:val="0"/>
      <w:marTop w:val="0"/>
      <w:marBottom w:val="120"/>
      <w:divBdr>
        <w:top w:val="none" w:sz="0" w:space="0" w:color="auto"/>
        <w:left w:val="none" w:sz="0" w:space="0" w:color="auto"/>
        <w:bottom w:val="none" w:sz="0" w:space="0" w:color="auto"/>
        <w:right w:val="none" w:sz="0" w:space="0" w:color="auto"/>
      </w:divBdr>
    </w:div>
    <w:div w:id="219369643">
      <w:marLeft w:val="0"/>
      <w:marRight w:val="0"/>
      <w:marTop w:val="0"/>
      <w:marBottom w:val="120"/>
      <w:divBdr>
        <w:top w:val="none" w:sz="0" w:space="0" w:color="auto"/>
        <w:left w:val="none" w:sz="0" w:space="0" w:color="auto"/>
        <w:bottom w:val="none" w:sz="0" w:space="0" w:color="auto"/>
        <w:right w:val="none" w:sz="0" w:space="0" w:color="auto"/>
      </w:divBdr>
    </w:div>
    <w:div w:id="222759689">
      <w:marLeft w:val="0"/>
      <w:marRight w:val="0"/>
      <w:marTop w:val="0"/>
      <w:marBottom w:val="120"/>
      <w:divBdr>
        <w:top w:val="none" w:sz="0" w:space="0" w:color="auto"/>
        <w:left w:val="none" w:sz="0" w:space="0" w:color="auto"/>
        <w:bottom w:val="none" w:sz="0" w:space="0" w:color="auto"/>
        <w:right w:val="none" w:sz="0" w:space="0" w:color="auto"/>
      </w:divBdr>
      <w:divsChild>
        <w:div w:id="286006292">
          <w:marLeft w:val="0"/>
          <w:marRight w:val="0"/>
          <w:marTop w:val="0"/>
          <w:marBottom w:val="0"/>
          <w:divBdr>
            <w:top w:val="none" w:sz="0" w:space="0" w:color="auto"/>
            <w:left w:val="none" w:sz="0" w:space="0" w:color="auto"/>
            <w:bottom w:val="none" w:sz="0" w:space="0" w:color="auto"/>
            <w:right w:val="none" w:sz="0" w:space="0" w:color="auto"/>
          </w:divBdr>
        </w:div>
        <w:div w:id="874539381">
          <w:marLeft w:val="0"/>
          <w:marRight w:val="0"/>
          <w:marTop w:val="0"/>
          <w:marBottom w:val="0"/>
          <w:divBdr>
            <w:top w:val="none" w:sz="0" w:space="0" w:color="auto"/>
            <w:left w:val="none" w:sz="0" w:space="0" w:color="auto"/>
            <w:bottom w:val="none" w:sz="0" w:space="0" w:color="auto"/>
            <w:right w:val="none" w:sz="0" w:space="0" w:color="auto"/>
          </w:divBdr>
        </w:div>
        <w:div w:id="1418751005">
          <w:marLeft w:val="0"/>
          <w:marRight w:val="0"/>
          <w:marTop w:val="0"/>
          <w:marBottom w:val="0"/>
          <w:divBdr>
            <w:top w:val="none" w:sz="0" w:space="0" w:color="auto"/>
            <w:left w:val="none" w:sz="0" w:space="0" w:color="auto"/>
            <w:bottom w:val="none" w:sz="0" w:space="0" w:color="auto"/>
            <w:right w:val="none" w:sz="0" w:space="0" w:color="auto"/>
          </w:divBdr>
        </w:div>
      </w:divsChild>
    </w:div>
    <w:div w:id="223219707">
      <w:marLeft w:val="0"/>
      <w:marRight w:val="0"/>
      <w:marTop w:val="0"/>
      <w:marBottom w:val="120"/>
      <w:divBdr>
        <w:top w:val="none" w:sz="0" w:space="0" w:color="auto"/>
        <w:left w:val="none" w:sz="0" w:space="0" w:color="auto"/>
        <w:bottom w:val="none" w:sz="0" w:space="0" w:color="auto"/>
        <w:right w:val="none" w:sz="0" w:space="0" w:color="auto"/>
      </w:divBdr>
    </w:div>
    <w:div w:id="224338701">
      <w:marLeft w:val="0"/>
      <w:marRight w:val="0"/>
      <w:marTop w:val="0"/>
      <w:marBottom w:val="0"/>
      <w:divBdr>
        <w:top w:val="none" w:sz="0" w:space="0" w:color="auto"/>
        <w:left w:val="none" w:sz="0" w:space="0" w:color="auto"/>
        <w:bottom w:val="none" w:sz="0" w:space="0" w:color="auto"/>
        <w:right w:val="none" w:sz="0" w:space="0" w:color="auto"/>
      </w:divBdr>
      <w:divsChild>
        <w:div w:id="1298149947">
          <w:marLeft w:val="0"/>
          <w:marRight w:val="0"/>
          <w:marTop w:val="0"/>
          <w:marBottom w:val="0"/>
          <w:divBdr>
            <w:top w:val="none" w:sz="0" w:space="0" w:color="auto"/>
            <w:left w:val="none" w:sz="0" w:space="0" w:color="auto"/>
            <w:bottom w:val="none" w:sz="0" w:space="0" w:color="auto"/>
            <w:right w:val="none" w:sz="0" w:space="0" w:color="auto"/>
          </w:divBdr>
          <w:divsChild>
            <w:div w:id="6969254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25648037">
      <w:marLeft w:val="0"/>
      <w:marRight w:val="0"/>
      <w:marTop w:val="0"/>
      <w:marBottom w:val="120"/>
      <w:divBdr>
        <w:top w:val="none" w:sz="0" w:space="0" w:color="auto"/>
        <w:left w:val="none" w:sz="0" w:space="0" w:color="auto"/>
        <w:bottom w:val="none" w:sz="0" w:space="0" w:color="auto"/>
        <w:right w:val="none" w:sz="0" w:space="0" w:color="auto"/>
      </w:divBdr>
    </w:div>
    <w:div w:id="225921210">
      <w:marLeft w:val="0"/>
      <w:marRight w:val="0"/>
      <w:marTop w:val="0"/>
      <w:marBottom w:val="120"/>
      <w:divBdr>
        <w:top w:val="none" w:sz="0" w:space="0" w:color="auto"/>
        <w:left w:val="none" w:sz="0" w:space="0" w:color="auto"/>
        <w:bottom w:val="none" w:sz="0" w:space="0" w:color="auto"/>
        <w:right w:val="none" w:sz="0" w:space="0" w:color="auto"/>
      </w:divBdr>
    </w:div>
    <w:div w:id="227617974">
      <w:marLeft w:val="0"/>
      <w:marRight w:val="0"/>
      <w:marTop w:val="0"/>
      <w:marBottom w:val="0"/>
      <w:divBdr>
        <w:top w:val="none" w:sz="0" w:space="0" w:color="auto"/>
        <w:left w:val="none" w:sz="0" w:space="0" w:color="auto"/>
        <w:bottom w:val="none" w:sz="0" w:space="0" w:color="auto"/>
        <w:right w:val="none" w:sz="0" w:space="0" w:color="auto"/>
      </w:divBdr>
      <w:divsChild>
        <w:div w:id="33626441">
          <w:marLeft w:val="0"/>
          <w:marRight w:val="0"/>
          <w:marTop w:val="0"/>
          <w:marBottom w:val="0"/>
          <w:divBdr>
            <w:top w:val="none" w:sz="0" w:space="0" w:color="auto"/>
            <w:left w:val="none" w:sz="0" w:space="0" w:color="auto"/>
            <w:bottom w:val="none" w:sz="0" w:space="0" w:color="auto"/>
            <w:right w:val="none" w:sz="0" w:space="0" w:color="auto"/>
          </w:divBdr>
          <w:divsChild>
            <w:div w:id="18314347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38829672">
      <w:marLeft w:val="0"/>
      <w:marRight w:val="0"/>
      <w:marTop w:val="0"/>
      <w:marBottom w:val="120"/>
      <w:divBdr>
        <w:top w:val="none" w:sz="0" w:space="0" w:color="auto"/>
        <w:left w:val="none" w:sz="0" w:space="0" w:color="auto"/>
        <w:bottom w:val="none" w:sz="0" w:space="0" w:color="auto"/>
        <w:right w:val="none" w:sz="0" w:space="0" w:color="auto"/>
      </w:divBdr>
    </w:div>
    <w:div w:id="240068188">
      <w:marLeft w:val="0"/>
      <w:marRight w:val="0"/>
      <w:marTop w:val="0"/>
      <w:marBottom w:val="120"/>
      <w:divBdr>
        <w:top w:val="none" w:sz="0" w:space="0" w:color="auto"/>
        <w:left w:val="none" w:sz="0" w:space="0" w:color="auto"/>
        <w:bottom w:val="none" w:sz="0" w:space="0" w:color="auto"/>
        <w:right w:val="none" w:sz="0" w:space="0" w:color="auto"/>
      </w:divBdr>
    </w:div>
    <w:div w:id="241331063">
      <w:marLeft w:val="0"/>
      <w:marRight w:val="0"/>
      <w:marTop w:val="0"/>
      <w:marBottom w:val="20"/>
      <w:divBdr>
        <w:top w:val="none" w:sz="0" w:space="0" w:color="auto"/>
        <w:left w:val="none" w:sz="0" w:space="0" w:color="auto"/>
        <w:bottom w:val="none" w:sz="0" w:space="0" w:color="auto"/>
        <w:right w:val="none" w:sz="0" w:space="0" w:color="auto"/>
      </w:divBdr>
    </w:div>
    <w:div w:id="243615237">
      <w:marLeft w:val="0"/>
      <w:marRight w:val="0"/>
      <w:marTop w:val="0"/>
      <w:marBottom w:val="240"/>
      <w:divBdr>
        <w:top w:val="none" w:sz="0" w:space="0" w:color="auto"/>
        <w:left w:val="none" w:sz="0" w:space="0" w:color="auto"/>
        <w:bottom w:val="none" w:sz="0" w:space="0" w:color="auto"/>
        <w:right w:val="none" w:sz="0" w:space="0" w:color="auto"/>
      </w:divBdr>
    </w:div>
    <w:div w:id="244808823">
      <w:marLeft w:val="0"/>
      <w:marRight w:val="0"/>
      <w:marTop w:val="0"/>
      <w:marBottom w:val="0"/>
      <w:divBdr>
        <w:top w:val="none" w:sz="0" w:space="0" w:color="auto"/>
        <w:left w:val="none" w:sz="0" w:space="0" w:color="auto"/>
        <w:bottom w:val="none" w:sz="0" w:space="0" w:color="auto"/>
        <w:right w:val="none" w:sz="0" w:space="0" w:color="auto"/>
      </w:divBdr>
      <w:divsChild>
        <w:div w:id="1102534699">
          <w:marLeft w:val="0"/>
          <w:marRight w:val="0"/>
          <w:marTop w:val="0"/>
          <w:marBottom w:val="120"/>
          <w:divBdr>
            <w:top w:val="none" w:sz="0" w:space="0" w:color="auto"/>
            <w:left w:val="none" w:sz="0" w:space="0" w:color="auto"/>
            <w:bottom w:val="none" w:sz="0" w:space="0" w:color="auto"/>
            <w:right w:val="none" w:sz="0" w:space="0" w:color="auto"/>
          </w:divBdr>
        </w:div>
      </w:divsChild>
    </w:div>
    <w:div w:id="245305895">
      <w:marLeft w:val="0"/>
      <w:marRight w:val="0"/>
      <w:marTop w:val="0"/>
      <w:marBottom w:val="120"/>
      <w:divBdr>
        <w:top w:val="none" w:sz="0" w:space="0" w:color="auto"/>
        <w:left w:val="none" w:sz="0" w:space="0" w:color="auto"/>
        <w:bottom w:val="none" w:sz="0" w:space="0" w:color="auto"/>
        <w:right w:val="none" w:sz="0" w:space="0" w:color="auto"/>
      </w:divBdr>
    </w:div>
    <w:div w:id="247731966">
      <w:marLeft w:val="0"/>
      <w:marRight w:val="0"/>
      <w:marTop w:val="0"/>
      <w:marBottom w:val="120"/>
      <w:divBdr>
        <w:top w:val="none" w:sz="0" w:space="0" w:color="auto"/>
        <w:left w:val="none" w:sz="0" w:space="0" w:color="auto"/>
        <w:bottom w:val="none" w:sz="0" w:space="0" w:color="auto"/>
        <w:right w:val="none" w:sz="0" w:space="0" w:color="auto"/>
      </w:divBdr>
    </w:div>
    <w:div w:id="248077304">
      <w:marLeft w:val="0"/>
      <w:marRight w:val="0"/>
      <w:marTop w:val="140"/>
      <w:marBottom w:val="20"/>
      <w:divBdr>
        <w:top w:val="none" w:sz="0" w:space="0" w:color="auto"/>
        <w:left w:val="none" w:sz="0" w:space="0" w:color="auto"/>
        <w:bottom w:val="none" w:sz="0" w:space="0" w:color="auto"/>
        <w:right w:val="none" w:sz="0" w:space="0" w:color="auto"/>
      </w:divBdr>
    </w:div>
    <w:div w:id="249584951">
      <w:marLeft w:val="0"/>
      <w:marRight w:val="0"/>
      <w:marTop w:val="0"/>
      <w:marBottom w:val="120"/>
      <w:divBdr>
        <w:top w:val="none" w:sz="0" w:space="0" w:color="auto"/>
        <w:left w:val="none" w:sz="0" w:space="0" w:color="auto"/>
        <w:bottom w:val="none" w:sz="0" w:space="0" w:color="auto"/>
        <w:right w:val="none" w:sz="0" w:space="0" w:color="auto"/>
      </w:divBdr>
    </w:div>
    <w:div w:id="251671136">
      <w:marLeft w:val="0"/>
      <w:marRight w:val="0"/>
      <w:marTop w:val="0"/>
      <w:marBottom w:val="0"/>
      <w:divBdr>
        <w:top w:val="none" w:sz="0" w:space="0" w:color="auto"/>
        <w:left w:val="none" w:sz="0" w:space="0" w:color="auto"/>
        <w:bottom w:val="none" w:sz="0" w:space="0" w:color="auto"/>
        <w:right w:val="none" w:sz="0" w:space="0" w:color="auto"/>
      </w:divBdr>
      <w:divsChild>
        <w:div w:id="609238157">
          <w:marLeft w:val="0"/>
          <w:marRight w:val="0"/>
          <w:marTop w:val="0"/>
          <w:marBottom w:val="120"/>
          <w:divBdr>
            <w:top w:val="none" w:sz="0" w:space="0" w:color="auto"/>
            <w:left w:val="none" w:sz="0" w:space="0" w:color="auto"/>
            <w:bottom w:val="none" w:sz="0" w:space="0" w:color="auto"/>
            <w:right w:val="none" w:sz="0" w:space="0" w:color="auto"/>
          </w:divBdr>
        </w:div>
      </w:divsChild>
    </w:div>
    <w:div w:id="256639995">
      <w:marLeft w:val="0"/>
      <w:marRight w:val="0"/>
      <w:marTop w:val="240"/>
      <w:marBottom w:val="240"/>
      <w:divBdr>
        <w:top w:val="none" w:sz="0" w:space="0" w:color="auto"/>
        <w:left w:val="none" w:sz="0" w:space="0" w:color="auto"/>
        <w:bottom w:val="none" w:sz="0" w:space="0" w:color="auto"/>
        <w:right w:val="none" w:sz="0" w:space="0" w:color="auto"/>
      </w:divBdr>
    </w:div>
    <w:div w:id="257906640">
      <w:marLeft w:val="0"/>
      <w:marRight w:val="0"/>
      <w:marTop w:val="0"/>
      <w:marBottom w:val="120"/>
      <w:divBdr>
        <w:top w:val="none" w:sz="0" w:space="0" w:color="auto"/>
        <w:left w:val="none" w:sz="0" w:space="0" w:color="auto"/>
        <w:bottom w:val="none" w:sz="0" w:space="0" w:color="auto"/>
        <w:right w:val="none" w:sz="0" w:space="0" w:color="auto"/>
      </w:divBdr>
    </w:div>
    <w:div w:id="258569041">
      <w:marLeft w:val="0"/>
      <w:marRight w:val="0"/>
      <w:marTop w:val="0"/>
      <w:marBottom w:val="120"/>
      <w:divBdr>
        <w:top w:val="none" w:sz="0" w:space="0" w:color="auto"/>
        <w:left w:val="none" w:sz="0" w:space="0" w:color="auto"/>
        <w:bottom w:val="none" w:sz="0" w:space="0" w:color="auto"/>
        <w:right w:val="none" w:sz="0" w:space="0" w:color="auto"/>
      </w:divBdr>
    </w:div>
    <w:div w:id="259458544">
      <w:marLeft w:val="0"/>
      <w:marRight w:val="0"/>
      <w:marTop w:val="140"/>
      <w:marBottom w:val="120"/>
      <w:divBdr>
        <w:top w:val="none" w:sz="0" w:space="0" w:color="auto"/>
        <w:left w:val="none" w:sz="0" w:space="0" w:color="auto"/>
        <w:bottom w:val="none" w:sz="0" w:space="0" w:color="auto"/>
        <w:right w:val="none" w:sz="0" w:space="0" w:color="auto"/>
      </w:divBdr>
    </w:div>
    <w:div w:id="259686220">
      <w:marLeft w:val="0"/>
      <w:marRight w:val="0"/>
      <w:marTop w:val="0"/>
      <w:marBottom w:val="120"/>
      <w:divBdr>
        <w:top w:val="none" w:sz="0" w:space="0" w:color="auto"/>
        <w:left w:val="none" w:sz="0" w:space="0" w:color="auto"/>
        <w:bottom w:val="none" w:sz="0" w:space="0" w:color="auto"/>
        <w:right w:val="none" w:sz="0" w:space="0" w:color="auto"/>
      </w:divBdr>
    </w:div>
    <w:div w:id="259948278">
      <w:marLeft w:val="0"/>
      <w:marRight w:val="0"/>
      <w:marTop w:val="0"/>
      <w:marBottom w:val="0"/>
      <w:divBdr>
        <w:top w:val="none" w:sz="0" w:space="0" w:color="auto"/>
        <w:left w:val="none" w:sz="0" w:space="0" w:color="auto"/>
        <w:bottom w:val="none" w:sz="0" w:space="0" w:color="auto"/>
        <w:right w:val="none" w:sz="0" w:space="0" w:color="auto"/>
      </w:divBdr>
      <w:divsChild>
        <w:div w:id="2124415413">
          <w:marLeft w:val="0"/>
          <w:marRight w:val="0"/>
          <w:marTop w:val="0"/>
          <w:marBottom w:val="0"/>
          <w:divBdr>
            <w:top w:val="none" w:sz="0" w:space="0" w:color="auto"/>
            <w:left w:val="none" w:sz="0" w:space="0" w:color="auto"/>
            <w:bottom w:val="none" w:sz="0" w:space="0" w:color="auto"/>
            <w:right w:val="none" w:sz="0" w:space="0" w:color="auto"/>
          </w:divBdr>
          <w:divsChild>
            <w:div w:id="19121561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62953642">
      <w:marLeft w:val="0"/>
      <w:marRight w:val="0"/>
      <w:marTop w:val="140"/>
      <w:marBottom w:val="120"/>
      <w:divBdr>
        <w:top w:val="none" w:sz="0" w:space="0" w:color="auto"/>
        <w:left w:val="none" w:sz="0" w:space="0" w:color="auto"/>
        <w:bottom w:val="none" w:sz="0" w:space="0" w:color="auto"/>
        <w:right w:val="none" w:sz="0" w:space="0" w:color="auto"/>
      </w:divBdr>
    </w:div>
    <w:div w:id="264266029">
      <w:marLeft w:val="0"/>
      <w:marRight w:val="0"/>
      <w:marTop w:val="0"/>
      <w:marBottom w:val="120"/>
      <w:divBdr>
        <w:top w:val="none" w:sz="0" w:space="0" w:color="auto"/>
        <w:left w:val="none" w:sz="0" w:space="0" w:color="auto"/>
        <w:bottom w:val="none" w:sz="0" w:space="0" w:color="auto"/>
        <w:right w:val="none" w:sz="0" w:space="0" w:color="auto"/>
      </w:divBdr>
      <w:divsChild>
        <w:div w:id="1118258023">
          <w:marLeft w:val="0"/>
          <w:marRight w:val="0"/>
          <w:marTop w:val="0"/>
          <w:marBottom w:val="0"/>
          <w:divBdr>
            <w:top w:val="none" w:sz="0" w:space="0" w:color="auto"/>
            <w:left w:val="none" w:sz="0" w:space="0" w:color="auto"/>
            <w:bottom w:val="none" w:sz="0" w:space="0" w:color="auto"/>
            <w:right w:val="none" w:sz="0" w:space="0" w:color="auto"/>
          </w:divBdr>
        </w:div>
      </w:divsChild>
    </w:div>
    <w:div w:id="268465817">
      <w:marLeft w:val="0"/>
      <w:marRight w:val="0"/>
      <w:marTop w:val="0"/>
      <w:marBottom w:val="120"/>
      <w:divBdr>
        <w:top w:val="none" w:sz="0" w:space="0" w:color="auto"/>
        <w:left w:val="none" w:sz="0" w:space="0" w:color="auto"/>
        <w:bottom w:val="none" w:sz="0" w:space="0" w:color="auto"/>
        <w:right w:val="none" w:sz="0" w:space="0" w:color="auto"/>
      </w:divBdr>
    </w:div>
    <w:div w:id="270405666">
      <w:marLeft w:val="0"/>
      <w:marRight w:val="0"/>
      <w:marTop w:val="0"/>
      <w:marBottom w:val="120"/>
      <w:divBdr>
        <w:top w:val="none" w:sz="0" w:space="0" w:color="auto"/>
        <w:left w:val="none" w:sz="0" w:space="0" w:color="auto"/>
        <w:bottom w:val="none" w:sz="0" w:space="0" w:color="auto"/>
        <w:right w:val="none" w:sz="0" w:space="0" w:color="auto"/>
      </w:divBdr>
    </w:div>
    <w:div w:id="272638117">
      <w:marLeft w:val="0"/>
      <w:marRight w:val="0"/>
      <w:marTop w:val="0"/>
      <w:marBottom w:val="0"/>
      <w:divBdr>
        <w:top w:val="none" w:sz="0" w:space="0" w:color="auto"/>
        <w:left w:val="none" w:sz="0" w:space="0" w:color="auto"/>
        <w:bottom w:val="none" w:sz="0" w:space="0" w:color="auto"/>
        <w:right w:val="none" w:sz="0" w:space="0" w:color="auto"/>
      </w:divBdr>
    </w:div>
    <w:div w:id="273906066">
      <w:marLeft w:val="0"/>
      <w:marRight w:val="0"/>
      <w:marTop w:val="0"/>
      <w:marBottom w:val="120"/>
      <w:divBdr>
        <w:top w:val="none" w:sz="0" w:space="0" w:color="auto"/>
        <w:left w:val="none" w:sz="0" w:space="0" w:color="auto"/>
        <w:bottom w:val="none" w:sz="0" w:space="0" w:color="auto"/>
        <w:right w:val="none" w:sz="0" w:space="0" w:color="auto"/>
      </w:divBdr>
    </w:div>
    <w:div w:id="276376320">
      <w:marLeft w:val="0"/>
      <w:marRight w:val="0"/>
      <w:marTop w:val="0"/>
      <w:marBottom w:val="0"/>
      <w:divBdr>
        <w:top w:val="none" w:sz="0" w:space="0" w:color="auto"/>
        <w:left w:val="none" w:sz="0" w:space="0" w:color="auto"/>
        <w:bottom w:val="none" w:sz="0" w:space="0" w:color="auto"/>
        <w:right w:val="none" w:sz="0" w:space="0" w:color="auto"/>
      </w:divBdr>
      <w:divsChild>
        <w:div w:id="1774474616">
          <w:marLeft w:val="0"/>
          <w:marRight w:val="0"/>
          <w:marTop w:val="0"/>
          <w:marBottom w:val="120"/>
          <w:divBdr>
            <w:top w:val="none" w:sz="0" w:space="0" w:color="auto"/>
            <w:left w:val="none" w:sz="0" w:space="0" w:color="auto"/>
            <w:bottom w:val="none" w:sz="0" w:space="0" w:color="auto"/>
            <w:right w:val="none" w:sz="0" w:space="0" w:color="auto"/>
          </w:divBdr>
        </w:div>
      </w:divsChild>
    </w:div>
    <w:div w:id="278298360">
      <w:marLeft w:val="0"/>
      <w:marRight w:val="0"/>
      <w:marTop w:val="0"/>
      <w:marBottom w:val="120"/>
      <w:divBdr>
        <w:top w:val="none" w:sz="0" w:space="0" w:color="auto"/>
        <w:left w:val="none" w:sz="0" w:space="0" w:color="auto"/>
        <w:bottom w:val="none" w:sz="0" w:space="0" w:color="auto"/>
        <w:right w:val="none" w:sz="0" w:space="0" w:color="auto"/>
      </w:divBdr>
    </w:div>
    <w:div w:id="278412456">
      <w:marLeft w:val="0"/>
      <w:marRight w:val="0"/>
      <w:marTop w:val="240"/>
      <w:marBottom w:val="0"/>
      <w:divBdr>
        <w:top w:val="none" w:sz="0" w:space="0" w:color="auto"/>
        <w:left w:val="none" w:sz="0" w:space="0" w:color="auto"/>
        <w:bottom w:val="none" w:sz="0" w:space="0" w:color="auto"/>
        <w:right w:val="none" w:sz="0" w:space="0" w:color="auto"/>
      </w:divBdr>
    </w:div>
    <w:div w:id="280888758">
      <w:marLeft w:val="0"/>
      <w:marRight w:val="0"/>
      <w:marTop w:val="0"/>
      <w:marBottom w:val="0"/>
      <w:divBdr>
        <w:top w:val="none" w:sz="0" w:space="0" w:color="auto"/>
        <w:left w:val="none" w:sz="0" w:space="0" w:color="auto"/>
        <w:bottom w:val="none" w:sz="0" w:space="0" w:color="auto"/>
        <w:right w:val="none" w:sz="0" w:space="0" w:color="auto"/>
      </w:divBdr>
    </w:div>
    <w:div w:id="282003825">
      <w:marLeft w:val="0"/>
      <w:marRight w:val="0"/>
      <w:marTop w:val="0"/>
      <w:marBottom w:val="120"/>
      <w:divBdr>
        <w:top w:val="none" w:sz="0" w:space="0" w:color="auto"/>
        <w:left w:val="none" w:sz="0" w:space="0" w:color="auto"/>
        <w:bottom w:val="none" w:sz="0" w:space="0" w:color="auto"/>
        <w:right w:val="none" w:sz="0" w:space="0" w:color="auto"/>
      </w:divBdr>
    </w:div>
    <w:div w:id="282922775">
      <w:marLeft w:val="0"/>
      <w:marRight w:val="0"/>
      <w:marTop w:val="0"/>
      <w:marBottom w:val="0"/>
      <w:divBdr>
        <w:top w:val="none" w:sz="0" w:space="0" w:color="auto"/>
        <w:left w:val="none" w:sz="0" w:space="0" w:color="auto"/>
        <w:bottom w:val="none" w:sz="0" w:space="0" w:color="auto"/>
        <w:right w:val="none" w:sz="0" w:space="0" w:color="auto"/>
      </w:divBdr>
      <w:divsChild>
        <w:div w:id="895507716">
          <w:marLeft w:val="0"/>
          <w:marRight w:val="0"/>
          <w:marTop w:val="0"/>
          <w:marBottom w:val="0"/>
          <w:divBdr>
            <w:top w:val="none" w:sz="0" w:space="0" w:color="auto"/>
            <w:left w:val="none" w:sz="0" w:space="0" w:color="auto"/>
            <w:bottom w:val="none" w:sz="0" w:space="0" w:color="auto"/>
            <w:right w:val="none" w:sz="0" w:space="0" w:color="auto"/>
          </w:divBdr>
          <w:divsChild>
            <w:div w:id="6332973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84507177">
      <w:marLeft w:val="0"/>
      <w:marRight w:val="0"/>
      <w:marTop w:val="0"/>
      <w:marBottom w:val="120"/>
      <w:divBdr>
        <w:top w:val="none" w:sz="0" w:space="0" w:color="auto"/>
        <w:left w:val="none" w:sz="0" w:space="0" w:color="auto"/>
        <w:bottom w:val="none" w:sz="0" w:space="0" w:color="auto"/>
        <w:right w:val="none" w:sz="0" w:space="0" w:color="auto"/>
      </w:divBdr>
    </w:div>
    <w:div w:id="285742128">
      <w:marLeft w:val="0"/>
      <w:marRight w:val="0"/>
      <w:marTop w:val="0"/>
      <w:marBottom w:val="120"/>
      <w:divBdr>
        <w:top w:val="none" w:sz="0" w:space="0" w:color="auto"/>
        <w:left w:val="none" w:sz="0" w:space="0" w:color="auto"/>
        <w:bottom w:val="none" w:sz="0" w:space="0" w:color="auto"/>
        <w:right w:val="none" w:sz="0" w:space="0" w:color="auto"/>
      </w:divBdr>
    </w:div>
    <w:div w:id="287396756">
      <w:marLeft w:val="0"/>
      <w:marRight w:val="0"/>
      <w:marTop w:val="0"/>
      <w:marBottom w:val="20"/>
      <w:divBdr>
        <w:top w:val="none" w:sz="0" w:space="0" w:color="auto"/>
        <w:left w:val="none" w:sz="0" w:space="0" w:color="auto"/>
        <w:bottom w:val="none" w:sz="0" w:space="0" w:color="auto"/>
        <w:right w:val="none" w:sz="0" w:space="0" w:color="auto"/>
      </w:divBdr>
      <w:divsChild>
        <w:div w:id="78605584">
          <w:marLeft w:val="0"/>
          <w:marRight w:val="0"/>
          <w:marTop w:val="0"/>
          <w:marBottom w:val="0"/>
          <w:divBdr>
            <w:top w:val="none" w:sz="0" w:space="0" w:color="auto"/>
            <w:left w:val="none" w:sz="0" w:space="0" w:color="auto"/>
            <w:bottom w:val="none" w:sz="0" w:space="0" w:color="auto"/>
            <w:right w:val="none" w:sz="0" w:space="0" w:color="auto"/>
          </w:divBdr>
        </w:div>
      </w:divsChild>
    </w:div>
    <w:div w:id="288980226">
      <w:marLeft w:val="0"/>
      <w:marRight w:val="0"/>
      <w:marTop w:val="240"/>
      <w:marBottom w:val="0"/>
      <w:divBdr>
        <w:top w:val="none" w:sz="0" w:space="0" w:color="auto"/>
        <w:left w:val="none" w:sz="0" w:space="0" w:color="auto"/>
        <w:bottom w:val="none" w:sz="0" w:space="0" w:color="auto"/>
        <w:right w:val="none" w:sz="0" w:space="0" w:color="auto"/>
      </w:divBdr>
    </w:div>
    <w:div w:id="290870566">
      <w:marLeft w:val="0"/>
      <w:marRight w:val="0"/>
      <w:marTop w:val="0"/>
      <w:marBottom w:val="0"/>
      <w:divBdr>
        <w:top w:val="none" w:sz="0" w:space="0" w:color="auto"/>
        <w:left w:val="none" w:sz="0" w:space="0" w:color="auto"/>
        <w:bottom w:val="none" w:sz="0" w:space="0" w:color="auto"/>
        <w:right w:val="none" w:sz="0" w:space="0" w:color="auto"/>
      </w:divBdr>
      <w:divsChild>
        <w:div w:id="1156216751">
          <w:marLeft w:val="0"/>
          <w:marRight w:val="0"/>
          <w:marTop w:val="0"/>
          <w:marBottom w:val="0"/>
          <w:divBdr>
            <w:top w:val="none" w:sz="0" w:space="0" w:color="auto"/>
            <w:left w:val="none" w:sz="0" w:space="0" w:color="auto"/>
            <w:bottom w:val="none" w:sz="0" w:space="0" w:color="auto"/>
            <w:right w:val="none" w:sz="0" w:space="0" w:color="auto"/>
          </w:divBdr>
          <w:divsChild>
            <w:div w:id="7137687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91180255">
      <w:marLeft w:val="0"/>
      <w:marRight w:val="0"/>
      <w:marTop w:val="0"/>
      <w:marBottom w:val="0"/>
      <w:divBdr>
        <w:top w:val="none" w:sz="0" w:space="0" w:color="auto"/>
        <w:left w:val="none" w:sz="0" w:space="0" w:color="auto"/>
        <w:bottom w:val="none" w:sz="0" w:space="0" w:color="auto"/>
        <w:right w:val="none" w:sz="0" w:space="0" w:color="auto"/>
      </w:divBdr>
      <w:divsChild>
        <w:div w:id="1958753434">
          <w:marLeft w:val="0"/>
          <w:marRight w:val="0"/>
          <w:marTop w:val="0"/>
          <w:marBottom w:val="120"/>
          <w:divBdr>
            <w:top w:val="none" w:sz="0" w:space="0" w:color="auto"/>
            <w:left w:val="none" w:sz="0" w:space="0" w:color="auto"/>
            <w:bottom w:val="none" w:sz="0" w:space="0" w:color="auto"/>
            <w:right w:val="none" w:sz="0" w:space="0" w:color="auto"/>
          </w:divBdr>
        </w:div>
      </w:divsChild>
    </w:div>
    <w:div w:id="293102829">
      <w:marLeft w:val="0"/>
      <w:marRight w:val="0"/>
      <w:marTop w:val="0"/>
      <w:marBottom w:val="120"/>
      <w:divBdr>
        <w:top w:val="none" w:sz="0" w:space="0" w:color="auto"/>
        <w:left w:val="none" w:sz="0" w:space="0" w:color="auto"/>
        <w:bottom w:val="none" w:sz="0" w:space="0" w:color="auto"/>
        <w:right w:val="none" w:sz="0" w:space="0" w:color="auto"/>
      </w:divBdr>
    </w:div>
    <w:div w:id="294995864">
      <w:marLeft w:val="0"/>
      <w:marRight w:val="0"/>
      <w:marTop w:val="0"/>
      <w:marBottom w:val="0"/>
      <w:divBdr>
        <w:top w:val="none" w:sz="0" w:space="0" w:color="auto"/>
        <w:left w:val="none" w:sz="0" w:space="0" w:color="auto"/>
        <w:bottom w:val="none" w:sz="0" w:space="0" w:color="auto"/>
        <w:right w:val="none" w:sz="0" w:space="0" w:color="auto"/>
      </w:divBdr>
    </w:div>
    <w:div w:id="296492238">
      <w:marLeft w:val="0"/>
      <w:marRight w:val="0"/>
      <w:marTop w:val="0"/>
      <w:marBottom w:val="120"/>
      <w:divBdr>
        <w:top w:val="none" w:sz="0" w:space="0" w:color="auto"/>
        <w:left w:val="none" w:sz="0" w:space="0" w:color="auto"/>
        <w:bottom w:val="none" w:sz="0" w:space="0" w:color="auto"/>
        <w:right w:val="none" w:sz="0" w:space="0" w:color="auto"/>
      </w:divBdr>
    </w:div>
    <w:div w:id="298732841">
      <w:marLeft w:val="0"/>
      <w:marRight w:val="0"/>
      <w:marTop w:val="0"/>
      <w:marBottom w:val="120"/>
      <w:divBdr>
        <w:top w:val="none" w:sz="0" w:space="0" w:color="auto"/>
        <w:left w:val="none" w:sz="0" w:space="0" w:color="auto"/>
        <w:bottom w:val="none" w:sz="0" w:space="0" w:color="auto"/>
        <w:right w:val="none" w:sz="0" w:space="0" w:color="auto"/>
      </w:divBdr>
    </w:div>
    <w:div w:id="299070092">
      <w:marLeft w:val="0"/>
      <w:marRight w:val="0"/>
      <w:marTop w:val="240"/>
      <w:marBottom w:val="0"/>
      <w:divBdr>
        <w:top w:val="none" w:sz="0" w:space="0" w:color="auto"/>
        <w:left w:val="none" w:sz="0" w:space="0" w:color="auto"/>
        <w:bottom w:val="none" w:sz="0" w:space="0" w:color="auto"/>
        <w:right w:val="none" w:sz="0" w:space="0" w:color="auto"/>
      </w:divBdr>
    </w:div>
    <w:div w:id="299309709">
      <w:marLeft w:val="0"/>
      <w:marRight w:val="0"/>
      <w:marTop w:val="0"/>
      <w:marBottom w:val="120"/>
      <w:divBdr>
        <w:top w:val="none" w:sz="0" w:space="0" w:color="auto"/>
        <w:left w:val="none" w:sz="0" w:space="0" w:color="auto"/>
        <w:bottom w:val="none" w:sz="0" w:space="0" w:color="auto"/>
        <w:right w:val="none" w:sz="0" w:space="0" w:color="auto"/>
      </w:divBdr>
    </w:div>
    <w:div w:id="299699607">
      <w:marLeft w:val="0"/>
      <w:marRight w:val="0"/>
      <w:marTop w:val="0"/>
      <w:marBottom w:val="120"/>
      <w:divBdr>
        <w:top w:val="none" w:sz="0" w:space="0" w:color="auto"/>
        <w:left w:val="none" w:sz="0" w:space="0" w:color="auto"/>
        <w:bottom w:val="none" w:sz="0" w:space="0" w:color="auto"/>
        <w:right w:val="none" w:sz="0" w:space="0" w:color="auto"/>
      </w:divBdr>
    </w:div>
    <w:div w:id="302933834">
      <w:marLeft w:val="0"/>
      <w:marRight w:val="0"/>
      <w:marTop w:val="0"/>
      <w:marBottom w:val="120"/>
      <w:divBdr>
        <w:top w:val="none" w:sz="0" w:space="0" w:color="auto"/>
        <w:left w:val="none" w:sz="0" w:space="0" w:color="auto"/>
        <w:bottom w:val="none" w:sz="0" w:space="0" w:color="auto"/>
        <w:right w:val="none" w:sz="0" w:space="0" w:color="auto"/>
      </w:divBdr>
    </w:div>
    <w:div w:id="306516337">
      <w:marLeft w:val="0"/>
      <w:marRight w:val="0"/>
      <w:marTop w:val="0"/>
      <w:marBottom w:val="120"/>
      <w:divBdr>
        <w:top w:val="none" w:sz="0" w:space="0" w:color="auto"/>
        <w:left w:val="none" w:sz="0" w:space="0" w:color="auto"/>
        <w:bottom w:val="none" w:sz="0" w:space="0" w:color="auto"/>
        <w:right w:val="none" w:sz="0" w:space="0" w:color="auto"/>
      </w:divBdr>
    </w:div>
    <w:div w:id="306935680">
      <w:marLeft w:val="0"/>
      <w:marRight w:val="0"/>
      <w:marTop w:val="0"/>
      <w:marBottom w:val="120"/>
      <w:divBdr>
        <w:top w:val="none" w:sz="0" w:space="0" w:color="auto"/>
        <w:left w:val="none" w:sz="0" w:space="0" w:color="auto"/>
        <w:bottom w:val="none" w:sz="0" w:space="0" w:color="auto"/>
        <w:right w:val="none" w:sz="0" w:space="0" w:color="auto"/>
      </w:divBdr>
    </w:div>
    <w:div w:id="307787541">
      <w:marLeft w:val="0"/>
      <w:marRight w:val="0"/>
      <w:marTop w:val="0"/>
      <w:marBottom w:val="240"/>
      <w:divBdr>
        <w:top w:val="none" w:sz="0" w:space="0" w:color="auto"/>
        <w:left w:val="none" w:sz="0" w:space="0" w:color="auto"/>
        <w:bottom w:val="none" w:sz="0" w:space="0" w:color="auto"/>
        <w:right w:val="none" w:sz="0" w:space="0" w:color="auto"/>
      </w:divBdr>
    </w:div>
    <w:div w:id="307978384">
      <w:marLeft w:val="0"/>
      <w:marRight w:val="0"/>
      <w:marTop w:val="0"/>
      <w:marBottom w:val="120"/>
      <w:divBdr>
        <w:top w:val="none" w:sz="0" w:space="0" w:color="auto"/>
        <w:left w:val="none" w:sz="0" w:space="0" w:color="auto"/>
        <w:bottom w:val="none" w:sz="0" w:space="0" w:color="auto"/>
        <w:right w:val="none" w:sz="0" w:space="0" w:color="auto"/>
      </w:divBdr>
    </w:div>
    <w:div w:id="310527763">
      <w:marLeft w:val="0"/>
      <w:marRight w:val="0"/>
      <w:marTop w:val="0"/>
      <w:marBottom w:val="120"/>
      <w:divBdr>
        <w:top w:val="none" w:sz="0" w:space="0" w:color="auto"/>
        <w:left w:val="none" w:sz="0" w:space="0" w:color="auto"/>
        <w:bottom w:val="none" w:sz="0" w:space="0" w:color="auto"/>
        <w:right w:val="none" w:sz="0" w:space="0" w:color="auto"/>
      </w:divBdr>
    </w:div>
    <w:div w:id="313416998">
      <w:marLeft w:val="0"/>
      <w:marRight w:val="0"/>
      <w:marTop w:val="0"/>
      <w:marBottom w:val="120"/>
      <w:divBdr>
        <w:top w:val="none" w:sz="0" w:space="0" w:color="auto"/>
        <w:left w:val="none" w:sz="0" w:space="0" w:color="auto"/>
        <w:bottom w:val="none" w:sz="0" w:space="0" w:color="auto"/>
        <w:right w:val="none" w:sz="0" w:space="0" w:color="auto"/>
      </w:divBdr>
    </w:div>
    <w:div w:id="316570926">
      <w:marLeft w:val="0"/>
      <w:marRight w:val="0"/>
      <w:marTop w:val="0"/>
      <w:marBottom w:val="120"/>
      <w:divBdr>
        <w:top w:val="none" w:sz="0" w:space="0" w:color="auto"/>
        <w:left w:val="none" w:sz="0" w:space="0" w:color="auto"/>
        <w:bottom w:val="none" w:sz="0" w:space="0" w:color="auto"/>
        <w:right w:val="none" w:sz="0" w:space="0" w:color="auto"/>
      </w:divBdr>
    </w:div>
    <w:div w:id="320620095">
      <w:marLeft w:val="0"/>
      <w:marRight w:val="0"/>
      <w:marTop w:val="0"/>
      <w:marBottom w:val="120"/>
      <w:divBdr>
        <w:top w:val="none" w:sz="0" w:space="0" w:color="auto"/>
        <w:left w:val="none" w:sz="0" w:space="0" w:color="auto"/>
        <w:bottom w:val="none" w:sz="0" w:space="0" w:color="auto"/>
        <w:right w:val="none" w:sz="0" w:space="0" w:color="auto"/>
      </w:divBdr>
    </w:div>
    <w:div w:id="324668882">
      <w:marLeft w:val="0"/>
      <w:marRight w:val="0"/>
      <w:marTop w:val="0"/>
      <w:marBottom w:val="0"/>
      <w:divBdr>
        <w:top w:val="none" w:sz="0" w:space="0" w:color="auto"/>
        <w:left w:val="none" w:sz="0" w:space="0" w:color="auto"/>
        <w:bottom w:val="none" w:sz="0" w:space="0" w:color="auto"/>
        <w:right w:val="none" w:sz="0" w:space="0" w:color="auto"/>
      </w:divBdr>
      <w:divsChild>
        <w:div w:id="2100366958">
          <w:marLeft w:val="0"/>
          <w:marRight w:val="0"/>
          <w:marTop w:val="0"/>
          <w:marBottom w:val="120"/>
          <w:divBdr>
            <w:top w:val="none" w:sz="0" w:space="0" w:color="auto"/>
            <w:left w:val="none" w:sz="0" w:space="0" w:color="auto"/>
            <w:bottom w:val="none" w:sz="0" w:space="0" w:color="auto"/>
            <w:right w:val="none" w:sz="0" w:space="0" w:color="auto"/>
          </w:divBdr>
        </w:div>
      </w:divsChild>
    </w:div>
    <w:div w:id="326322798">
      <w:marLeft w:val="0"/>
      <w:marRight w:val="0"/>
      <w:marTop w:val="0"/>
      <w:marBottom w:val="0"/>
      <w:divBdr>
        <w:top w:val="none" w:sz="0" w:space="0" w:color="auto"/>
        <w:left w:val="none" w:sz="0" w:space="0" w:color="auto"/>
        <w:bottom w:val="none" w:sz="0" w:space="0" w:color="auto"/>
        <w:right w:val="none" w:sz="0" w:space="0" w:color="auto"/>
      </w:divBdr>
      <w:divsChild>
        <w:div w:id="1483428360">
          <w:marLeft w:val="0"/>
          <w:marRight w:val="0"/>
          <w:marTop w:val="0"/>
          <w:marBottom w:val="0"/>
          <w:divBdr>
            <w:top w:val="none" w:sz="0" w:space="0" w:color="auto"/>
            <w:left w:val="none" w:sz="0" w:space="0" w:color="auto"/>
            <w:bottom w:val="none" w:sz="0" w:space="0" w:color="auto"/>
            <w:right w:val="none" w:sz="0" w:space="0" w:color="auto"/>
          </w:divBdr>
          <w:divsChild>
            <w:div w:id="11297391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26859111">
      <w:marLeft w:val="0"/>
      <w:marRight w:val="0"/>
      <w:marTop w:val="0"/>
      <w:marBottom w:val="0"/>
      <w:divBdr>
        <w:top w:val="none" w:sz="0" w:space="0" w:color="auto"/>
        <w:left w:val="none" w:sz="0" w:space="0" w:color="auto"/>
        <w:bottom w:val="none" w:sz="0" w:space="0" w:color="auto"/>
        <w:right w:val="none" w:sz="0" w:space="0" w:color="auto"/>
      </w:divBdr>
      <w:divsChild>
        <w:div w:id="1107389815">
          <w:marLeft w:val="0"/>
          <w:marRight w:val="0"/>
          <w:marTop w:val="0"/>
          <w:marBottom w:val="0"/>
          <w:divBdr>
            <w:top w:val="none" w:sz="0" w:space="0" w:color="auto"/>
            <w:left w:val="none" w:sz="0" w:space="0" w:color="auto"/>
            <w:bottom w:val="none" w:sz="0" w:space="0" w:color="auto"/>
            <w:right w:val="none" w:sz="0" w:space="0" w:color="auto"/>
          </w:divBdr>
          <w:divsChild>
            <w:div w:id="12446024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27639586">
      <w:marLeft w:val="0"/>
      <w:marRight w:val="0"/>
      <w:marTop w:val="0"/>
      <w:marBottom w:val="0"/>
      <w:divBdr>
        <w:top w:val="none" w:sz="0" w:space="0" w:color="auto"/>
        <w:left w:val="none" w:sz="0" w:space="0" w:color="auto"/>
        <w:bottom w:val="none" w:sz="0" w:space="0" w:color="auto"/>
        <w:right w:val="none" w:sz="0" w:space="0" w:color="auto"/>
      </w:divBdr>
      <w:divsChild>
        <w:div w:id="515535707">
          <w:marLeft w:val="0"/>
          <w:marRight w:val="0"/>
          <w:marTop w:val="0"/>
          <w:marBottom w:val="120"/>
          <w:divBdr>
            <w:top w:val="none" w:sz="0" w:space="0" w:color="auto"/>
            <w:left w:val="none" w:sz="0" w:space="0" w:color="auto"/>
            <w:bottom w:val="none" w:sz="0" w:space="0" w:color="auto"/>
            <w:right w:val="none" w:sz="0" w:space="0" w:color="auto"/>
          </w:divBdr>
        </w:div>
      </w:divsChild>
    </w:div>
    <w:div w:id="328871151">
      <w:marLeft w:val="0"/>
      <w:marRight w:val="0"/>
      <w:marTop w:val="0"/>
      <w:marBottom w:val="120"/>
      <w:divBdr>
        <w:top w:val="none" w:sz="0" w:space="0" w:color="auto"/>
        <w:left w:val="none" w:sz="0" w:space="0" w:color="auto"/>
        <w:bottom w:val="none" w:sz="0" w:space="0" w:color="auto"/>
        <w:right w:val="none" w:sz="0" w:space="0" w:color="auto"/>
      </w:divBdr>
    </w:div>
    <w:div w:id="332145948">
      <w:marLeft w:val="0"/>
      <w:marRight w:val="0"/>
      <w:marTop w:val="0"/>
      <w:marBottom w:val="120"/>
      <w:divBdr>
        <w:top w:val="none" w:sz="0" w:space="0" w:color="auto"/>
        <w:left w:val="none" w:sz="0" w:space="0" w:color="auto"/>
        <w:bottom w:val="none" w:sz="0" w:space="0" w:color="auto"/>
        <w:right w:val="none" w:sz="0" w:space="0" w:color="auto"/>
      </w:divBdr>
    </w:div>
    <w:div w:id="332538732">
      <w:marLeft w:val="0"/>
      <w:marRight w:val="0"/>
      <w:marTop w:val="0"/>
      <w:marBottom w:val="120"/>
      <w:divBdr>
        <w:top w:val="none" w:sz="0" w:space="0" w:color="auto"/>
        <w:left w:val="none" w:sz="0" w:space="0" w:color="auto"/>
        <w:bottom w:val="none" w:sz="0" w:space="0" w:color="auto"/>
        <w:right w:val="none" w:sz="0" w:space="0" w:color="auto"/>
      </w:divBdr>
    </w:div>
    <w:div w:id="334502158">
      <w:marLeft w:val="0"/>
      <w:marRight w:val="0"/>
      <w:marTop w:val="240"/>
      <w:marBottom w:val="0"/>
      <w:divBdr>
        <w:top w:val="none" w:sz="0" w:space="0" w:color="auto"/>
        <w:left w:val="none" w:sz="0" w:space="0" w:color="auto"/>
        <w:bottom w:val="none" w:sz="0" w:space="0" w:color="auto"/>
        <w:right w:val="none" w:sz="0" w:space="0" w:color="auto"/>
      </w:divBdr>
    </w:div>
    <w:div w:id="338969220">
      <w:marLeft w:val="0"/>
      <w:marRight w:val="0"/>
      <w:marTop w:val="0"/>
      <w:marBottom w:val="120"/>
      <w:divBdr>
        <w:top w:val="none" w:sz="0" w:space="0" w:color="auto"/>
        <w:left w:val="none" w:sz="0" w:space="0" w:color="auto"/>
        <w:bottom w:val="none" w:sz="0" w:space="0" w:color="auto"/>
        <w:right w:val="none" w:sz="0" w:space="0" w:color="auto"/>
      </w:divBdr>
    </w:div>
    <w:div w:id="341057303">
      <w:marLeft w:val="0"/>
      <w:marRight w:val="0"/>
      <w:marTop w:val="0"/>
      <w:marBottom w:val="0"/>
      <w:divBdr>
        <w:top w:val="none" w:sz="0" w:space="0" w:color="auto"/>
        <w:left w:val="none" w:sz="0" w:space="0" w:color="auto"/>
        <w:bottom w:val="none" w:sz="0" w:space="0" w:color="auto"/>
        <w:right w:val="none" w:sz="0" w:space="0" w:color="auto"/>
      </w:divBdr>
      <w:divsChild>
        <w:div w:id="1690183596">
          <w:marLeft w:val="0"/>
          <w:marRight w:val="0"/>
          <w:marTop w:val="0"/>
          <w:marBottom w:val="0"/>
          <w:divBdr>
            <w:top w:val="none" w:sz="0" w:space="0" w:color="auto"/>
            <w:left w:val="none" w:sz="0" w:space="0" w:color="auto"/>
            <w:bottom w:val="none" w:sz="0" w:space="0" w:color="auto"/>
            <w:right w:val="none" w:sz="0" w:space="0" w:color="auto"/>
          </w:divBdr>
          <w:divsChild>
            <w:div w:id="6010326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41323802">
      <w:marLeft w:val="0"/>
      <w:marRight w:val="0"/>
      <w:marTop w:val="0"/>
      <w:marBottom w:val="120"/>
      <w:divBdr>
        <w:top w:val="none" w:sz="0" w:space="0" w:color="auto"/>
        <w:left w:val="none" w:sz="0" w:space="0" w:color="auto"/>
        <w:bottom w:val="none" w:sz="0" w:space="0" w:color="auto"/>
        <w:right w:val="none" w:sz="0" w:space="0" w:color="auto"/>
      </w:divBdr>
    </w:div>
    <w:div w:id="342175034">
      <w:marLeft w:val="0"/>
      <w:marRight w:val="0"/>
      <w:marTop w:val="0"/>
      <w:marBottom w:val="120"/>
      <w:divBdr>
        <w:top w:val="none" w:sz="0" w:space="0" w:color="auto"/>
        <w:left w:val="none" w:sz="0" w:space="0" w:color="auto"/>
        <w:bottom w:val="none" w:sz="0" w:space="0" w:color="auto"/>
        <w:right w:val="none" w:sz="0" w:space="0" w:color="auto"/>
      </w:divBdr>
    </w:div>
    <w:div w:id="343632222">
      <w:marLeft w:val="0"/>
      <w:marRight w:val="0"/>
      <w:marTop w:val="0"/>
      <w:marBottom w:val="120"/>
      <w:divBdr>
        <w:top w:val="none" w:sz="0" w:space="0" w:color="auto"/>
        <w:left w:val="none" w:sz="0" w:space="0" w:color="auto"/>
        <w:bottom w:val="none" w:sz="0" w:space="0" w:color="auto"/>
        <w:right w:val="none" w:sz="0" w:space="0" w:color="auto"/>
      </w:divBdr>
    </w:div>
    <w:div w:id="346560783">
      <w:marLeft w:val="0"/>
      <w:marRight w:val="0"/>
      <w:marTop w:val="240"/>
      <w:marBottom w:val="240"/>
      <w:divBdr>
        <w:top w:val="none" w:sz="0" w:space="0" w:color="auto"/>
        <w:left w:val="none" w:sz="0" w:space="0" w:color="auto"/>
        <w:bottom w:val="none" w:sz="0" w:space="0" w:color="auto"/>
        <w:right w:val="none" w:sz="0" w:space="0" w:color="auto"/>
      </w:divBdr>
    </w:div>
    <w:div w:id="350111921">
      <w:marLeft w:val="0"/>
      <w:marRight w:val="0"/>
      <w:marTop w:val="0"/>
      <w:marBottom w:val="120"/>
      <w:divBdr>
        <w:top w:val="none" w:sz="0" w:space="0" w:color="auto"/>
        <w:left w:val="none" w:sz="0" w:space="0" w:color="auto"/>
        <w:bottom w:val="none" w:sz="0" w:space="0" w:color="auto"/>
        <w:right w:val="none" w:sz="0" w:space="0" w:color="auto"/>
      </w:divBdr>
    </w:div>
    <w:div w:id="350617777">
      <w:marLeft w:val="0"/>
      <w:marRight w:val="0"/>
      <w:marTop w:val="140"/>
      <w:marBottom w:val="120"/>
      <w:divBdr>
        <w:top w:val="none" w:sz="0" w:space="0" w:color="auto"/>
        <w:left w:val="none" w:sz="0" w:space="0" w:color="auto"/>
        <w:bottom w:val="none" w:sz="0" w:space="0" w:color="auto"/>
        <w:right w:val="none" w:sz="0" w:space="0" w:color="auto"/>
      </w:divBdr>
    </w:div>
    <w:div w:id="354233726">
      <w:marLeft w:val="0"/>
      <w:marRight w:val="0"/>
      <w:marTop w:val="240"/>
      <w:marBottom w:val="240"/>
      <w:divBdr>
        <w:top w:val="none" w:sz="0" w:space="0" w:color="auto"/>
        <w:left w:val="none" w:sz="0" w:space="0" w:color="auto"/>
        <w:bottom w:val="none" w:sz="0" w:space="0" w:color="auto"/>
        <w:right w:val="none" w:sz="0" w:space="0" w:color="auto"/>
      </w:divBdr>
    </w:div>
    <w:div w:id="358624167">
      <w:marLeft w:val="0"/>
      <w:marRight w:val="0"/>
      <w:marTop w:val="0"/>
      <w:marBottom w:val="0"/>
      <w:divBdr>
        <w:top w:val="none" w:sz="0" w:space="0" w:color="auto"/>
        <w:left w:val="none" w:sz="0" w:space="0" w:color="auto"/>
        <w:bottom w:val="none" w:sz="0" w:space="0" w:color="auto"/>
        <w:right w:val="none" w:sz="0" w:space="0" w:color="auto"/>
      </w:divBdr>
    </w:div>
    <w:div w:id="358627772">
      <w:marLeft w:val="0"/>
      <w:marRight w:val="0"/>
      <w:marTop w:val="0"/>
      <w:marBottom w:val="0"/>
      <w:divBdr>
        <w:top w:val="none" w:sz="0" w:space="0" w:color="auto"/>
        <w:left w:val="none" w:sz="0" w:space="0" w:color="auto"/>
        <w:bottom w:val="none" w:sz="0" w:space="0" w:color="auto"/>
        <w:right w:val="none" w:sz="0" w:space="0" w:color="auto"/>
      </w:divBdr>
      <w:divsChild>
        <w:div w:id="521211011">
          <w:marLeft w:val="0"/>
          <w:marRight w:val="0"/>
          <w:marTop w:val="0"/>
          <w:marBottom w:val="120"/>
          <w:divBdr>
            <w:top w:val="none" w:sz="0" w:space="0" w:color="auto"/>
            <w:left w:val="none" w:sz="0" w:space="0" w:color="auto"/>
            <w:bottom w:val="none" w:sz="0" w:space="0" w:color="auto"/>
            <w:right w:val="none" w:sz="0" w:space="0" w:color="auto"/>
          </w:divBdr>
        </w:div>
      </w:divsChild>
    </w:div>
    <w:div w:id="359860411">
      <w:marLeft w:val="0"/>
      <w:marRight w:val="0"/>
      <w:marTop w:val="0"/>
      <w:marBottom w:val="0"/>
      <w:divBdr>
        <w:top w:val="none" w:sz="0" w:space="0" w:color="auto"/>
        <w:left w:val="none" w:sz="0" w:space="0" w:color="auto"/>
        <w:bottom w:val="none" w:sz="0" w:space="0" w:color="auto"/>
        <w:right w:val="none" w:sz="0" w:space="0" w:color="auto"/>
      </w:divBdr>
      <w:divsChild>
        <w:div w:id="701367090">
          <w:marLeft w:val="0"/>
          <w:marRight w:val="0"/>
          <w:marTop w:val="0"/>
          <w:marBottom w:val="0"/>
          <w:divBdr>
            <w:top w:val="none" w:sz="0" w:space="0" w:color="auto"/>
            <w:left w:val="none" w:sz="0" w:space="0" w:color="auto"/>
            <w:bottom w:val="none" w:sz="0" w:space="0" w:color="auto"/>
            <w:right w:val="none" w:sz="0" w:space="0" w:color="auto"/>
          </w:divBdr>
          <w:divsChild>
            <w:div w:id="13498692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63098739">
      <w:marLeft w:val="0"/>
      <w:marRight w:val="0"/>
      <w:marTop w:val="240"/>
      <w:marBottom w:val="0"/>
      <w:divBdr>
        <w:top w:val="none" w:sz="0" w:space="0" w:color="auto"/>
        <w:left w:val="none" w:sz="0" w:space="0" w:color="auto"/>
        <w:bottom w:val="none" w:sz="0" w:space="0" w:color="auto"/>
        <w:right w:val="none" w:sz="0" w:space="0" w:color="auto"/>
      </w:divBdr>
    </w:div>
    <w:div w:id="364524604">
      <w:marLeft w:val="0"/>
      <w:marRight w:val="0"/>
      <w:marTop w:val="0"/>
      <w:marBottom w:val="0"/>
      <w:divBdr>
        <w:top w:val="none" w:sz="0" w:space="0" w:color="auto"/>
        <w:left w:val="none" w:sz="0" w:space="0" w:color="auto"/>
        <w:bottom w:val="none" w:sz="0" w:space="0" w:color="auto"/>
        <w:right w:val="none" w:sz="0" w:space="0" w:color="auto"/>
      </w:divBdr>
      <w:divsChild>
        <w:div w:id="1932427103">
          <w:marLeft w:val="0"/>
          <w:marRight w:val="0"/>
          <w:marTop w:val="0"/>
          <w:marBottom w:val="0"/>
          <w:divBdr>
            <w:top w:val="none" w:sz="0" w:space="0" w:color="auto"/>
            <w:left w:val="none" w:sz="0" w:space="0" w:color="auto"/>
            <w:bottom w:val="none" w:sz="0" w:space="0" w:color="auto"/>
            <w:right w:val="none" w:sz="0" w:space="0" w:color="auto"/>
          </w:divBdr>
          <w:divsChild>
            <w:div w:id="9346772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69459174">
      <w:marLeft w:val="0"/>
      <w:marRight w:val="0"/>
      <w:marTop w:val="0"/>
      <w:marBottom w:val="120"/>
      <w:divBdr>
        <w:top w:val="none" w:sz="0" w:space="0" w:color="auto"/>
        <w:left w:val="none" w:sz="0" w:space="0" w:color="auto"/>
        <w:bottom w:val="none" w:sz="0" w:space="0" w:color="auto"/>
        <w:right w:val="none" w:sz="0" w:space="0" w:color="auto"/>
      </w:divBdr>
    </w:div>
    <w:div w:id="370738131">
      <w:marLeft w:val="0"/>
      <w:marRight w:val="0"/>
      <w:marTop w:val="240"/>
      <w:marBottom w:val="0"/>
      <w:divBdr>
        <w:top w:val="none" w:sz="0" w:space="0" w:color="auto"/>
        <w:left w:val="none" w:sz="0" w:space="0" w:color="auto"/>
        <w:bottom w:val="none" w:sz="0" w:space="0" w:color="auto"/>
        <w:right w:val="none" w:sz="0" w:space="0" w:color="auto"/>
      </w:divBdr>
    </w:div>
    <w:div w:id="373774600">
      <w:marLeft w:val="0"/>
      <w:marRight w:val="0"/>
      <w:marTop w:val="140"/>
      <w:marBottom w:val="120"/>
      <w:divBdr>
        <w:top w:val="none" w:sz="0" w:space="0" w:color="auto"/>
        <w:left w:val="none" w:sz="0" w:space="0" w:color="auto"/>
        <w:bottom w:val="none" w:sz="0" w:space="0" w:color="auto"/>
        <w:right w:val="none" w:sz="0" w:space="0" w:color="auto"/>
      </w:divBdr>
      <w:divsChild>
        <w:div w:id="1428187133">
          <w:marLeft w:val="0"/>
          <w:marRight w:val="0"/>
          <w:marTop w:val="0"/>
          <w:marBottom w:val="0"/>
          <w:divBdr>
            <w:top w:val="none" w:sz="0" w:space="0" w:color="auto"/>
            <w:left w:val="none" w:sz="0" w:space="0" w:color="auto"/>
            <w:bottom w:val="none" w:sz="0" w:space="0" w:color="auto"/>
            <w:right w:val="none" w:sz="0" w:space="0" w:color="auto"/>
          </w:divBdr>
        </w:div>
      </w:divsChild>
    </w:div>
    <w:div w:id="376397009">
      <w:marLeft w:val="0"/>
      <w:marRight w:val="0"/>
      <w:marTop w:val="0"/>
      <w:marBottom w:val="20"/>
      <w:divBdr>
        <w:top w:val="none" w:sz="0" w:space="0" w:color="auto"/>
        <w:left w:val="none" w:sz="0" w:space="0" w:color="auto"/>
        <w:bottom w:val="none" w:sz="0" w:space="0" w:color="auto"/>
        <w:right w:val="none" w:sz="0" w:space="0" w:color="auto"/>
      </w:divBdr>
      <w:divsChild>
        <w:div w:id="2710403">
          <w:marLeft w:val="0"/>
          <w:marRight w:val="0"/>
          <w:marTop w:val="0"/>
          <w:marBottom w:val="0"/>
          <w:divBdr>
            <w:top w:val="none" w:sz="0" w:space="0" w:color="auto"/>
            <w:left w:val="none" w:sz="0" w:space="0" w:color="auto"/>
            <w:bottom w:val="none" w:sz="0" w:space="0" w:color="auto"/>
            <w:right w:val="none" w:sz="0" w:space="0" w:color="auto"/>
          </w:divBdr>
        </w:div>
        <w:div w:id="1369601290">
          <w:marLeft w:val="0"/>
          <w:marRight w:val="0"/>
          <w:marTop w:val="0"/>
          <w:marBottom w:val="0"/>
          <w:divBdr>
            <w:top w:val="none" w:sz="0" w:space="0" w:color="auto"/>
            <w:left w:val="none" w:sz="0" w:space="0" w:color="auto"/>
            <w:bottom w:val="none" w:sz="0" w:space="0" w:color="auto"/>
            <w:right w:val="none" w:sz="0" w:space="0" w:color="auto"/>
          </w:divBdr>
        </w:div>
        <w:div w:id="1044523041">
          <w:marLeft w:val="0"/>
          <w:marRight w:val="0"/>
          <w:marTop w:val="0"/>
          <w:marBottom w:val="0"/>
          <w:divBdr>
            <w:top w:val="none" w:sz="0" w:space="0" w:color="auto"/>
            <w:left w:val="none" w:sz="0" w:space="0" w:color="auto"/>
            <w:bottom w:val="none" w:sz="0" w:space="0" w:color="auto"/>
            <w:right w:val="none" w:sz="0" w:space="0" w:color="auto"/>
          </w:divBdr>
        </w:div>
        <w:div w:id="111025043">
          <w:marLeft w:val="0"/>
          <w:marRight w:val="0"/>
          <w:marTop w:val="0"/>
          <w:marBottom w:val="0"/>
          <w:divBdr>
            <w:top w:val="none" w:sz="0" w:space="0" w:color="auto"/>
            <w:left w:val="none" w:sz="0" w:space="0" w:color="auto"/>
            <w:bottom w:val="none" w:sz="0" w:space="0" w:color="auto"/>
            <w:right w:val="none" w:sz="0" w:space="0" w:color="auto"/>
          </w:divBdr>
        </w:div>
      </w:divsChild>
    </w:div>
    <w:div w:id="377896945">
      <w:marLeft w:val="0"/>
      <w:marRight w:val="0"/>
      <w:marTop w:val="0"/>
      <w:marBottom w:val="0"/>
      <w:divBdr>
        <w:top w:val="none" w:sz="0" w:space="0" w:color="auto"/>
        <w:left w:val="none" w:sz="0" w:space="0" w:color="auto"/>
        <w:bottom w:val="none" w:sz="0" w:space="0" w:color="auto"/>
        <w:right w:val="none" w:sz="0" w:space="0" w:color="auto"/>
      </w:divBdr>
      <w:divsChild>
        <w:div w:id="136803704">
          <w:marLeft w:val="0"/>
          <w:marRight w:val="0"/>
          <w:marTop w:val="0"/>
          <w:marBottom w:val="0"/>
          <w:divBdr>
            <w:top w:val="none" w:sz="0" w:space="0" w:color="auto"/>
            <w:left w:val="none" w:sz="0" w:space="0" w:color="auto"/>
            <w:bottom w:val="none" w:sz="0" w:space="0" w:color="auto"/>
            <w:right w:val="none" w:sz="0" w:space="0" w:color="auto"/>
          </w:divBdr>
          <w:divsChild>
            <w:div w:id="1466333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78894103">
      <w:marLeft w:val="0"/>
      <w:marRight w:val="0"/>
      <w:marTop w:val="0"/>
      <w:marBottom w:val="0"/>
      <w:divBdr>
        <w:top w:val="none" w:sz="0" w:space="0" w:color="auto"/>
        <w:left w:val="none" w:sz="0" w:space="0" w:color="auto"/>
        <w:bottom w:val="none" w:sz="0" w:space="0" w:color="auto"/>
        <w:right w:val="none" w:sz="0" w:space="0" w:color="auto"/>
      </w:divBdr>
      <w:divsChild>
        <w:div w:id="308900526">
          <w:marLeft w:val="0"/>
          <w:marRight w:val="0"/>
          <w:marTop w:val="0"/>
          <w:marBottom w:val="0"/>
          <w:divBdr>
            <w:top w:val="none" w:sz="0" w:space="0" w:color="auto"/>
            <w:left w:val="none" w:sz="0" w:space="0" w:color="auto"/>
            <w:bottom w:val="none" w:sz="0" w:space="0" w:color="auto"/>
            <w:right w:val="none" w:sz="0" w:space="0" w:color="auto"/>
          </w:divBdr>
          <w:divsChild>
            <w:div w:id="18565799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83675037">
      <w:marLeft w:val="0"/>
      <w:marRight w:val="0"/>
      <w:marTop w:val="0"/>
      <w:marBottom w:val="120"/>
      <w:divBdr>
        <w:top w:val="none" w:sz="0" w:space="0" w:color="auto"/>
        <w:left w:val="none" w:sz="0" w:space="0" w:color="auto"/>
        <w:bottom w:val="none" w:sz="0" w:space="0" w:color="auto"/>
        <w:right w:val="none" w:sz="0" w:space="0" w:color="auto"/>
      </w:divBdr>
    </w:div>
    <w:div w:id="383722474">
      <w:marLeft w:val="0"/>
      <w:marRight w:val="0"/>
      <w:marTop w:val="0"/>
      <w:marBottom w:val="120"/>
      <w:divBdr>
        <w:top w:val="none" w:sz="0" w:space="0" w:color="auto"/>
        <w:left w:val="none" w:sz="0" w:space="0" w:color="auto"/>
        <w:bottom w:val="none" w:sz="0" w:space="0" w:color="auto"/>
        <w:right w:val="none" w:sz="0" w:space="0" w:color="auto"/>
      </w:divBdr>
    </w:div>
    <w:div w:id="384066725">
      <w:marLeft w:val="0"/>
      <w:marRight w:val="0"/>
      <w:marTop w:val="0"/>
      <w:marBottom w:val="0"/>
      <w:divBdr>
        <w:top w:val="none" w:sz="0" w:space="0" w:color="auto"/>
        <w:left w:val="none" w:sz="0" w:space="0" w:color="auto"/>
        <w:bottom w:val="none" w:sz="0" w:space="0" w:color="auto"/>
        <w:right w:val="none" w:sz="0" w:space="0" w:color="auto"/>
      </w:divBdr>
    </w:div>
    <w:div w:id="385184042">
      <w:marLeft w:val="0"/>
      <w:marRight w:val="0"/>
      <w:marTop w:val="0"/>
      <w:marBottom w:val="120"/>
      <w:divBdr>
        <w:top w:val="none" w:sz="0" w:space="0" w:color="auto"/>
        <w:left w:val="none" w:sz="0" w:space="0" w:color="auto"/>
        <w:bottom w:val="none" w:sz="0" w:space="0" w:color="auto"/>
        <w:right w:val="none" w:sz="0" w:space="0" w:color="auto"/>
      </w:divBdr>
    </w:div>
    <w:div w:id="386299023">
      <w:marLeft w:val="0"/>
      <w:marRight w:val="0"/>
      <w:marTop w:val="0"/>
      <w:marBottom w:val="0"/>
      <w:divBdr>
        <w:top w:val="none" w:sz="0" w:space="0" w:color="auto"/>
        <w:left w:val="none" w:sz="0" w:space="0" w:color="auto"/>
        <w:bottom w:val="none" w:sz="0" w:space="0" w:color="auto"/>
        <w:right w:val="none" w:sz="0" w:space="0" w:color="auto"/>
      </w:divBdr>
      <w:divsChild>
        <w:div w:id="612827667">
          <w:marLeft w:val="0"/>
          <w:marRight w:val="0"/>
          <w:marTop w:val="0"/>
          <w:marBottom w:val="0"/>
          <w:divBdr>
            <w:top w:val="none" w:sz="0" w:space="0" w:color="auto"/>
            <w:left w:val="none" w:sz="0" w:space="0" w:color="auto"/>
            <w:bottom w:val="none" w:sz="0" w:space="0" w:color="auto"/>
            <w:right w:val="none" w:sz="0" w:space="0" w:color="auto"/>
          </w:divBdr>
          <w:divsChild>
            <w:div w:id="7446935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89694031">
      <w:marLeft w:val="0"/>
      <w:marRight w:val="0"/>
      <w:marTop w:val="0"/>
      <w:marBottom w:val="120"/>
      <w:divBdr>
        <w:top w:val="none" w:sz="0" w:space="0" w:color="auto"/>
        <w:left w:val="none" w:sz="0" w:space="0" w:color="auto"/>
        <w:bottom w:val="none" w:sz="0" w:space="0" w:color="auto"/>
        <w:right w:val="none" w:sz="0" w:space="0" w:color="auto"/>
      </w:divBdr>
    </w:div>
    <w:div w:id="389814802">
      <w:marLeft w:val="0"/>
      <w:marRight w:val="0"/>
      <w:marTop w:val="0"/>
      <w:marBottom w:val="120"/>
      <w:divBdr>
        <w:top w:val="none" w:sz="0" w:space="0" w:color="auto"/>
        <w:left w:val="none" w:sz="0" w:space="0" w:color="auto"/>
        <w:bottom w:val="none" w:sz="0" w:space="0" w:color="auto"/>
        <w:right w:val="none" w:sz="0" w:space="0" w:color="auto"/>
      </w:divBdr>
    </w:div>
    <w:div w:id="391539509">
      <w:marLeft w:val="0"/>
      <w:marRight w:val="0"/>
      <w:marTop w:val="0"/>
      <w:marBottom w:val="120"/>
      <w:divBdr>
        <w:top w:val="none" w:sz="0" w:space="0" w:color="auto"/>
        <w:left w:val="none" w:sz="0" w:space="0" w:color="auto"/>
        <w:bottom w:val="none" w:sz="0" w:space="0" w:color="auto"/>
        <w:right w:val="none" w:sz="0" w:space="0" w:color="auto"/>
      </w:divBdr>
    </w:div>
    <w:div w:id="391806852">
      <w:marLeft w:val="0"/>
      <w:marRight w:val="0"/>
      <w:marTop w:val="0"/>
      <w:marBottom w:val="120"/>
      <w:divBdr>
        <w:top w:val="none" w:sz="0" w:space="0" w:color="auto"/>
        <w:left w:val="none" w:sz="0" w:space="0" w:color="auto"/>
        <w:bottom w:val="none" w:sz="0" w:space="0" w:color="auto"/>
        <w:right w:val="none" w:sz="0" w:space="0" w:color="auto"/>
      </w:divBdr>
    </w:div>
    <w:div w:id="391973216">
      <w:marLeft w:val="0"/>
      <w:marRight w:val="0"/>
      <w:marTop w:val="0"/>
      <w:marBottom w:val="120"/>
      <w:divBdr>
        <w:top w:val="none" w:sz="0" w:space="0" w:color="auto"/>
        <w:left w:val="none" w:sz="0" w:space="0" w:color="auto"/>
        <w:bottom w:val="none" w:sz="0" w:space="0" w:color="auto"/>
        <w:right w:val="none" w:sz="0" w:space="0" w:color="auto"/>
      </w:divBdr>
    </w:div>
    <w:div w:id="391999537">
      <w:marLeft w:val="0"/>
      <w:marRight w:val="0"/>
      <w:marTop w:val="0"/>
      <w:marBottom w:val="20"/>
      <w:divBdr>
        <w:top w:val="none" w:sz="0" w:space="0" w:color="auto"/>
        <w:left w:val="none" w:sz="0" w:space="0" w:color="auto"/>
        <w:bottom w:val="none" w:sz="0" w:space="0" w:color="auto"/>
        <w:right w:val="none" w:sz="0" w:space="0" w:color="auto"/>
      </w:divBdr>
      <w:divsChild>
        <w:div w:id="577135869">
          <w:marLeft w:val="0"/>
          <w:marRight w:val="0"/>
          <w:marTop w:val="0"/>
          <w:marBottom w:val="0"/>
          <w:divBdr>
            <w:top w:val="none" w:sz="0" w:space="0" w:color="auto"/>
            <w:left w:val="none" w:sz="0" w:space="0" w:color="auto"/>
            <w:bottom w:val="none" w:sz="0" w:space="0" w:color="auto"/>
            <w:right w:val="none" w:sz="0" w:space="0" w:color="auto"/>
          </w:divBdr>
        </w:div>
        <w:div w:id="1580561228">
          <w:marLeft w:val="0"/>
          <w:marRight w:val="0"/>
          <w:marTop w:val="0"/>
          <w:marBottom w:val="0"/>
          <w:divBdr>
            <w:top w:val="none" w:sz="0" w:space="0" w:color="auto"/>
            <w:left w:val="none" w:sz="0" w:space="0" w:color="auto"/>
            <w:bottom w:val="none" w:sz="0" w:space="0" w:color="auto"/>
            <w:right w:val="none" w:sz="0" w:space="0" w:color="auto"/>
          </w:divBdr>
        </w:div>
        <w:div w:id="1604412247">
          <w:marLeft w:val="0"/>
          <w:marRight w:val="0"/>
          <w:marTop w:val="0"/>
          <w:marBottom w:val="0"/>
          <w:divBdr>
            <w:top w:val="none" w:sz="0" w:space="0" w:color="auto"/>
            <w:left w:val="none" w:sz="0" w:space="0" w:color="auto"/>
            <w:bottom w:val="none" w:sz="0" w:space="0" w:color="auto"/>
            <w:right w:val="none" w:sz="0" w:space="0" w:color="auto"/>
          </w:divBdr>
        </w:div>
      </w:divsChild>
    </w:div>
    <w:div w:id="392313280">
      <w:marLeft w:val="0"/>
      <w:marRight w:val="0"/>
      <w:marTop w:val="0"/>
      <w:marBottom w:val="0"/>
      <w:divBdr>
        <w:top w:val="none" w:sz="0" w:space="0" w:color="auto"/>
        <w:left w:val="none" w:sz="0" w:space="0" w:color="auto"/>
        <w:bottom w:val="none" w:sz="0" w:space="0" w:color="auto"/>
        <w:right w:val="none" w:sz="0" w:space="0" w:color="auto"/>
      </w:divBdr>
      <w:divsChild>
        <w:div w:id="897782722">
          <w:marLeft w:val="0"/>
          <w:marRight w:val="0"/>
          <w:marTop w:val="0"/>
          <w:marBottom w:val="0"/>
          <w:divBdr>
            <w:top w:val="none" w:sz="0" w:space="0" w:color="auto"/>
            <w:left w:val="none" w:sz="0" w:space="0" w:color="auto"/>
            <w:bottom w:val="none" w:sz="0" w:space="0" w:color="auto"/>
            <w:right w:val="none" w:sz="0" w:space="0" w:color="auto"/>
          </w:divBdr>
          <w:divsChild>
            <w:div w:id="18267058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95129226">
      <w:marLeft w:val="0"/>
      <w:marRight w:val="0"/>
      <w:marTop w:val="0"/>
      <w:marBottom w:val="120"/>
      <w:divBdr>
        <w:top w:val="none" w:sz="0" w:space="0" w:color="auto"/>
        <w:left w:val="none" w:sz="0" w:space="0" w:color="auto"/>
        <w:bottom w:val="none" w:sz="0" w:space="0" w:color="auto"/>
        <w:right w:val="none" w:sz="0" w:space="0" w:color="auto"/>
      </w:divBdr>
    </w:div>
    <w:div w:id="396825652">
      <w:marLeft w:val="0"/>
      <w:marRight w:val="0"/>
      <w:marTop w:val="0"/>
      <w:marBottom w:val="120"/>
      <w:divBdr>
        <w:top w:val="none" w:sz="0" w:space="0" w:color="auto"/>
        <w:left w:val="none" w:sz="0" w:space="0" w:color="auto"/>
        <w:bottom w:val="none" w:sz="0" w:space="0" w:color="auto"/>
        <w:right w:val="none" w:sz="0" w:space="0" w:color="auto"/>
      </w:divBdr>
    </w:div>
    <w:div w:id="397557768">
      <w:marLeft w:val="0"/>
      <w:marRight w:val="0"/>
      <w:marTop w:val="240"/>
      <w:marBottom w:val="240"/>
      <w:divBdr>
        <w:top w:val="none" w:sz="0" w:space="0" w:color="auto"/>
        <w:left w:val="none" w:sz="0" w:space="0" w:color="auto"/>
        <w:bottom w:val="none" w:sz="0" w:space="0" w:color="auto"/>
        <w:right w:val="none" w:sz="0" w:space="0" w:color="auto"/>
      </w:divBdr>
    </w:div>
    <w:div w:id="397947509">
      <w:marLeft w:val="0"/>
      <w:marRight w:val="0"/>
      <w:marTop w:val="240"/>
      <w:marBottom w:val="0"/>
      <w:divBdr>
        <w:top w:val="none" w:sz="0" w:space="0" w:color="auto"/>
        <w:left w:val="none" w:sz="0" w:space="0" w:color="auto"/>
        <w:bottom w:val="none" w:sz="0" w:space="0" w:color="auto"/>
        <w:right w:val="none" w:sz="0" w:space="0" w:color="auto"/>
      </w:divBdr>
    </w:div>
    <w:div w:id="398794474">
      <w:marLeft w:val="0"/>
      <w:marRight w:val="0"/>
      <w:marTop w:val="0"/>
      <w:marBottom w:val="0"/>
      <w:divBdr>
        <w:top w:val="none" w:sz="0" w:space="0" w:color="auto"/>
        <w:left w:val="none" w:sz="0" w:space="0" w:color="auto"/>
        <w:bottom w:val="none" w:sz="0" w:space="0" w:color="auto"/>
        <w:right w:val="none" w:sz="0" w:space="0" w:color="auto"/>
      </w:divBdr>
      <w:divsChild>
        <w:div w:id="783036497">
          <w:marLeft w:val="0"/>
          <w:marRight w:val="0"/>
          <w:marTop w:val="0"/>
          <w:marBottom w:val="0"/>
          <w:divBdr>
            <w:top w:val="none" w:sz="0" w:space="0" w:color="auto"/>
            <w:left w:val="none" w:sz="0" w:space="0" w:color="auto"/>
            <w:bottom w:val="none" w:sz="0" w:space="0" w:color="auto"/>
            <w:right w:val="none" w:sz="0" w:space="0" w:color="auto"/>
          </w:divBdr>
          <w:divsChild>
            <w:div w:id="9139309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99595458">
      <w:marLeft w:val="0"/>
      <w:marRight w:val="0"/>
      <w:marTop w:val="0"/>
      <w:marBottom w:val="0"/>
      <w:divBdr>
        <w:top w:val="none" w:sz="0" w:space="0" w:color="auto"/>
        <w:left w:val="none" w:sz="0" w:space="0" w:color="auto"/>
        <w:bottom w:val="none" w:sz="0" w:space="0" w:color="auto"/>
        <w:right w:val="none" w:sz="0" w:space="0" w:color="auto"/>
      </w:divBdr>
      <w:divsChild>
        <w:div w:id="907497591">
          <w:marLeft w:val="0"/>
          <w:marRight w:val="0"/>
          <w:marTop w:val="0"/>
          <w:marBottom w:val="0"/>
          <w:divBdr>
            <w:top w:val="none" w:sz="0" w:space="0" w:color="auto"/>
            <w:left w:val="none" w:sz="0" w:space="0" w:color="auto"/>
            <w:bottom w:val="none" w:sz="0" w:space="0" w:color="auto"/>
            <w:right w:val="none" w:sz="0" w:space="0" w:color="auto"/>
          </w:divBdr>
          <w:divsChild>
            <w:div w:id="1573551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00057057">
      <w:marLeft w:val="0"/>
      <w:marRight w:val="0"/>
      <w:marTop w:val="240"/>
      <w:marBottom w:val="0"/>
      <w:divBdr>
        <w:top w:val="none" w:sz="0" w:space="0" w:color="auto"/>
        <w:left w:val="none" w:sz="0" w:space="0" w:color="auto"/>
        <w:bottom w:val="none" w:sz="0" w:space="0" w:color="auto"/>
        <w:right w:val="none" w:sz="0" w:space="0" w:color="auto"/>
      </w:divBdr>
    </w:div>
    <w:div w:id="400714039">
      <w:marLeft w:val="0"/>
      <w:marRight w:val="0"/>
      <w:marTop w:val="0"/>
      <w:marBottom w:val="0"/>
      <w:divBdr>
        <w:top w:val="none" w:sz="0" w:space="0" w:color="auto"/>
        <w:left w:val="none" w:sz="0" w:space="0" w:color="auto"/>
        <w:bottom w:val="none" w:sz="0" w:space="0" w:color="auto"/>
        <w:right w:val="none" w:sz="0" w:space="0" w:color="auto"/>
      </w:divBdr>
      <w:divsChild>
        <w:div w:id="1918588604">
          <w:marLeft w:val="0"/>
          <w:marRight w:val="0"/>
          <w:marTop w:val="0"/>
          <w:marBottom w:val="120"/>
          <w:divBdr>
            <w:top w:val="none" w:sz="0" w:space="0" w:color="auto"/>
            <w:left w:val="none" w:sz="0" w:space="0" w:color="auto"/>
            <w:bottom w:val="none" w:sz="0" w:space="0" w:color="auto"/>
            <w:right w:val="none" w:sz="0" w:space="0" w:color="auto"/>
          </w:divBdr>
        </w:div>
      </w:divsChild>
    </w:div>
    <w:div w:id="404377769">
      <w:marLeft w:val="0"/>
      <w:marRight w:val="0"/>
      <w:marTop w:val="0"/>
      <w:marBottom w:val="20"/>
      <w:divBdr>
        <w:top w:val="none" w:sz="0" w:space="0" w:color="auto"/>
        <w:left w:val="none" w:sz="0" w:space="0" w:color="auto"/>
        <w:bottom w:val="none" w:sz="0" w:space="0" w:color="auto"/>
        <w:right w:val="none" w:sz="0" w:space="0" w:color="auto"/>
      </w:divBdr>
      <w:divsChild>
        <w:div w:id="361903227">
          <w:marLeft w:val="0"/>
          <w:marRight w:val="0"/>
          <w:marTop w:val="0"/>
          <w:marBottom w:val="0"/>
          <w:divBdr>
            <w:top w:val="none" w:sz="0" w:space="0" w:color="auto"/>
            <w:left w:val="none" w:sz="0" w:space="0" w:color="auto"/>
            <w:bottom w:val="none" w:sz="0" w:space="0" w:color="auto"/>
            <w:right w:val="none" w:sz="0" w:space="0" w:color="auto"/>
          </w:divBdr>
        </w:div>
      </w:divsChild>
    </w:div>
    <w:div w:id="405568836">
      <w:marLeft w:val="0"/>
      <w:marRight w:val="0"/>
      <w:marTop w:val="240"/>
      <w:marBottom w:val="0"/>
      <w:divBdr>
        <w:top w:val="none" w:sz="0" w:space="0" w:color="auto"/>
        <w:left w:val="none" w:sz="0" w:space="0" w:color="auto"/>
        <w:bottom w:val="none" w:sz="0" w:space="0" w:color="auto"/>
        <w:right w:val="none" w:sz="0" w:space="0" w:color="auto"/>
      </w:divBdr>
    </w:div>
    <w:div w:id="406995916">
      <w:marLeft w:val="0"/>
      <w:marRight w:val="0"/>
      <w:marTop w:val="0"/>
      <w:marBottom w:val="120"/>
      <w:divBdr>
        <w:top w:val="none" w:sz="0" w:space="0" w:color="auto"/>
        <w:left w:val="none" w:sz="0" w:space="0" w:color="auto"/>
        <w:bottom w:val="none" w:sz="0" w:space="0" w:color="auto"/>
        <w:right w:val="none" w:sz="0" w:space="0" w:color="auto"/>
      </w:divBdr>
    </w:div>
    <w:div w:id="410540232">
      <w:marLeft w:val="0"/>
      <w:marRight w:val="0"/>
      <w:marTop w:val="0"/>
      <w:marBottom w:val="120"/>
      <w:divBdr>
        <w:top w:val="none" w:sz="0" w:space="0" w:color="auto"/>
        <w:left w:val="none" w:sz="0" w:space="0" w:color="auto"/>
        <w:bottom w:val="none" w:sz="0" w:space="0" w:color="auto"/>
        <w:right w:val="none" w:sz="0" w:space="0" w:color="auto"/>
      </w:divBdr>
    </w:div>
    <w:div w:id="412093972">
      <w:marLeft w:val="0"/>
      <w:marRight w:val="0"/>
      <w:marTop w:val="0"/>
      <w:marBottom w:val="120"/>
      <w:divBdr>
        <w:top w:val="none" w:sz="0" w:space="0" w:color="auto"/>
        <w:left w:val="none" w:sz="0" w:space="0" w:color="auto"/>
        <w:bottom w:val="none" w:sz="0" w:space="0" w:color="auto"/>
        <w:right w:val="none" w:sz="0" w:space="0" w:color="auto"/>
      </w:divBdr>
    </w:div>
    <w:div w:id="412167691">
      <w:marLeft w:val="0"/>
      <w:marRight w:val="0"/>
      <w:marTop w:val="0"/>
      <w:marBottom w:val="0"/>
      <w:divBdr>
        <w:top w:val="none" w:sz="0" w:space="0" w:color="auto"/>
        <w:left w:val="none" w:sz="0" w:space="0" w:color="auto"/>
        <w:bottom w:val="none" w:sz="0" w:space="0" w:color="auto"/>
        <w:right w:val="none" w:sz="0" w:space="0" w:color="auto"/>
      </w:divBdr>
      <w:divsChild>
        <w:div w:id="702245652">
          <w:marLeft w:val="0"/>
          <w:marRight w:val="0"/>
          <w:marTop w:val="0"/>
          <w:marBottom w:val="120"/>
          <w:divBdr>
            <w:top w:val="none" w:sz="0" w:space="0" w:color="auto"/>
            <w:left w:val="none" w:sz="0" w:space="0" w:color="auto"/>
            <w:bottom w:val="none" w:sz="0" w:space="0" w:color="auto"/>
            <w:right w:val="none" w:sz="0" w:space="0" w:color="auto"/>
          </w:divBdr>
        </w:div>
      </w:divsChild>
    </w:div>
    <w:div w:id="412699074">
      <w:marLeft w:val="0"/>
      <w:marRight w:val="0"/>
      <w:marTop w:val="240"/>
      <w:marBottom w:val="0"/>
      <w:divBdr>
        <w:top w:val="none" w:sz="0" w:space="0" w:color="auto"/>
        <w:left w:val="none" w:sz="0" w:space="0" w:color="auto"/>
        <w:bottom w:val="none" w:sz="0" w:space="0" w:color="auto"/>
        <w:right w:val="none" w:sz="0" w:space="0" w:color="auto"/>
      </w:divBdr>
    </w:div>
    <w:div w:id="418214894">
      <w:marLeft w:val="0"/>
      <w:marRight w:val="0"/>
      <w:marTop w:val="0"/>
      <w:marBottom w:val="120"/>
      <w:divBdr>
        <w:top w:val="none" w:sz="0" w:space="0" w:color="auto"/>
        <w:left w:val="none" w:sz="0" w:space="0" w:color="auto"/>
        <w:bottom w:val="none" w:sz="0" w:space="0" w:color="auto"/>
        <w:right w:val="none" w:sz="0" w:space="0" w:color="auto"/>
      </w:divBdr>
    </w:div>
    <w:div w:id="419176683">
      <w:marLeft w:val="0"/>
      <w:marRight w:val="0"/>
      <w:marTop w:val="0"/>
      <w:marBottom w:val="120"/>
      <w:divBdr>
        <w:top w:val="none" w:sz="0" w:space="0" w:color="auto"/>
        <w:left w:val="none" w:sz="0" w:space="0" w:color="auto"/>
        <w:bottom w:val="none" w:sz="0" w:space="0" w:color="auto"/>
        <w:right w:val="none" w:sz="0" w:space="0" w:color="auto"/>
      </w:divBdr>
      <w:divsChild>
        <w:div w:id="44763769">
          <w:marLeft w:val="0"/>
          <w:marRight w:val="0"/>
          <w:marTop w:val="120"/>
          <w:marBottom w:val="0"/>
          <w:divBdr>
            <w:top w:val="none" w:sz="0" w:space="0" w:color="auto"/>
            <w:left w:val="none" w:sz="0" w:space="0" w:color="auto"/>
            <w:bottom w:val="none" w:sz="0" w:space="0" w:color="auto"/>
            <w:right w:val="none" w:sz="0" w:space="0" w:color="auto"/>
          </w:divBdr>
        </w:div>
      </w:divsChild>
    </w:div>
    <w:div w:id="421537455">
      <w:marLeft w:val="0"/>
      <w:marRight w:val="0"/>
      <w:marTop w:val="0"/>
      <w:marBottom w:val="120"/>
      <w:divBdr>
        <w:top w:val="none" w:sz="0" w:space="0" w:color="auto"/>
        <w:left w:val="none" w:sz="0" w:space="0" w:color="auto"/>
        <w:bottom w:val="none" w:sz="0" w:space="0" w:color="auto"/>
        <w:right w:val="none" w:sz="0" w:space="0" w:color="auto"/>
      </w:divBdr>
    </w:div>
    <w:div w:id="423452860">
      <w:marLeft w:val="0"/>
      <w:marRight w:val="0"/>
      <w:marTop w:val="0"/>
      <w:marBottom w:val="120"/>
      <w:divBdr>
        <w:top w:val="none" w:sz="0" w:space="0" w:color="auto"/>
        <w:left w:val="none" w:sz="0" w:space="0" w:color="auto"/>
        <w:bottom w:val="none" w:sz="0" w:space="0" w:color="auto"/>
        <w:right w:val="none" w:sz="0" w:space="0" w:color="auto"/>
      </w:divBdr>
    </w:div>
    <w:div w:id="429392820">
      <w:marLeft w:val="0"/>
      <w:marRight w:val="0"/>
      <w:marTop w:val="240"/>
      <w:marBottom w:val="240"/>
      <w:divBdr>
        <w:top w:val="none" w:sz="0" w:space="0" w:color="auto"/>
        <w:left w:val="none" w:sz="0" w:space="0" w:color="auto"/>
        <w:bottom w:val="none" w:sz="0" w:space="0" w:color="auto"/>
        <w:right w:val="none" w:sz="0" w:space="0" w:color="auto"/>
      </w:divBdr>
    </w:div>
    <w:div w:id="432828249">
      <w:marLeft w:val="0"/>
      <w:marRight w:val="0"/>
      <w:marTop w:val="0"/>
      <w:marBottom w:val="120"/>
      <w:divBdr>
        <w:top w:val="none" w:sz="0" w:space="0" w:color="auto"/>
        <w:left w:val="none" w:sz="0" w:space="0" w:color="auto"/>
        <w:bottom w:val="none" w:sz="0" w:space="0" w:color="auto"/>
        <w:right w:val="none" w:sz="0" w:space="0" w:color="auto"/>
      </w:divBdr>
    </w:div>
    <w:div w:id="438718371">
      <w:marLeft w:val="0"/>
      <w:marRight w:val="0"/>
      <w:marTop w:val="0"/>
      <w:marBottom w:val="120"/>
      <w:divBdr>
        <w:top w:val="none" w:sz="0" w:space="0" w:color="auto"/>
        <w:left w:val="none" w:sz="0" w:space="0" w:color="auto"/>
        <w:bottom w:val="none" w:sz="0" w:space="0" w:color="auto"/>
        <w:right w:val="none" w:sz="0" w:space="0" w:color="auto"/>
      </w:divBdr>
      <w:divsChild>
        <w:div w:id="84150121">
          <w:marLeft w:val="0"/>
          <w:marRight w:val="0"/>
          <w:marTop w:val="0"/>
          <w:marBottom w:val="0"/>
          <w:divBdr>
            <w:top w:val="none" w:sz="0" w:space="0" w:color="auto"/>
            <w:left w:val="none" w:sz="0" w:space="0" w:color="auto"/>
            <w:bottom w:val="none" w:sz="0" w:space="0" w:color="auto"/>
            <w:right w:val="none" w:sz="0" w:space="0" w:color="auto"/>
          </w:divBdr>
        </w:div>
      </w:divsChild>
    </w:div>
    <w:div w:id="439840726">
      <w:marLeft w:val="0"/>
      <w:marRight w:val="0"/>
      <w:marTop w:val="0"/>
      <w:marBottom w:val="120"/>
      <w:divBdr>
        <w:top w:val="none" w:sz="0" w:space="0" w:color="auto"/>
        <w:left w:val="none" w:sz="0" w:space="0" w:color="auto"/>
        <w:bottom w:val="none" w:sz="0" w:space="0" w:color="auto"/>
        <w:right w:val="none" w:sz="0" w:space="0" w:color="auto"/>
      </w:divBdr>
    </w:div>
    <w:div w:id="439841563">
      <w:marLeft w:val="0"/>
      <w:marRight w:val="0"/>
      <w:marTop w:val="240"/>
      <w:marBottom w:val="0"/>
      <w:divBdr>
        <w:top w:val="none" w:sz="0" w:space="0" w:color="auto"/>
        <w:left w:val="none" w:sz="0" w:space="0" w:color="auto"/>
        <w:bottom w:val="none" w:sz="0" w:space="0" w:color="auto"/>
        <w:right w:val="none" w:sz="0" w:space="0" w:color="auto"/>
      </w:divBdr>
    </w:div>
    <w:div w:id="440536676">
      <w:marLeft w:val="0"/>
      <w:marRight w:val="0"/>
      <w:marTop w:val="240"/>
      <w:marBottom w:val="0"/>
      <w:divBdr>
        <w:top w:val="none" w:sz="0" w:space="0" w:color="auto"/>
        <w:left w:val="none" w:sz="0" w:space="0" w:color="auto"/>
        <w:bottom w:val="none" w:sz="0" w:space="0" w:color="auto"/>
        <w:right w:val="none" w:sz="0" w:space="0" w:color="auto"/>
      </w:divBdr>
    </w:div>
    <w:div w:id="443229997">
      <w:marLeft w:val="0"/>
      <w:marRight w:val="0"/>
      <w:marTop w:val="0"/>
      <w:marBottom w:val="0"/>
      <w:divBdr>
        <w:top w:val="none" w:sz="0" w:space="0" w:color="auto"/>
        <w:left w:val="none" w:sz="0" w:space="0" w:color="auto"/>
        <w:bottom w:val="none" w:sz="0" w:space="0" w:color="auto"/>
        <w:right w:val="none" w:sz="0" w:space="0" w:color="auto"/>
      </w:divBdr>
      <w:divsChild>
        <w:div w:id="622922513">
          <w:marLeft w:val="0"/>
          <w:marRight w:val="0"/>
          <w:marTop w:val="0"/>
          <w:marBottom w:val="120"/>
          <w:divBdr>
            <w:top w:val="none" w:sz="0" w:space="0" w:color="auto"/>
            <w:left w:val="none" w:sz="0" w:space="0" w:color="auto"/>
            <w:bottom w:val="none" w:sz="0" w:space="0" w:color="auto"/>
            <w:right w:val="none" w:sz="0" w:space="0" w:color="auto"/>
          </w:divBdr>
        </w:div>
      </w:divsChild>
    </w:div>
    <w:div w:id="443379850">
      <w:marLeft w:val="0"/>
      <w:marRight w:val="0"/>
      <w:marTop w:val="0"/>
      <w:marBottom w:val="120"/>
      <w:divBdr>
        <w:top w:val="none" w:sz="0" w:space="0" w:color="auto"/>
        <w:left w:val="none" w:sz="0" w:space="0" w:color="auto"/>
        <w:bottom w:val="none" w:sz="0" w:space="0" w:color="auto"/>
        <w:right w:val="none" w:sz="0" w:space="0" w:color="auto"/>
      </w:divBdr>
    </w:div>
    <w:div w:id="444076894">
      <w:marLeft w:val="0"/>
      <w:marRight w:val="0"/>
      <w:marTop w:val="0"/>
      <w:marBottom w:val="120"/>
      <w:divBdr>
        <w:top w:val="none" w:sz="0" w:space="0" w:color="auto"/>
        <w:left w:val="none" w:sz="0" w:space="0" w:color="auto"/>
        <w:bottom w:val="none" w:sz="0" w:space="0" w:color="auto"/>
        <w:right w:val="none" w:sz="0" w:space="0" w:color="auto"/>
      </w:divBdr>
    </w:div>
    <w:div w:id="446315829">
      <w:marLeft w:val="0"/>
      <w:marRight w:val="0"/>
      <w:marTop w:val="0"/>
      <w:marBottom w:val="120"/>
      <w:divBdr>
        <w:top w:val="none" w:sz="0" w:space="0" w:color="auto"/>
        <w:left w:val="none" w:sz="0" w:space="0" w:color="auto"/>
        <w:bottom w:val="none" w:sz="0" w:space="0" w:color="auto"/>
        <w:right w:val="none" w:sz="0" w:space="0" w:color="auto"/>
      </w:divBdr>
    </w:div>
    <w:div w:id="446772614">
      <w:marLeft w:val="0"/>
      <w:marRight w:val="0"/>
      <w:marTop w:val="0"/>
      <w:marBottom w:val="0"/>
      <w:divBdr>
        <w:top w:val="none" w:sz="0" w:space="0" w:color="auto"/>
        <w:left w:val="none" w:sz="0" w:space="0" w:color="auto"/>
        <w:bottom w:val="none" w:sz="0" w:space="0" w:color="auto"/>
        <w:right w:val="none" w:sz="0" w:space="0" w:color="auto"/>
      </w:divBdr>
      <w:divsChild>
        <w:div w:id="1347630618">
          <w:marLeft w:val="0"/>
          <w:marRight w:val="0"/>
          <w:marTop w:val="0"/>
          <w:marBottom w:val="0"/>
          <w:divBdr>
            <w:top w:val="none" w:sz="0" w:space="0" w:color="auto"/>
            <w:left w:val="none" w:sz="0" w:space="0" w:color="auto"/>
            <w:bottom w:val="none" w:sz="0" w:space="0" w:color="auto"/>
            <w:right w:val="none" w:sz="0" w:space="0" w:color="auto"/>
          </w:divBdr>
          <w:divsChild>
            <w:div w:id="16229537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50519212">
      <w:marLeft w:val="0"/>
      <w:marRight w:val="0"/>
      <w:marTop w:val="0"/>
      <w:marBottom w:val="120"/>
      <w:divBdr>
        <w:top w:val="none" w:sz="0" w:space="0" w:color="auto"/>
        <w:left w:val="none" w:sz="0" w:space="0" w:color="auto"/>
        <w:bottom w:val="none" w:sz="0" w:space="0" w:color="auto"/>
        <w:right w:val="none" w:sz="0" w:space="0" w:color="auto"/>
      </w:divBdr>
    </w:div>
    <w:div w:id="451020593">
      <w:marLeft w:val="0"/>
      <w:marRight w:val="0"/>
      <w:marTop w:val="0"/>
      <w:marBottom w:val="120"/>
      <w:divBdr>
        <w:top w:val="none" w:sz="0" w:space="0" w:color="auto"/>
        <w:left w:val="none" w:sz="0" w:space="0" w:color="auto"/>
        <w:bottom w:val="none" w:sz="0" w:space="0" w:color="auto"/>
        <w:right w:val="none" w:sz="0" w:space="0" w:color="auto"/>
      </w:divBdr>
    </w:div>
    <w:div w:id="452136100">
      <w:marLeft w:val="0"/>
      <w:marRight w:val="0"/>
      <w:marTop w:val="0"/>
      <w:marBottom w:val="120"/>
      <w:divBdr>
        <w:top w:val="none" w:sz="0" w:space="0" w:color="auto"/>
        <w:left w:val="none" w:sz="0" w:space="0" w:color="auto"/>
        <w:bottom w:val="none" w:sz="0" w:space="0" w:color="auto"/>
        <w:right w:val="none" w:sz="0" w:space="0" w:color="auto"/>
      </w:divBdr>
    </w:div>
    <w:div w:id="456994398">
      <w:marLeft w:val="0"/>
      <w:marRight w:val="0"/>
      <w:marTop w:val="0"/>
      <w:marBottom w:val="120"/>
      <w:divBdr>
        <w:top w:val="none" w:sz="0" w:space="0" w:color="auto"/>
        <w:left w:val="none" w:sz="0" w:space="0" w:color="auto"/>
        <w:bottom w:val="none" w:sz="0" w:space="0" w:color="auto"/>
        <w:right w:val="none" w:sz="0" w:space="0" w:color="auto"/>
      </w:divBdr>
    </w:div>
    <w:div w:id="459232238">
      <w:marLeft w:val="0"/>
      <w:marRight w:val="0"/>
      <w:marTop w:val="0"/>
      <w:marBottom w:val="120"/>
      <w:divBdr>
        <w:top w:val="none" w:sz="0" w:space="0" w:color="auto"/>
        <w:left w:val="none" w:sz="0" w:space="0" w:color="auto"/>
        <w:bottom w:val="none" w:sz="0" w:space="0" w:color="auto"/>
        <w:right w:val="none" w:sz="0" w:space="0" w:color="auto"/>
      </w:divBdr>
    </w:div>
    <w:div w:id="460535851">
      <w:marLeft w:val="0"/>
      <w:marRight w:val="0"/>
      <w:marTop w:val="0"/>
      <w:marBottom w:val="120"/>
      <w:divBdr>
        <w:top w:val="none" w:sz="0" w:space="0" w:color="auto"/>
        <w:left w:val="none" w:sz="0" w:space="0" w:color="auto"/>
        <w:bottom w:val="none" w:sz="0" w:space="0" w:color="auto"/>
        <w:right w:val="none" w:sz="0" w:space="0" w:color="auto"/>
      </w:divBdr>
    </w:div>
    <w:div w:id="466513607">
      <w:marLeft w:val="0"/>
      <w:marRight w:val="0"/>
      <w:marTop w:val="0"/>
      <w:marBottom w:val="120"/>
      <w:divBdr>
        <w:top w:val="none" w:sz="0" w:space="0" w:color="auto"/>
        <w:left w:val="none" w:sz="0" w:space="0" w:color="auto"/>
        <w:bottom w:val="none" w:sz="0" w:space="0" w:color="auto"/>
        <w:right w:val="none" w:sz="0" w:space="0" w:color="auto"/>
      </w:divBdr>
    </w:div>
    <w:div w:id="469634920">
      <w:marLeft w:val="0"/>
      <w:marRight w:val="0"/>
      <w:marTop w:val="0"/>
      <w:marBottom w:val="120"/>
      <w:divBdr>
        <w:top w:val="none" w:sz="0" w:space="0" w:color="auto"/>
        <w:left w:val="none" w:sz="0" w:space="0" w:color="auto"/>
        <w:bottom w:val="none" w:sz="0" w:space="0" w:color="auto"/>
        <w:right w:val="none" w:sz="0" w:space="0" w:color="auto"/>
      </w:divBdr>
    </w:div>
    <w:div w:id="470830205">
      <w:marLeft w:val="0"/>
      <w:marRight w:val="0"/>
      <w:marTop w:val="0"/>
      <w:marBottom w:val="0"/>
      <w:divBdr>
        <w:top w:val="none" w:sz="0" w:space="0" w:color="auto"/>
        <w:left w:val="none" w:sz="0" w:space="0" w:color="auto"/>
        <w:bottom w:val="none" w:sz="0" w:space="0" w:color="auto"/>
        <w:right w:val="none" w:sz="0" w:space="0" w:color="auto"/>
      </w:divBdr>
      <w:divsChild>
        <w:div w:id="1537038343">
          <w:marLeft w:val="0"/>
          <w:marRight w:val="0"/>
          <w:marTop w:val="0"/>
          <w:marBottom w:val="120"/>
          <w:divBdr>
            <w:top w:val="none" w:sz="0" w:space="0" w:color="auto"/>
            <w:left w:val="none" w:sz="0" w:space="0" w:color="auto"/>
            <w:bottom w:val="none" w:sz="0" w:space="0" w:color="auto"/>
            <w:right w:val="none" w:sz="0" w:space="0" w:color="auto"/>
          </w:divBdr>
        </w:div>
      </w:divsChild>
    </w:div>
    <w:div w:id="474301567">
      <w:marLeft w:val="0"/>
      <w:marRight w:val="0"/>
      <w:marTop w:val="0"/>
      <w:marBottom w:val="120"/>
      <w:divBdr>
        <w:top w:val="none" w:sz="0" w:space="0" w:color="auto"/>
        <w:left w:val="none" w:sz="0" w:space="0" w:color="auto"/>
        <w:bottom w:val="none" w:sz="0" w:space="0" w:color="auto"/>
        <w:right w:val="none" w:sz="0" w:space="0" w:color="auto"/>
      </w:divBdr>
    </w:div>
    <w:div w:id="478158204">
      <w:marLeft w:val="0"/>
      <w:marRight w:val="0"/>
      <w:marTop w:val="0"/>
      <w:marBottom w:val="120"/>
      <w:divBdr>
        <w:top w:val="none" w:sz="0" w:space="0" w:color="auto"/>
        <w:left w:val="none" w:sz="0" w:space="0" w:color="auto"/>
        <w:bottom w:val="none" w:sz="0" w:space="0" w:color="auto"/>
        <w:right w:val="none" w:sz="0" w:space="0" w:color="auto"/>
      </w:divBdr>
    </w:div>
    <w:div w:id="483400859">
      <w:marLeft w:val="0"/>
      <w:marRight w:val="0"/>
      <w:marTop w:val="0"/>
      <w:marBottom w:val="120"/>
      <w:divBdr>
        <w:top w:val="none" w:sz="0" w:space="0" w:color="auto"/>
        <w:left w:val="none" w:sz="0" w:space="0" w:color="auto"/>
        <w:bottom w:val="none" w:sz="0" w:space="0" w:color="auto"/>
        <w:right w:val="none" w:sz="0" w:space="0" w:color="auto"/>
      </w:divBdr>
    </w:div>
    <w:div w:id="483622248">
      <w:marLeft w:val="0"/>
      <w:marRight w:val="0"/>
      <w:marTop w:val="240"/>
      <w:marBottom w:val="0"/>
      <w:divBdr>
        <w:top w:val="none" w:sz="0" w:space="0" w:color="auto"/>
        <w:left w:val="none" w:sz="0" w:space="0" w:color="auto"/>
        <w:bottom w:val="none" w:sz="0" w:space="0" w:color="auto"/>
        <w:right w:val="none" w:sz="0" w:space="0" w:color="auto"/>
      </w:divBdr>
    </w:div>
    <w:div w:id="485246802">
      <w:marLeft w:val="0"/>
      <w:marRight w:val="0"/>
      <w:marTop w:val="0"/>
      <w:marBottom w:val="120"/>
      <w:divBdr>
        <w:top w:val="none" w:sz="0" w:space="0" w:color="auto"/>
        <w:left w:val="none" w:sz="0" w:space="0" w:color="auto"/>
        <w:bottom w:val="none" w:sz="0" w:space="0" w:color="auto"/>
        <w:right w:val="none" w:sz="0" w:space="0" w:color="auto"/>
      </w:divBdr>
    </w:div>
    <w:div w:id="486942379">
      <w:marLeft w:val="0"/>
      <w:marRight w:val="0"/>
      <w:marTop w:val="240"/>
      <w:marBottom w:val="0"/>
      <w:divBdr>
        <w:top w:val="none" w:sz="0" w:space="0" w:color="auto"/>
        <w:left w:val="none" w:sz="0" w:space="0" w:color="auto"/>
        <w:bottom w:val="none" w:sz="0" w:space="0" w:color="auto"/>
        <w:right w:val="none" w:sz="0" w:space="0" w:color="auto"/>
      </w:divBdr>
    </w:div>
    <w:div w:id="490760755">
      <w:marLeft w:val="0"/>
      <w:marRight w:val="0"/>
      <w:marTop w:val="240"/>
      <w:marBottom w:val="240"/>
      <w:divBdr>
        <w:top w:val="none" w:sz="0" w:space="0" w:color="auto"/>
        <w:left w:val="none" w:sz="0" w:space="0" w:color="auto"/>
        <w:bottom w:val="none" w:sz="0" w:space="0" w:color="auto"/>
        <w:right w:val="none" w:sz="0" w:space="0" w:color="auto"/>
      </w:divBdr>
    </w:div>
    <w:div w:id="498277601">
      <w:marLeft w:val="0"/>
      <w:marRight w:val="0"/>
      <w:marTop w:val="0"/>
      <w:marBottom w:val="0"/>
      <w:divBdr>
        <w:top w:val="none" w:sz="0" w:space="0" w:color="auto"/>
        <w:left w:val="none" w:sz="0" w:space="0" w:color="auto"/>
        <w:bottom w:val="none" w:sz="0" w:space="0" w:color="auto"/>
        <w:right w:val="none" w:sz="0" w:space="0" w:color="auto"/>
      </w:divBdr>
      <w:divsChild>
        <w:div w:id="1744527828">
          <w:marLeft w:val="0"/>
          <w:marRight w:val="0"/>
          <w:marTop w:val="0"/>
          <w:marBottom w:val="0"/>
          <w:divBdr>
            <w:top w:val="none" w:sz="0" w:space="0" w:color="auto"/>
            <w:left w:val="none" w:sz="0" w:space="0" w:color="auto"/>
            <w:bottom w:val="none" w:sz="0" w:space="0" w:color="auto"/>
            <w:right w:val="none" w:sz="0" w:space="0" w:color="auto"/>
          </w:divBdr>
          <w:divsChild>
            <w:div w:id="4635448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98429132">
      <w:marLeft w:val="0"/>
      <w:marRight w:val="0"/>
      <w:marTop w:val="0"/>
      <w:marBottom w:val="120"/>
      <w:divBdr>
        <w:top w:val="none" w:sz="0" w:space="0" w:color="auto"/>
        <w:left w:val="none" w:sz="0" w:space="0" w:color="auto"/>
        <w:bottom w:val="none" w:sz="0" w:space="0" w:color="auto"/>
        <w:right w:val="none" w:sz="0" w:space="0" w:color="auto"/>
      </w:divBdr>
    </w:div>
    <w:div w:id="499541404">
      <w:marLeft w:val="0"/>
      <w:marRight w:val="0"/>
      <w:marTop w:val="0"/>
      <w:marBottom w:val="120"/>
      <w:divBdr>
        <w:top w:val="none" w:sz="0" w:space="0" w:color="auto"/>
        <w:left w:val="none" w:sz="0" w:space="0" w:color="auto"/>
        <w:bottom w:val="none" w:sz="0" w:space="0" w:color="auto"/>
        <w:right w:val="none" w:sz="0" w:space="0" w:color="auto"/>
      </w:divBdr>
    </w:div>
    <w:div w:id="500320485">
      <w:marLeft w:val="0"/>
      <w:marRight w:val="0"/>
      <w:marTop w:val="240"/>
      <w:marBottom w:val="0"/>
      <w:divBdr>
        <w:top w:val="none" w:sz="0" w:space="0" w:color="auto"/>
        <w:left w:val="none" w:sz="0" w:space="0" w:color="auto"/>
        <w:bottom w:val="none" w:sz="0" w:space="0" w:color="auto"/>
        <w:right w:val="none" w:sz="0" w:space="0" w:color="auto"/>
      </w:divBdr>
    </w:div>
    <w:div w:id="503011278">
      <w:marLeft w:val="0"/>
      <w:marRight w:val="0"/>
      <w:marTop w:val="0"/>
      <w:marBottom w:val="120"/>
      <w:divBdr>
        <w:top w:val="none" w:sz="0" w:space="0" w:color="auto"/>
        <w:left w:val="none" w:sz="0" w:space="0" w:color="auto"/>
        <w:bottom w:val="none" w:sz="0" w:space="0" w:color="auto"/>
        <w:right w:val="none" w:sz="0" w:space="0" w:color="auto"/>
      </w:divBdr>
    </w:div>
    <w:div w:id="503322901">
      <w:marLeft w:val="0"/>
      <w:marRight w:val="0"/>
      <w:marTop w:val="0"/>
      <w:marBottom w:val="120"/>
      <w:divBdr>
        <w:top w:val="none" w:sz="0" w:space="0" w:color="auto"/>
        <w:left w:val="none" w:sz="0" w:space="0" w:color="auto"/>
        <w:bottom w:val="none" w:sz="0" w:space="0" w:color="auto"/>
        <w:right w:val="none" w:sz="0" w:space="0" w:color="auto"/>
      </w:divBdr>
    </w:div>
    <w:div w:id="504635980">
      <w:marLeft w:val="0"/>
      <w:marRight w:val="0"/>
      <w:marTop w:val="0"/>
      <w:marBottom w:val="120"/>
      <w:divBdr>
        <w:top w:val="none" w:sz="0" w:space="0" w:color="auto"/>
        <w:left w:val="none" w:sz="0" w:space="0" w:color="auto"/>
        <w:bottom w:val="none" w:sz="0" w:space="0" w:color="auto"/>
        <w:right w:val="none" w:sz="0" w:space="0" w:color="auto"/>
      </w:divBdr>
    </w:div>
    <w:div w:id="505825604">
      <w:marLeft w:val="0"/>
      <w:marRight w:val="0"/>
      <w:marTop w:val="0"/>
      <w:marBottom w:val="120"/>
      <w:divBdr>
        <w:top w:val="none" w:sz="0" w:space="0" w:color="auto"/>
        <w:left w:val="none" w:sz="0" w:space="0" w:color="auto"/>
        <w:bottom w:val="none" w:sz="0" w:space="0" w:color="auto"/>
        <w:right w:val="none" w:sz="0" w:space="0" w:color="auto"/>
      </w:divBdr>
    </w:div>
    <w:div w:id="507449805">
      <w:marLeft w:val="0"/>
      <w:marRight w:val="0"/>
      <w:marTop w:val="0"/>
      <w:marBottom w:val="120"/>
      <w:divBdr>
        <w:top w:val="none" w:sz="0" w:space="0" w:color="auto"/>
        <w:left w:val="none" w:sz="0" w:space="0" w:color="auto"/>
        <w:bottom w:val="none" w:sz="0" w:space="0" w:color="auto"/>
        <w:right w:val="none" w:sz="0" w:space="0" w:color="auto"/>
      </w:divBdr>
    </w:div>
    <w:div w:id="508565356">
      <w:marLeft w:val="0"/>
      <w:marRight w:val="0"/>
      <w:marTop w:val="0"/>
      <w:marBottom w:val="120"/>
      <w:divBdr>
        <w:top w:val="none" w:sz="0" w:space="0" w:color="auto"/>
        <w:left w:val="none" w:sz="0" w:space="0" w:color="auto"/>
        <w:bottom w:val="none" w:sz="0" w:space="0" w:color="auto"/>
        <w:right w:val="none" w:sz="0" w:space="0" w:color="auto"/>
      </w:divBdr>
    </w:div>
    <w:div w:id="508569371">
      <w:marLeft w:val="0"/>
      <w:marRight w:val="0"/>
      <w:marTop w:val="0"/>
      <w:marBottom w:val="120"/>
      <w:divBdr>
        <w:top w:val="none" w:sz="0" w:space="0" w:color="auto"/>
        <w:left w:val="none" w:sz="0" w:space="0" w:color="auto"/>
        <w:bottom w:val="none" w:sz="0" w:space="0" w:color="auto"/>
        <w:right w:val="none" w:sz="0" w:space="0" w:color="auto"/>
      </w:divBdr>
    </w:div>
    <w:div w:id="509566093">
      <w:marLeft w:val="0"/>
      <w:marRight w:val="0"/>
      <w:marTop w:val="0"/>
      <w:marBottom w:val="120"/>
      <w:divBdr>
        <w:top w:val="none" w:sz="0" w:space="0" w:color="auto"/>
        <w:left w:val="none" w:sz="0" w:space="0" w:color="auto"/>
        <w:bottom w:val="none" w:sz="0" w:space="0" w:color="auto"/>
        <w:right w:val="none" w:sz="0" w:space="0" w:color="auto"/>
      </w:divBdr>
    </w:div>
    <w:div w:id="512382190">
      <w:marLeft w:val="0"/>
      <w:marRight w:val="0"/>
      <w:marTop w:val="0"/>
      <w:marBottom w:val="120"/>
      <w:divBdr>
        <w:top w:val="none" w:sz="0" w:space="0" w:color="auto"/>
        <w:left w:val="none" w:sz="0" w:space="0" w:color="auto"/>
        <w:bottom w:val="none" w:sz="0" w:space="0" w:color="auto"/>
        <w:right w:val="none" w:sz="0" w:space="0" w:color="auto"/>
      </w:divBdr>
    </w:div>
    <w:div w:id="512494979">
      <w:marLeft w:val="0"/>
      <w:marRight w:val="0"/>
      <w:marTop w:val="0"/>
      <w:marBottom w:val="0"/>
      <w:divBdr>
        <w:top w:val="none" w:sz="0" w:space="0" w:color="auto"/>
        <w:left w:val="none" w:sz="0" w:space="0" w:color="auto"/>
        <w:bottom w:val="none" w:sz="0" w:space="0" w:color="auto"/>
        <w:right w:val="none" w:sz="0" w:space="0" w:color="auto"/>
      </w:divBdr>
      <w:divsChild>
        <w:div w:id="756368630">
          <w:marLeft w:val="0"/>
          <w:marRight w:val="0"/>
          <w:marTop w:val="0"/>
          <w:marBottom w:val="0"/>
          <w:divBdr>
            <w:top w:val="none" w:sz="0" w:space="0" w:color="auto"/>
            <w:left w:val="none" w:sz="0" w:space="0" w:color="auto"/>
            <w:bottom w:val="none" w:sz="0" w:space="0" w:color="auto"/>
            <w:right w:val="none" w:sz="0" w:space="0" w:color="auto"/>
          </w:divBdr>
          <w:divsChild>
            <w:div w:id="3173436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15657315">
      <w:marLeft w:val="0"/>
      <w:marRight w:val="0"/>
      <w:marTop w:val="240"/>
      <w:marBottom w:val="0"/>
      <w:divBdr>
        <w:top w:val="none" w:sz="0" w:space="0" w:color="auto"/>
        <w:left w:val="none" w:sz="0" w:space="0" w:color="auto"/>
        <w:bottom w:val="none" w:sz="0" w:space="0" w:color="auto"/>
        <w:right w:val="none" w:sz="0" w:space="0" w:color="auto"/>
      </w:divBdr>
    </w:div>
    <w:div w:id="517157912">
      <w:marLeft w:val="0"/>
      <w:marRight w:val="0"/>
      <w:marTop w:val="0"/>
      <w:marBottom w:val="120"/>
      <w:divBdr>
        <w:top w:val="none" w:sz="0" w:space="0" w:color="auto"/>
        <w:left w:val="none" w:sz="0" w:space="0" w:color="auto"/>
        <w:bottom w:val="none" w:sz="0" w:space="0" w:color="auto"/>
        <w:right w:val="none" w:sz="0" w:space="0" w:color="auto"/>
      </w:divBdr>
    </w:div>
    <w:div w:id="518544680">
      <w:marLeft w:val="0"/>
      <w:marRight w:val="0"/>
      <w:marTop w:val="0"/>
      <w:marBottom w:val="120"/>
      <w:divBdr>
        <w:top w:val="none" w:sz="0" w:space="0" w:color="auto"/>
        <w:left w:val="none" w:sz="0" w:space="0" w:color="auto"/>
        <w:bottom w:val="none" w:sz="0" w:space="0" w:color="auto"/>
        <w:right w:val="none" w:sz="0" w:space="0" w:color="auto"/>
      </w:divBdr>
    </w:div>
    <w:div w:id="519049359">
      <w:marLeft w:val="0"/>
      <w:marRight w:val="0"/>
      <w:marTop w:val="0"/>
      <w:marBottom w:val="120"/>
      <w:divBdr>
        <w:top w:val="none" w:sz="0" w:space="0" w:color="auto"/>
        <w:left w:val="none" w:sz="0" w:space="0" w:color="auto"/>
        <w:bottom w:val="none" w:sz="0" w:space="0" w:color="auto"/>
        <w:right w:val="none" w:sz="0" w:space="0" w:color="auto"/>
      </w:divBdr>
    </w:div>
    <w:div w:id="519508305">
      <w:marLeft w:val="0"/>
      <w:marRight w:val="0"/>
      <w:marTop w:val="0"/>
      <w:marBottom w:val="120"/>
      <w:divBdr>
        <w:top w:val="none" w:sz="0" w:space="0" w:color="auto"/>
        <w:left w:val="none" w:sz="0" w:space="0" w:color="auto"/>
        <w:bottom w:val="none" w:sz="0" w:space="0" w:color="auto"/>
        <w:right w:val="none" w:sz="0" w:space="0" w:color="auto"/>
      </w:divBdr>
    </w:div>
    <w:div w:id="521284370">
      <w:marLeft w:val="0"/>
      <w:marRight w:val="0"/>
      <w:marTop w:val="0"/>
      <w:marBottom w:val="120"/>
      <w:divBdr>
        <w:top w:val="none" w:sz="0" w:space="0" w:color="auto"/>
        <w:left w:val="none" w:sz="0" w:space="0" w:color="auto"/>
        <w:bottom w:val="none" w:sz="0" w:space="0" w:color="auto"/>
        <w:right w:val="none" w:sz="0" w:space="0" w:color="auto"/>
      </w:divBdr>
      <w:divsChild>
        <w:div w:id="2146193483">
          <w:marLeft w:val="0"/>
          <w:marRight w:val="0"/>
          <w:marTop w:val="0"/>
          <w:marBottom w:val="0"/>
          <w:divBdr>
            <w:top w:val="none" w:sz="0" w:space="0" w:color="auto"/>
            <w:left w:val="none" w:sz="0" w:space="0" w:color="auto"/>
            <w:bottom w:val="none" w:sz="0" w:space="0" w:color="auto"/>
            <w:right w:val="none" w:sz="0" w:space="0" w:color="auto"/>
          </w:divBdr>
        </w:div>
      </w:divsChild>
    </w:div>
    <w:div w:id="521938909">
      <w:marLeft w:val="0"/>
      <w:marRight w:val="0"/>
      <w:marTop w:val="0"/>
      <w:marBottom w:val="120"/>
      <w:divBdr>
        <w:top w:val="none" w:sz="0" w:space="0" w:color="auto"/>
        <w:left w:val="none" w:sz="0" w:space="0" w:color="auto"/>
        <w:bottom w:val="none" w:sz="0" w:space="0" w:color="auto"/>
        <w:right w:val="none" w:sz="0" w:space="0" w:color="auto"/>
      </w:divBdr>
    </w:div>
    <w:div w:id="522481510">
      <w:marLeft w:val="0"/>
      <w:marRight w:val="0"/>
      <w:marTop w:val="0"/>
      <w:marBottom w:val="0"/>
      <w:divBdr>
        <w:top w:val="none" w:sz="0" w:space="0" w:color="auto"/>
        <w:left w:val="none" w:sz="0" w:space="0" w:color="auto"/>
        <w:bottom w:val="none" w:sz="0" w:space="0" w:color="auto"/>
        <w:right w:val="none" w:sz="0" w:space="0" w:color="auto"/>
      </w:divBdr>
      <w:divsChild>
        <w:div w:id="1250695117">
          <w:marLeft w:val="0"/>
          <w:marRight w:val="0"/>
          <w:marTop w:val="0"/>
          <w:marBottom w:val="120"/>
          <w:divBdr>
            <w:top w:val="none" w:sz="0" w:space="0" w:color="auto"/>
            <w:left w:val="none" w:sz="0" w:space="0" w:color="auto"/>
            <w:bottom w:val="none" w:sz="0" w:space="0" w:color="auto"/>
            <w:right w:val="none" w:sz="0" w:space="0" w:color="auto"/>
          </w:divBdr>
        </w:div>
      </w:divsChild>
    </w:div>
    <w:div w:id="527178850">
      <w:marLeft w:val="0"/>
      <w:marRight w:val="0"/>
      <w:marTop w:val="0"/>
      <w:marBottom w:val="120"/>
      <w:divBdr>
        <w:top w:val="none" w:sz="0" w:space="0" w:color="auto"/>
        <w:left w:val="none" w:sz="0" w:space="0" w:color="auto"/>
        <w:bottom w:val="none" w:sz="0" w:space="0" w:color="auto"/>
        <w:right w:val="none" w:sz="0" w:space="0" w:color="auto"/>
      </w:divBdr>
    </w:div>
    <w:div w:id="528563443">
      <w:marLeft w:val="0"/>
      <w:marRight w:val="0"/>
      <w:marTop w:val="160"/>
      <w:marBottom w:val="60"/>
      <w:divBdr>
        <w:top w:val="none" w:sz="0" w:space="0" w:color="auto"/>
        <w:left w:val="none" w:sz="0" w:space="0" w:color="auto"/>
        <w:bottom w:val="none" w:sz="0" w:space="0" w:color="auto"/>
        <w:right w:val="none" w:sz="0" w:space="0" w:color="auto"/>
      </w:divBdr>
    </w:div>
    <w:div w:id="533613204">
      <w:marLeft w:val="0"/>
      <w:marRight w:val="0"/>
      <w:marTop w:val="240"/>
      <w:marBottom w:val="0"/>
      <w:divBdr>
        <w:top w:val="none" w:sz="0" w:space="0" w:color="auto"/>
        <w:left w:val="none" w:sz="0" w:space="0" w:color="auto"/>
        <w:bottom w:val="none" w:sz="0" w:space="0" w:color="auto"/>
        <w:right w:val="none" w:sz="0" w:space="0" w:color="auto"/>
      </w:divBdr>
    </w:div>
    <w:div w:id="535898440">
      <w:marLeft w:val="0"/>
      <w:marRight w:val="0"/>
      <w:marTop w:val="0"/>
      <w:marBottom w:val="0"/>
      <w:divBdr>
        <w:top w:val="none" w:sz="0" w:space="0" w:color="auto"/>
        <w:left w:val="none" w:sz="0" w:space="0" w:color="auto"/>
        <w:bottom w:val="none" w:sz="0" w:space="0" w:color="auto"/>
        <w:right w:val="none" w:sz="0" w:space="0" w:color="auto"/>
      </w:divBdr>
      <w:divsChild>
        <w:div w:id="1686638887">
          <w:marLeft w:val="0"/>
          <w:marRight w:val="0"/>
          <w:marTop w:val="0"/>
          <w:marBottom w:val="120"/>
          <w:divBdr>
            <w:top w:val="none" w:sz="0" w:space="0" w:color="auto"/>
            <w:left w:val="none" w:sz="0" w:space="0" w:color="auto"/>
            <w:bottom w:val="none" w:sz="0" w:space="0" w:color="auto"/>
            <w:right w:val="none" w:sz="0" w:space="0" w:color="auto"/>
          </w:divBdr>
        </w:div>
      </w:divsChild>
    </w:div>
    <w:div w:id="543174303">
      <w:marLeft w:val="0"/>
      <w:marRight w:val="0"/>
      <w:marTop w:val="0"/>
      <w:marBottom w:val="120"/>
      <w:divBdr>
        <w:top w:val="none" w:sz="0" w:space="0" w:color="auto"/>
        <w:left w:val="none" w:sz="0" w:space="0" w:color="auto"/>
        <w:bottom w:val="none" w:sz="0" w:space="0" w:color="auto"/>
        <w:right w:val="none" w:sz="0" w:space="0" w:color="auto"/>
      </w:divBdr>
    </w:div>
    <w:div w:id="547452413">
      <w:marLeft w:val="0"/>
      <w:marRight w:val="0"/>
      <w:marTop w:val="0"/>
      <w:marBottom w:val="120"/>
      <w:divBdr>
        <w:top w:val="none" w:sz="0" w:space="0" w:color="auto"/>
        <w:left w:val="none" w:sz="0" w:space="0" w:color="auto"/>
        <w:bottom w:val="none" w:sz="0" w:space="0" w:color="auto"/>
        <w:right w:val="none" w:sz="0" w:space="0" w:color="auto"/>
      </w:divBdr>
    </w:div>
    <w:div w:id="548106858">
      <w:marLeft w:val="0"/>
      <w:marRight w:val="0"/>
      <w:marTop w:val="0"/>
      <w:marBottom w:val="0"/>
      <w:divBdr>
        <w:top w:val="none" w:sz="0" w:space="0" w:color="auto"/>
        <w:left w:val="none" w:sz="0" w:space="0" w:color="auto"/>
        <w:bottom w:val="none" w:sz="0" w:space="0" w:color="auto"/>
        <w:right w:val="none" w:sz="0" w:space="0" w:color="auto"/>
      </w:divBdr>
      <w:divsChild>
        <w:div w:id="1528254427">
          <w:marLeft w:val="0"/>
          <w:marRight w:val="0"/>
          <w:marTop w:val="0"/>
          <w:marBottom w:val="120"/>
          <w:divBdr>
            <w:top w:val="none" w:sz="0" w:space="0" w:color="auto"/>
            <w:left w:val="none" w:sz="0" w:space="0" w:color="auto"/>
            <w:bottom w:val="none" w:sz="0" w:space="0" w:color="auto"/>
            <w:right w:val="none" w:sz="0" w:space="0" w:color="auto"/>
          </w:divBdr>
        </w:div>
      </w:divsChild>
    </w:div>
    <w:div w:id="549073443">
      <w:marLeft w:val="0"/>
      <w:marRight w:val="0"/>
      <w:marTop w:val="0"/>
      <w:marBottom w:val="0"/>
      <w:divBdr>
        <w:top w:val="none" w:sz="0" w:space="0" w:color="auto"/>
        <w:left w:val="none" w:sz="0" w:space="0" w:color="auto"/>
        <w:bottom w:val="none" w:sz="0" w:space="0" w:color="auto"/>
        <w:right w:val="none" w:sz="0" w:space="0" w:color="auto"/>
      </w:divBdr>
      <w:divsChild>
        <w:div w:id="1397629348">
          <w:marLeft w:val="0"/>
          <w:marRight w:val="0"/>
          <w:marTop w:val="0"/>
          <w:marBottom w:val="120"/>
          <w:divBdr>
            <w:top w:val="none" w:sz="0" w:space="0" w:color="auto"/>
            <w:left w:val="none" w:sz="0" w:space="0" w:color="auto"/>
            <w:bottom w:val="none" w:sz="0" w:space="0" w:color="auto"/>
            <w:right w:val="none" w:sz="0" w:space="0" w:color="auto"/>
          </w:divBdr>
        </w:div>
      </w:divsChild>
    </w:div>
    <w:div w:id="550851036">
      <w:marLeft w:val="0"/>
      <w:marRight w:val="0"/>
      <w:marTop w:val="0"/>
      <w:marBottom w:val="120"/>
      <w:divBdr>
        <w:top w:val="none" w:sz="0" w:space="0" w:color="auto"/>
        <w:left w:val="none" w:sz="0" w:space="0" w:color="auto"/>
        <w:bottom w:val="none" w:sz="0" w:space="0" w:color="auto"/>
        <w:right w:val="none" w:sz="0" w:space="0" w:color="auto"/>
      </w:divBdr>
    </w:div>
    <w:div w:id="555775260">
      <w:marLeft w:val="0"/>
      <w:marRight w:val="0"/>
      <w:marTop w:val="0"/>
      <w:marBottom w:val="0"/>
      <w:divBdr>
        <w:top w:val="none" w:sz="0" w:space="0" w:color="auto"/>
        <w:left w:val="none" w:sz="0" w:space="0" w:color="auto"/>
        <w:bottom w:val="none" w:sz="0" w:space="0" w:color="auto"/>
        <w:right w:val="none" w:sz="0" w:space="0" w:color="auto"/>
      </w:divBdr>
      <w:divsChild>
        <w:div w:id="1105462370">
          <w:marLeft w:val="0"/>
          <w:marRight w:val="0"/>
          <w:marTop w:val="0"/>
          <w:marBottom w:val="0"/>
          <w:divBdr>
            <w:top w:val="none" w:sz="0" w:space="0" w:color="auto"/>
            <w:left w:val="none" w:sz="0" w:space="0" w:color="auto"/>
            <w:bottom w:val="none" w:sz="0" w:space="0" w:color="auto"/>
            <w:right w:val="none" w:sz="0" w:space="0" w:color="auto"/>
          </w:divBdr>
          <w:divsChild>
            <w:div w:id="9552091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57129876">
      <w:marLeft w:val="0"/>
      <w:marRight w:val="0"/>
      <w:marTop w:val="0"/>
      <w:marBottom w:val="0"/>
      <w:divBdr>
        <w:top w:val="none" w:sz="0" w:space="0" w:color="auto"/>
        <w:left w:val="none" w:sz="0" w:space="0" w:color="auto"/>
        <w:bottom w:val="none" w:sz="0" w:space="0" w:color="auto"/>
        <w:right w:val="none" w:sz="0" w:space="0" w:color="auto"/>
      </w:divBdr>
      <w:divsChild>
        <w:div w:id="185604312">
          <w:marLeft w:val="0"/>
          <w:marRight w:val="0"/>
          <w:marTop w:val="0"/>
          <w:marBottom w:val="0"/>
          <w:divBdr>
            <w:top w:val="none" w:sz="0" w:space="0" w:color="auto"/>
            <w:left w:val="none" w:sz="0" w:space="0" w:color="auto"/>
            <w:bottom w:val="none" w:sz="0" w:space="0" w:color="auto"/>
            <w:right w:val="none" w:sz="0" w:space="0" w:color="auto"/>
          </w:divBdr>
          <w:divsChild>
            <w:div w:id="1610895603">
              <w:marLeft w:val="0"/>
              <w:marRight w:val="0"/>
              <w:marTop w:val="140"/>
              <w:marBottom w:val="120"/>
              <w:divBdr>
                <w:top w:val="none" w:sz="0" w:space="0" w:color="auto"/>
                <w:left w:val="none" w:sz="0" w:space="0" w:color="auto"/>
                <w:bottom w:val="none" w:sz="0" w:space="0" w:color="auto"/>
                <w:right w:val="none" w:sz="0" w:space="0" w:color="auto"/>
              </w:divBdr>
            </w:div>
            <w:div w:id="5320363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58130789">
      <w:marLeft w:val="0"/>
      <w:marRight w:val="0"/>
      <w:marTop w:val="240"/>
      <w:marBottom w:val="240"/>
      <w:divBdr>
        <w:top w:val="none" w:sz="0" w:space="0" w:color="auto"/>
        <w:left w:val="none" w:sz="0" w:space="0" w:color="auto"/>
        <w:bottom w:val="none" w:sz="0" w:space="0" w:color="auto"/>
        <w:right w:val="none" w:sz="0" w:space="0" w:color="auto"/>
      </w:divBdr>
    </w:div>
    <w:div w:id="559874431">
      <w:marLeft w:val="0"/>
      <w:marRight w:val="0"/>
      <w:marTop w:val="0"/>
      <w:marBottom w:val="120"/>
      <w:divBdr>
        <w:top w:val="none" w:sz="0" w:space="0" w:color="auto"/>
        <w:left w:val="none" w:sz="0" w:space="0" w:color="auto"/>
        <w:bottom w:val="none" w:sz="0" w:space="0" w:color="auto"/>
        <w:right w:val="none" w:sz="0" w:space="0" w:color="auto"/>
      </w:divBdr>
    </w:div>
    <w:div w:id="562176506">
      <w:marLeft w:val="0"/>
      <w:marRight w:val="0"/>
      <w:marTop w:val="0"/>
      <w:marBottom w:val="120"/>
      <w:divBdr>
        <w:top w:val="none" w:sz="0" w:space="0" w:color="auto"/>
        <w:left w:val="none" w:sz="0" w:space="0" w:color="auto"/>
        <w:bottom w:val="none" w:sz="0" w:space="0" w:color="auto"/>
        <w:right w:val="none" w:sz="0" w:space="0" w:color="auto"/>
      </w:divBdr>
    </w:div>
    <w:div w:id="562370981">
      <w:marLeft w:val="0"/>
      <w:marRight w:val="0"/>
      <w:marTop w:val="0"/>
      <w:marBottom w:val="0"/>
      <w:divBdr>
        <w:top w:val="none" w:sz="0" w:space="0" w:color="auto"/>
        <w:left w:val="none" w:sz="0" w:space="0" w:color="auto"/>
        <w:bottom w:val="none" w:sz="0" w:space="0" w:color="auto"/>
        <w:right w:val="none" w:sz="0" w:space="0" w:color="auto"/>
      </w:divBdr>
      <w:divsChild>
        <w:div w:id="400373925">
          <w:marLeft w:val="0"/>
          <w:marRight w:val="0"/>
          <w:marTop w:val="0"/>
          <w:marBottom w:val="0"/>
          <w:divBdr>
            <w:top w:val="none" w:sz="0" w:space="0" w:color="auto"/>
            <w:left w:val="none" w:sz="0" w:space="0" w:color="auto"/>
            <w:bottom w:val="none" w:sz="0" w:space="0" w:color="auto"/>
            <w:right w:val="none" w:sz="0" w:space="0" w:color="auto"/>
          </w:divBdr>
          <w:divsChild>
            <w:div w:id="9801863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62570785">
      <w:marLeft w:val="0"/>
      <w:marRight w:val="0"/>
      <w:marTop w:val="0"/>
      <w:marBottom w:val="240"/>
      <w:divBdr>
        <w:top w:val="none" w:sz="0" w:space="0" w:color="auto"/>
        <w:left w:val="none" w:sz="0" w:space="0" w:color="auto"/>
        <w:bottom w:val="none" w:sz="0" w:space="0" w:color="auto"/>
        <w:right w:val="none" w:sz="0" w:space="0" w:color="auto"/>
      </w:divBdr>
    </w:div>
    <w:div w:id="562832795">
      <w:marLeft w:val="0"/>
      <w:marRight w:val="0"/>
      <w:marTop w:val="0"/>
      <w:marBottom w:val="120"/>
      <w:divBdr>
        <w:top w:val="none" w:sz="0" w:space="0" w:color="auto"/>
        <w:left w:val="none" w:sz="0" w:space="0" w:color="auto"/>
        <w:bottom w:val="none" w:sz="0" w:space="0" w:color="auto"/>
        <w:right w:val="none" w:sz="0" w:space="0" w:color="auto"/>
      </w:divBdr>
    </w:div>
    <w:div w:id="563374746">
      <w:marLeft w:val="0"/>
      <w:marRight w:val="0"/>
      <w:marTop w:val="0"/>
      <w:marBottom w:val="120"/>
      <w:divBdr>
        <w:top w:val="none" w:sz="0" w:space="0" w:color="auto"/>
        <w:left w:val="none" w:sz="0" w:space="0" w:color="auto"/>
        <w:bottom w:val="none" w:sz="0" w:space="0" w:color="auto"/>
        <w:right w:val="none" w:sz="0" w:space="0" w:color="auto"/>
      </w:divBdr>
    </w:div>
    <w:div w:id="564099196">
      <w:marLeft w:val="0"/>
      <w:marRight w:val="0"/>
      <w:marTop w:val="240"/>
      <w:marBottom w:val="0"/>
      <w:divBdr>
        <w:top w:val="none" w:sz="0" w:space="0" w:color="auto"/>
        <w:left w:val="none" w:sz="0" w:space="0" w:color="auto"/>
        <w:bottom w:val="none" w:sz="0" w:space="0" w:color="auto"/>
        <w:right w:val="none" w:sz="0" w:space="0" w:color="auto"/>
      </w:divBdr>
    </w:div>
    <w:div w:id="566379525">
      <w:marLeft w:val="0"/>
      <w:marRight w:val="0"/>
      <w:marTop w:val="0"/>
      <w:marBottom w:val="240"/>
      <w:divBdr>
        <w:top w:val="none" w:sz="0" w:space="0" w:color="auto"/>
        <w:left w:val="none" w:sz="0" w:space="0" w:color="auto"/>
        <w:bottom w:val="none" w:sz="0" w:space="0" w:color="auto"/>
        <w:right w:val="none" w:sz="0" w:space="0" w:color="auto"/>
      </w:divBdr>
    </w:div>
    <w:div w:id="567305772">
      <w:marLeft w:val="0"/>
      <w:marRight w:val="0"/>
      <w:marTop w:val="0"/>
      <w:marBottom w:val="120"/>
      <w:divBdr>
        <w:top w:val="none" w:sz="0" w:space="0" w:color="auto"/>
        <w:left w:val="none" w:sz="0" w:space="0" w:color="auto"/>
        <w:bottom w:val="none" w:sz="0" w:space="0" w:color="auto"/>
        <w:right w:val="none" w:sz="0" w:space="0" w:color="auto"/>
      </w:divBdr>
    </w:div>
    <w:div w:id="569197369">
      <w:marLeft w:val="0"/>
      <w:marRight w:val="0"/>
      <w:marTop w:val="0"/>
      <w:marBottom w:val="0"/>
      <w:divBdr>
        <w:top w:val="none" w:sz="0" w:space="0" w:color="auto"/>
        <w:left w:val="none" w:sz="0" w:space="0" w:color="auto"/>
        <w:bottom w:val="none" w:sz="0" w:space="0" w:color="auto"/>
        <w:right w:val="none" w:sz="0" w:space="0" w:color="auto"/>
      </w:divBdr>
      <w:divsChild>
        <w:div w:id="2060087969">
          <w:marLeft w:val="0"/>
          <w:marRight w:val="0"/>
          <w:marTop w:val="0"/>
          <w:marBottom w:val="120"/>
          <w:divBdr>
            <w:top w:val="none" w:sz="0" w:space="0" w:color="auto"/>
            <w:left w:val="none" w:sz="0" w:space="0" w:color="auto"/>
            <w:bottom w:val="none" w:sz="0" w:space="0" w:color="auto"/>
            <w:right w:val="none" w:sz="0" w:space="0" w:color="auto"/>
          </w:divBdr>
        </w:div>
      </w:divsChild>
    </w:div>
    <w:div w:id="569654205">
      <w:marLeft w:val="0"/>
      <w:marRight w:val="0"/>
      <w:marTop w:val="0"/>
      <w:marBottom w:val="120"/>
      <w:divBdr>
        <w:top w:val="none" w:sz="0" w:space="0" w:color="auto"/>
        <w:left w:val="none" w:sz="0" w:space="0" w:color="auto"/>
        <w:bottom w:val="none" w:sz="0" w:space="0" w:color="auto"/>
        <w:right w:val="none" w:sz="0" w:space="0" w:color="auto"/>
      </w:divBdr>
    </w:div>
    <w:div w:id="569971576">
      <w:marLeft w:val="0"/>
      <w:marRight w:val="0"/>
      <w:marTop w:val="0"/>
      <w:marBottom w:val="120"/>
      <w:divBdr>
        <w:top w:val="none" w:sz="0" w:space="0" w:color="auto"/>
        <w:left w:val="none" w:sz="0" w:space="0" w:color="auto"/>
        <w:bottom w:val="none" w:sz="0" w:space="0" w:color="auto"/>
        <w:right w:val="none" w:sz="0" w:space="0" w:color="auto"/>
      </w:divBdr>
    </w:div>
    <w:div w:id="571505657">
      <w:marLeft w:val="0"/>
      <w:marRight w:val="0"/>
      <w:marTop w:val="0"/>
      <w:marBottom w:val="20"/>
      <w:divBdr>
        <w:top w:val="none" w:sz="0" w:space="0" w:color="auto"/>
        <w:left w:val="none" w:sz="0" w:space="0" w:color="auto"/>
        <w:bottom w:val="none" w:sz="0" w:space="0" w:color="auto"/>
        <w:right w:val="none" w:sz="0" w:space="0" w:color="auto"/>
      </w:divBdr>
    </w:div>
    <w:div w:id="571693859">
      <w:marLeft w:val="0"/>
      <w:marRight w:val="0"/>
      <w:marTop w:val="0"/>
      <w:marBottom w:val="0"/>
      <w:divBdr>
        <w:top w:val="none" w:sz="0" w:space="0" w:color="auto"/>
        <w:left w:val="none" w:sz="0" w:space="0" w:color="auto"/>
        <w:bottom w:val="none" w:sz="0" w:space="0" w:color="auto"/>
        <w:right w:val="none" w:sz="0" w:space="0" w:color="auto"/>
      </w:divBdr>
      <w:divsChild>
        <w:div w:id="202250256">
          <w:marLeft w:val="0"/>
          <w:marRight w:val="0"/>
          <w:marTop w:val="0"/>
          <w:marBottom w:val="120"/>
          <w:divBdr>
            <w:top w:val="none" w:sz="0" w:space="0" w:color="auto"/>
            <w:left w:val="none" w:sz="0" w:space="0" w:color="auto"/>
            <w:bottom w:val="none" w:sz="0" w:space="0" w:color="auto"/>
            <w:right w:val="none" w:sz="0" w:space="0" w:color="auto"/>
          </w:divBdr>
        </w:div>
      </w:divsChild>
    </w:div>
    <w:div w:id="572088639">
      <w:marLeft w:val="0"/>
      <w:marRight w:val="0"/>
      <w:marTop w:val="240"/>
      <w:marBottom w:val="0"/>
      <w:divBdr>
        <w:top w:val="none" w:sz="0" w:space="0" w:color="auto"/>
        <w:left w:val="none" w:sz="0" w:space="0" w:color="auto"/>
        <w:bottom w:val="none" w:sz="0" w:space="0" w:color="auto"/>
        <w:right w:val="none" w:sz="0" w:space="0" w:color="auto"/>
      </w:divBdr>
    </w:div>
    <w:div w:id="572929684">
      <w:marLeft w:val="0"/>
      <w:marRight w:val="0"/>
      <w:marTop w:val="0"/>
      <w:marBottom w:val="0"/>
      <w:divBdr>
        <w:top w:val="none" w:sz="0" w:space="0" w:color="auto"/>
        <w:left w:val="none" w:sz="0" w:space="0" w:color="auto"/>
        <w:bottom w:val="none" w:sz="0" w:space="0" w:color="auto"/>
        <w:right w:val="none" w:sz="0" w:space="0" w:color="auto"/>
      </w:divBdr>
      <w:divsChild>
        <w:div w:id="477188806">
          <w:marLeft w:val="0"/>
          <w:marRight w:val="0"/>
          <w:marTop w:val="0"/>
          <w:marBottom w:val="0"/>
          <w:divBdr>
            <w:top w:val="none" w:sz="0" w:space="0" w:color="auto"/>
            <w:left w:val="none" w:sz="0" w:space="0" w:color="auto"/>
            <w:bottom w:val="none" w:sz="0" w:space="0" w:color="auto"/>
            <w:right w:val="none" w:sz="0" w:space="0" w:color="auto"/>
          </w:divBdr>
          <w:divsChild>
            <w:div w:id="12957136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5477156">
      <w:marLeft w:val="0"/>
      <w:marRight w:val="0"/>
      <w:marTop w:val="0"/>
      <w:marBottom w:val="120"/>
      <w:divBdr>
        <w:top w:val="none" w:sz="0" w:space="0" w:color="auto"/>
        <w:left w:val="none" w:sz="0" w:space="0" w:color="auto"/>
        <w:bottom w:val="none" w:sz="0" w:space="0" w:color="auto"/>
        <w:right w:val="none" w:sz="0" w:space="0" w:color="auto"/>
      </w:divBdr>
    </w:div>
    <w:div w:id="575670536">
      <w:marLeft w:val="0"/>
      <w:marRight w:val="0"/>
      <w:marTop w:val="0"/>
      <w:marBottom w:val="120"/>
      <w:divBdr>
        <w:top w:val="none" w:sz="0" w:space="0" w:color="auto"/>
        <w:left w:val="none" w:sz="0" w:space="0" w:color="auto"/>
        <w:bottom w:val="none" w:sz="0" w:space="0" w:color="auto"/>
        <w:right w:val="none" w:sz="0" w:space="0" w:color="auto"/>
      </w:divBdr>
    </w:div>
    <w:div w:id="579292618">
      <w:marLeft w:val="0"/>
      <w:marRight w:val="0"/>
      <w:marTop w:val="0"/>
      <w:marBottom w:val="120"/>
      <w:divBdr>
        <w:top w:val="none" w:sz="0" w:space="0" w:color="auto"/>
        <w:left w:val="none" w:sz="0" w:space="0" w:color="auto"/>
        <w:bottom w:val="none" w:sz="0" w:space="0" w:color="auto"/>
        <w:right w:val="none" w:sz="0" w:space="0" w:color="auto"/>
      </w:divBdr>
    </w:div>
    <w:div w:id="581181272">
      <w:marLeft w:val="0"/>
      <w:marRight w:val="0"/>
      <w:marTop w:val="240"/>
      <w:marBottom w:val="0"/>
      <w:divBdr>
        <w:top w:val="none" w:sz="0" w:space="0" w:color="auto"/>
        <w:left w:val="none" w:sz="0" w:space="0" w:color="auto"/>
        <w:bottom w:val="none" w:sz="0" w:space="0" w:color="auto"/>
        <w:right w:val="none" w:sz="0" w:space="0" w:color="auto"/>
      </w:divBdr>
    </w:div>
    <w:div w:id="582228349">
      <w:marLeft w:val="0"/>
      <w:marRight w:val="0"/>
      <w:marTop w:val="240"/>
      <w:marBottom w:val="0"/>
      <w:divBdr>
        <w:top w:val="none" w:sz="0" w:space="0" w:color="auto"/>
        <w:left w:val="none" w:sz="0" w:space="0" w:color="auto"/>
        <w:bottom w:val="none" w:sz="0" w:space="0" w:color="auto"/>
        <w:right w:val="none" w:sz="0" w:space="0" w:color="auto"/>
      </w:divBdr>
    </w:div>
    <w:div w:id="584147367">
      <w:marLeft w:val="0"/>
      <w:marRight w:val="0"/>
      <w:marTop w:val="0"/>
      <w:marBottom w:val="120"/>
      <w:divBdr>
        <w:top w:val="none" w:sz="0" w:space="0" w:color="auto"/>
        <w:left w:val="none" w:sz="0" w:space="0" w:color="auto"/>
        <w:bottom w:val="none" w:sz="0" w:space="0" w:color="auto"/>
        <w:right w:val="none" w:sz="0" w:space="0" w:color="auto"/>
      </w:divBdr>
    </w:div>
    <w:div w:id="584606675">
      <w:marLeft w:val="0"/>
      <w:marRight w:val="0"/>
      <w:marTop w:val="0"/>
      <w:marBottom w:val="120"/>
      <w:divBdr>
        <w:top w:val="none" w:sz="0" w:space="0" w:color="auto"/>
        <w:left w:val="none" w:sz="0" w:space="0" w:color="auto"/>
        <w:bottom w:val="none" w:sz="0" w:space="0" w:color="auto"/>
        <w:right w:val="none" w:sz="0" w:space="0" w:color="auto"/>
      </w:divBdr>
    </w:div>
    <w:div w:id="588194190">
      <w:marLeft w:val="0"/>
      <w:marRight w:val="0"/>
      <w:marTop w:val="0"/>
      <w:marBottom w:val="20"/>
      <w:divBdr>
        <w:top w:val="none" w:sz="0" w:space="0" w:color="auto"/>
        <w:left w:val="none" w:sz="0" w:space="0" w:color="auto"/>
        <w:bottom w:val="none" w:sz="0" w:space="0" w:color="auto"/>
        <w:right w:val="none" w:sz="0" w:space="0" w:color="auto"/>
      </w:divBdr>
    </w:div>
    <w:div w:id="589313550">
      <w:marLeft w:val="0"/>
      <w:marRight w:val="0"/>
      <w:marTop w:val="0"/>
      <w:marBottom w:val="120"/>
      <w:divBdr>
        <w:top w:val="none" w:sz="0" w:space="0" w:color="auto"/>
        <w:left w:val="none" w:sz="0" w:space="0" w:color="auto"/>
        <w:bottom w:val="none" w:sz="0" w:space="0" w:color="auto"/>
        <w:right w:val="none" w:sz="0" w:space="0" w:color="auto"/>
      </w:divBdr>
    </w:div>
    <w:div w:id="593515019">
      <w:marLeft w:val="0"/>
      <w:marRight w:val="0"/>
      <w:marTop w:val="0"/>
      <w:marBottom w:val="120"/>
      <w:divBdr>
        <w:top w:val="none" w:sz="0" w:space="0" w:color="auto"/>
        <w:left w:val="none" w:sz="0" w:space="0" w:color="auto"/>
        <w:bottom w:val="none" w:sz="0" w:space="0" w:color="auto"/>
        <w:right w:val="none" w:sz="0" w:space="0" w:color="auto"/>
      </w:divBdr>
    </w:div>
    <w:div w:id="593632163">
      <w:marLeft w:val="0"/>
      <w:marRight w:val="0"/>
      <w:marTop w:val="0"/>
      <w:marBottom w:val="120"/>
      <w:divBdr>
        <w:top w:val="none" w:sz="0" w:space="0" w:color="auto"/>
        <w:left w:val="none" w:sz="0" w:space="0" w:color="auto"/>
        <w:bottom w:val="none" w:sz="0" w:space="0" w:color="auto"/>
        <w:right w:val="none" w:sz="0" w:space="0" w:color="auto"/>
      </w:divBdr>
    </w:div>
    <w:div w:id="595601824">
      <w:marLeft w:val="0"/>
      <w:marRight w:val="0"/>
      <w:marTop w:val="240"/>
      <w:marBottom w:val="0"/>
      <w:divBdr>
        <w:top w:val="none" w:sz="0" w:space="0" w:color="auto"/>
        <w:left w:val="none" w:sz="0" w:space="0" w:color="auto"/>
        <w:bottom w:val="none" w:sz="0" w:space="0" w:color="auto"/>
        <w:right w:val="none" w:sz="0" w:space="0" w:color="auto"/>
      </w:divBdr>
    </w:div>
    <w:div w:id="597179675">
      <w:marLeft w:val="0"/>
      <w:marRight w:val="0"/>
      <w:marTop w:val="0"/>
      <w:marBottom w:val="120"/>
      <w:divBdr>
        <w:top w:val="none" w:sz="0" w:space="0" w:color="auto"/>
        <w:left w:val="none" w:sz="0" w:space="0" w:color="auto"/>
        <w:bottom w:val="none" w:sz="0" w:space="0" w:color="auto"/>
        <w:right w:val="none" w:sz="0" w:space="0" w:color="auto"/>
      </w:divBdr>
    </w:div>
    <w:div w:id="597566512">
      <w:marLeft w:val="0"/>
      <w:marRight w:val="0"/>
      <w:marTop w:val="0"/>
      <w:marBottom w:val="120"/>
      <w:divBdr>
        <w:top w:val="none" w:sz="0" w:space="0" w:color="auto"/>
        <w:left w:val="none" w:sz="0" w:space="0" w:color="auto"/>
        <w:bottom w:val="none" w:sz="0" w:space="0" w:color="auto"/>
        <w:right w:val="none" w:sz="0" w:space="0" w:color="auto"/>
      </w:divBdr>
    </w:div>
    <w:div w:id="599408914">
      <w:marLeft w:val="0"/>
      <w:marRight w:val="0"/>
      <w:marTop w:val="0"/>
      <w:marBottom w:val="0"/>
      <w:divBdr>
        <w:top w:val="none" w:sz="0" w:space="0" w:color="auto"/>
        <w:left w:val="none" w:sz="0" w:space="0" w:color="auto"/>
        <w:bottom w:val="none" w:sz="0" w:space="0" w:color="auto"/>
        <w:right w:val="none" w:sz="0" w:space="0" w:color="auto"/>
      </w:divBdr>
      <w:divsChild>
        <w:div w:id="2107264200">
          <w:marLeft w:val="0"/>
          <w:marRight w:val="0"/>
          <w:marTop w:val="0"/>
          <w:marBottom w:val="120"/>
          <w:divBdr>
            <w:top w:val="none" w:sz="0" w:space="0" w:color="auto"/>
            <w:left w:val="none" w:sz="0" w:space="0" w:color="auto"/>
            <w:bottom w:val="none" w:sz="0" w:space="0" w:color="auto"/>
            <w:right w:val="none" w:sz="0" w:space="0" w:color="auto"/>
          </w:divBdr>
        </w:div>
      </w:divsChild>
    </w:div>
    <w:div w:id="603418779">
      <w:marLeft w:val="0"/>
      <w:marRight w:val="0"/>
      <w:marTop w:val="0"/>
      <w:marBottom w:val="120"/>
      <w:divBdr>
        <w:top w:val="none" w:sz="0" w:space="0" w:color="auto"/>
        <w:left w:val="none" w:sz="0" w:space="0" w:color="auto"/>
        <w:bottom w:val="none" w:sz="0" w:space="0" w:color="auto"/>
        <w:right w:val="none" w:sz="0" w:space="0" w:color="auto"/>
      </w:divBdr>
    </w:div>
    <w:div w:id="604312180">
      <w:marLeft w:val="0"/>
      <w:marRight w:val="0"/>
      <w:marTop w:val="0"/>
      <w:marBottom w:val="120"/>
      <w:divBdr>
        <w:top w:val="none" w:sz="0" w:space="0" w:color="auto"/>
        <w:left w:val="none" w:sz="0" w:space="0" w:color="auto"/>
        <w:bottom w:val="none" w:sz="0" w:space="0" w:color="auto"/>
        <w:right w:val="none" w:sz="0" w:space="0" w:color="auto"/>
      </w:divBdr>
      <w:divsChild>
        <w:div w:id="152180789">
          <w:marLeft w:val="0"/>
          <w:marRight w:val="0"/>
          <w:marTop w:val="0"/>
          <w:marBottom w:val="0"/>
          <w:divBdr>
            <w:top w:val="none" w:sz="0" w:space="0" w:color="auto"/>
            <w:left w:val="none" w:sz="0" w:space="0" w:color="auto"/>
            <w:bottom w:val="none" w:sz="0" w:space="0" w:color="auto"/>
            <w:right w:val="none" w:sz="0" w:space="0" w:color="auto"/>
          </w:divBdr>
        </w:div>
        <w:div w:id="654142933">
          <w:marLeft w:val="0"/>
          <w:marRight w:val="0"/>
          <w:marTop w:val="0"/>
          <w:marBottom w:val="0"/>
          <w:divBdr>
            <w:top w:val="none" w:sz="0" w:space="0" w:color="auto"/>
            <w:left w:val="none" w:sz="0" w:space="0" w:color="auto"/>
            <w:bottom w:val="none" w:sz="0" w:space="0" w:color="auto"/>
            <w:right w:val="none" w:sz="0" w:space="0" w:color="auto"/>
          </w:divBdr>
        </w:div>
        <w:div w:id="767778951">
          <w:marLeft w:val="0"/>
          <w:marRight w:val="0"/>
          <w:marTop w:val="0"/>
          <w:marBottom w:val="0"/>
          <w:divBdr>
            <w:top w:val="none" w:sz="0" w:space="0" w:color="auto"/>
            <w:left w:val="none" w:sz="0" w:space="0" w:color="auto"/>
            <w:bottom w:val="none" w:sz="0" w:space="0" w:color="auto"/>
            <w:right w:val="none" w:sz="0" w:space="0" w:color="auto"/>
          </w:divBdr>
        </w:div>
        <w:div w:id="1382710659">
          <w:marLeft w:val="0"/>
          <w:marRight w:val="0"/>
          <w:marTop w:val="0"/>
          <w:marBottom w:val="0"/>
          <w:divBdr>
            <w:top w:val="none" w:sz="0" w:space="0" w:color="auto"/>
            <w:left w:val="none" w:sz="0" w:space="0" w:color="auto"/>
            <w:bottom w:val="none" w:sz="0" w:space="0" w:color="auto"/>
            <w:right w:val="none" w:sz="0" w:space="0" w:color="auto"/>
          </w:divBdr>
        </w:div>
        <w:div w:id="853114001">
          <w:marLeft w:val="0"/>
          <w:marRight w:val="0"/>
          <w:marTop w:val="0"/>
          <w:marBottom w:val="0"/>
          <w:divBdr>
            <w:top w:val="none" w:sz="0" w:space="0" w:color="auto"/>
            <w:left w:val="none" w:sz="0" w:space="0" w:color="auto"/>
            <w:bottom w:val="none" w:sz="0" w:space="0" w:color="auto"/>
            <w:right w:val="none" w:sz="0" w:space="0" w:color="auto"/>
          </w:divBdr>
        </w:div>
        <w:div w:id="1715078433">
          <w:marLeft w:val="0"/>
          <w:marRight w:val="0"/>
          <w:marTop w:val="0"/>
          <w:marBottom w:val="0"/>
          <w:divBdr>
            <w:top w:val="none" w:sz="0" w:space="0" w:color="auto"/>
            <w:left w:val="none" w:sz="0" w:space="0" w:color="auto"/>
            <w:bottom w:val="none" w:sz="0" w:space="0" w:color="auto"/>
            <w:right w:val="none" w:sz="0" w:space="0" w:color="auto"/>
          </w:divBdr>
        </w:div>
      </w:divsChild>
    </w:div>
    <w:div w:id="604851363">
      <w:marLeft w:val="0"/>
      <w:marRight w:val="0"/>
      <w:marTop w:val="0"/>
      <w:marBottom w:val="120"/>
      <w:divBdr>
        <w:top w:val="none" w:sz="0" w:space="0" w:color="auto"/>
        <w:left w:val="none" w:sz="0" w:space="0" w:color="auto"/>
        <w:bottom w:val="none" w:sz="0" w:space="0" w:color="auto"/>
        <w:right w:val="none" w:sz="0" w:space="0" w:color="auto"/>
      </w:divBdr>
    </w:div>
    <w:div w:id="606737286">
      <w:marLeft w:val="0"/>
      <w:marRight w:val="0"/>
      <w:marTop w:val="0"/>
      <w:marBottom w:val="120"/>
      <w:divBdr>
        <w:top w:val="none" w:sz="0" w:space="0" w:color="auto"/>
        <w:left w:val="none" w:sz="0" w:space="0" w:color="auto"/>
        <w:bottom w:val="none" w:sz="0" w:space="0" w:color="auto"/>
        <w:right w:val="none" w:sz="0" w:space="0" w:color="auto"/>
      </w:divBdr>
    </w:div>
    <w:div w:id="614990040">
      <w:marLeft w:val="0"/>
      <w:marRight w:val="0"/>
      <w:marTop w:val="0"/>
      <w:marBottom w:val="120"/>
      <w:divBdr>
        <w:top w:val="none" w:sz="0" w:space="0" w:color="auto"/>
        <w:left w:val="none" w:sz="0" w:space="0" w:color="auto"/>
        <w:bottom w:val="none" w:sz="0" w:space="0" w:color="auto"/>
        <w:right w:val="none" w:sz="0" w:space="0" w:color="auto"/>
      </w:divBdr>
    </w:div>
    <w:div w:id="621151923">
      <w:marLeft w:val="0"/>
      <w:marRight w:val="0"/>
      <w:marTop w:val="0"/>
      <w:marBottom w:val="120"/>
      <w:divBdr>
        <w:top w:val="none" w:sz="0" w:space="0" w:color="auto"/>
        <w:left w:val="none" w:sz="0" w:space="0" w:color="auto"/>
        <w:bottom w:val="none" w:sz="0" w:space="0" w:color="auto"/>
        <w:right w:val="none" w:sz="0" w:space="0" w:color="auto"/>
      </w:divBdr>
    </w:div>
    <w:div w:id="622348045">
      <w:marLeft w:val="0"/>
      <w:marRight w:val="0"/>
      <w:marTop w:val="0"/>
      <w:marBottom w:val="120"/>
      <w:divBdr>
        <w:top w:val="none" w:sz="0" w:space="0" w:color="auto"/>
        <w:left w:val="none" w:sz="0" w:space="0" w:color="auto"/>
        <w:bottom w:val="none" w:sz="0" w:space="0" w:color="auto"/>
        <w:right w:val="none" w:sz="0" w:space="0" w:color="auto"/>
      </w:divBdr>
    </w:div>
    <w:div w:id="628164743">
      <w:marLeft w:val="0"/>
      <w:marRight w:val="0"/>
      <w:marTop w:val="0"/>
      <w:marBottom w:val="0"/>
      <w:divBdr>
        <w:top w:val="none" w:sz="0" w:space="0" w:color="auto"/>
        <w:left w:val="none" w:sz="0" w:space="0" w:color="auto"/>
        <w:bottom w:val="none" w:sz="0" w:space="0" w:color="auto"/>
        <w:right w:val="none" w:sz="0" w:space="0" w:color="auto"/>
      </w:divBdr>
      <w:divsChild>
        <w:div w:id="2006590234">
          <w:marLeft w:val="0"/>
          <w:marRight w:val="0"/>
          <w:marTop w:val="0"/>
          <w:marBottom w:val="120"/>
          <w:divBdr>
            <w:top w:val="none" w:sz="0" w:space="0" w:color="auto"/>
            <w:left w:val="none" w:sz="0" w:space="0" w:color="auto"/>
            <w:bottom w:val="none" w:sz="0" w:space="0" w:color="auto"/>
            <w:right w:val="none" w:sz="0" w:space="0" w:color="auto"/>
          </w:divBdr>
        </w:div>
      </w:divsChild>
    </w:div>
    <w:div w:id="628828965">
      <w:marLeft w:val="0"/>
      <w:marRight w:val="0"/>
      <w:marTop w:val="0"/>
      <w:marBottom w:val="120"/>
      <w:divBdr>
        <w:top w:val="none" w:sz="0" w:space="0" w:color="auto"/>
        <w:left w:val="none" w:sz="0" w:space="0" w:color="auto"/>
        <w:bottom w:val="none" w:sz="0" w:space="0" w:color="auto"/>
        <w:right w:val="none" w:sz="0" w:space="0" w:color="auto"/>
      </w:divBdr>
    </w:div>
    <w:div w:id="630212992">
      <w:marLeft w:val="0"/>
      <w:marRight w:val="0"/>
      <w:marTop w:val="0"/>
      <w:marBottom w:val="0"/>
      <w:divBdr>
        <w:top w:val="none" w:sz="0" w:space="0" w:color="auto"/>
        <w:left w:val="none" w:sz="0" w:space="0" w:color="auto"/>
        <w:bottom w:val="none" w:sz="0" w:space="0" w:color="auto"/>
        <w:right w:val="none" w:sz="0" w:space="0" w:color="auto"/>
      </w:divBdr>
      <w:divsChild>
        <w:div w:id="1597789398">
          <w:marLeft w:val="0"/>
          <w:marRight w:val="0"/>
          <w:marTop w:val="0"/>
          <w:marBottom w:val="120"/>
          <w:divBdr>
            <w:top w:val="none" w:sz="0" w:space="0" w:color="auto"/>
            <w:left w:val="none" w:sz="0" w:space="0" w:color="auto"/>
            <w:bottom w:val="none" w:sz="0" w:space="0" w:color="auto"/>
            <w:right w:val="none" w:sz="0" w:space="0" w:color="auto"/>
          </w:divBdr>
        </w:div>
      </w:divsChild>
    </w:div>
    <w:div w:id="630785329">
      <w:marLeft w:val="0"/>
      <w:marRight w:val="0"/>
      <w:marTop w:val="0"/>
      <w:marBottom w:val="120"/>
      <w:divBdr>
        <w:top w:val="none" w:sz="0" w:space="0" w:color="auto"/>
        <w:left w:val="none" w:sz="0" w:space="0" w:color="auto"/>
        <w:bottom w:val="none" w:sz="0" w:space="0" w:color="auto"/>
        <w:right w:val="none" w:sz="0" w:space="0" w:color="auto"/>
      </w:divBdr>
    </w:div>
    <w:div w:id="642198786">
      <w:marLeft w:val="0"/>
      <w:marRight w:val="0"/>
      <w:marTop w:val="240"/>
      <w:marBottom w:val="240"/>
      <w:divBdr>
        <w:top w:val="none" w:sz="0" w:space="0" w:color="auto"/>
        <w:left w:val="none" w:sz="0" w:space="0" w:color="auto"/>
        <w:bottom w:val="none" w:sz="0" w:space="0" w:color="auto"/>
        <w:right w:val="none" w:sz="0" w:space="0" w:color="auto"/>
      </w:divBdr>
    </w:div>
    <w:div w:id="643394924">
      <w:marLeft w:val="0"/>
      <w:marRight w:val="0"/>
      <w:marTop w:val="240"/>
      <w:marBottom w:val="0"/>
      <w:divBdr>
        <w:top w:val="none" w:sz="0" w:space="0" w:color="auto"/>
        <w:left w:val="none" w:sz="0" w:space="0" w:color="auto"/>
        <w:bottom w:val="none" w:sz="0" w:space="0" w:color="auto"/>
        <w:right w:val="none" w:sz="0" w:space="0" w:color="auto"/>
      </w:divBdr>
    </w:div>
    <w:div w:id="643854813">
      <w:marLeft w:val="0"/>
      <w:marRight w:val="0"/>
      <w:marTop w:val="0"/>
      <w:marBottom w:val="120"/>
      <w:divBdr>
        <w:top w:val="none" w:sz="0" w:space="0" w:color="auto"/>
        <w:left w:val="none" w:sz="0" w:space="0" w:color="auto"/>
        <w:bottom w:val="none" w:sz="0" w:space="0" w:color="auto"/>
        <w:right w:val="none" w:sz="0" w:space="0" w:color="auto"/>
      </w:divBdr>
    </w:div>
    <w:div w:id="644358332">
      <w:marLeft w:val="0"/>
      <w:marRight w:val="0"/>
      <w:marTop w:val="240"/>
      <w:marBottom w:val="0"/>
      <w:divBdr>
        <w:top w:val="none" w:sz="0" w:space="0" w:color="auto"/>
        <w:left w:val="none" w:sz="0" w:space="0" w:color="auto"/>
        <w:bottom w:val="none" w:sz="0" w:space="0" w:color="auto"/>
        <w:right w:val="none" w:sz="0" w:space="0" w:color="auto"/>
      </w:divBdr>
    </w:div>
    <w:div w:id="644428640">
      <w:marLeft w:val="0"/>
      <w:marRight w:val="0"/>
      <w:marTop w:val="0"/>
      <w:marBottom w:val="120"/>
      <w:divBdr>
        <w:top w:val="none" w:sz="0" w:space="0" w:color="auto"/>
        <w:left w:val="none" w:sz="0" w:space="0" w:color="auto"/>
        <w:bottom w:val="none" w:sz="0" w:space="0" w:color="auto"/>
        <w:right w:val="none" w:sz="0" w:space="0" w:color="auto"/>
      </w:divBdr>
    </w:div>
    <w:div w:id="648363195">
      <w:marLeft w:val="0"/>
      <w:marRight w:val="0"/>
      <w:marTop w:val="0"/>
      <w:marBottom w:val="120"/>
      <w:divBdr>
        <w:top w:val="none" w:sz="0" w:space="0" w:color="auto"/>
        <w:left w:val="none" w:sz="0" w:space="0" w:color="auto"/>
        <w:bottom w:val="none" w:sz="0" w:space="0" w:color="auto"/>
        <w:right w:val="none" w:sz="0" w:space="0" w:color="auto"/>
      </w:divBdr>
    </w:div>
    <w:div w:id="652640138">
      <w:marLeft w:val="0"/>
      <w:marRight w:val="0"/>
      <w:marTop w:val="0"/>
      <w:marBottom w:val="120"/>
      <w:divBdr>
        <w:top w:val="none" w:sz="0" w:space="0" w:color="auto"/>
        <w:left w:val="none" w:sz="0" w:space="0" w:color="auto"/>
        <w:bottom w:val="none" w:sz="0" w:space="0" w:color="auto"/>
        <w:right w:val="none" w:sz="0" w:space="0" w:color="auto"/>
      </w:divBdr>
    </w:div>
    <w:div w:id="652950726">
      <w:marLeft w:val="0"/>
      <w:marRight w:val="0"/>
      <w:marTop w:val="0"/>
      <w:marBottom w:val="120"/>
      <w:divBdr>
        <w:top w:val="none" w:sz="0" w:space="0" w:color="auto"/>
        <w:left w:val="none" w:sz="0" w:space="0" w:color="auto"/>
        <w:bottom w:val="none" w:sz="0" w:space="0" w:color="auto"/>
        <w:right w:val="none" w:sz="0" w:space="0" w:color="auto"/>
      </w:divBdr>
    </w:div>
    <w:div w:id="654186946">
      <w:marLeft w:val="0"/>
      <w:marRight w:val="0"/>
      <w:marTop w:val="0"/>
      <w:marBottom w:val="0"/>
      <w:divBdr>
        <w:top w:val="none" w:sz="0" w:space="0" w:color="auto"/>
        <w:left w:val="none" w:sz="0" w:space="0" w:color="auto"/>
        <w:bottom w:val="none" w:sz="0" w:space="0" w:color="auto"/>
        <w:right w:val="none" w:sz="0" w:space="0" w:color="auto"/>
      </w:divBdr>
      <w:divsChild>
        <w:div w:id="1960917717">
          <w:marLeft w:val="0"/>
          <w:marRight w:val="0"/>
          <w:marTop w:val="0"/>
          <w:marBottom w:val="0"/>
          <w:divBdr>
            <w:top w:val="none" w:sz="0" w:space="0" w:color="auto"/>
            <w:left w:val="none" w:sz="0" w:space="0" w:color="auto"/>
            <w:bottom w:val="none" w:sz="0" w:space="0" w:color="auto"/>
            <w:right w:val="none" w:sz="0" w:space="0" w:color="auto"/>
          </w:divBdr>
          <w:divsChild>
            <w:div w:id="1402764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58073791">
      <w:marLeft w:val="0"/>
      <w:marRight w:val="0"/>
      <w:marTop w:val="140"/>
      <w:marBottom w:val="120"/>
      <w:divBdr>
        <w:top w:val="none" w:sz="0" w:space="0" w:color="auto"/>
        <w:left w:val="none" w:sz="0" w:space="0" w:color="auto"/>
        <w:bottom w:val="none" w:sz="0" w:space="0" w:color="auto"/>
        <w:right w:val="none" w:sz="0" w:space="0" w:color="auto"/>
      </w:divBdr>
    </w:div>
    <w:div w:id="661352566">
      <w:marLeft w:val="0"/>
      <w:marRight w:val="0"/>
      <w:marTop w:val="0"/>
      <w:marBottom w:val="120"/>
      <w:divBdr>
        <w:top w:val="none" w:sz="0" w:space="0" w:color="auto"/>
        <w:left w:val="none" w:sz="0" w:space="0" w:color="auto"/>
        <w:bottom w:val="none" w:sz="0" w:space="0" w:color="auto"/>
        <w:right w:val="none" w:sz="0" w:space="0" w:color="auto"/>
      </w:divBdr>
    </w:div>
    <w:div w:id="663825211">
      <w:marLeft w:val="0"/>
      <w:marRight w:val="0"/>
      <w:marTop w:val="0"/>
      <w:marBottom w:val="120"/>
      <w:divBdr>
        <w:top w:val="none" w:sz="0" w:space="0" w:color="auto"/>
        <w:left w:val="none" w:sz="0" w:space="0" w:color="auto"/>
        <w:bottom w:val="none" w:sz="0" w:space="0" w:color="auto"/>
        <w:right w:val="none" w:sz="0" w:space="0" w:color="auto"/>
      </w:divBdr>
    </w:div>
    <w:div w:id="663972830">
      <w:marLeft w:val="0"/>
      <w:marRight w:val="0"/>
      <w:marTop w:val="240"/>
      <w:marBottom w:val="0"/>
      <w:divBdr>
        <w:top w:val="none" w:sz="0" w:space="0" w:color="auto"/>
        <w:left w:val="none" w:sz="0" w:space="0" w:color="auto"/>
        <w:bottom w:val="none" w:sz="0" w:space="0" w:color="auto"/>
        <w:right w:val="none" w:sz="0" w:space="0" w:color="auto"/>
      </w:divBdr>
    </w:div>
    <w:div w:id="664743438">
      <w:marLeft w:val="0"/>
      <w:marRight w:val="0"/>
      <w:marTop w:val="240"/>
      <w:marBottom w:val="0"/>
      <w:divBdr>
        <w:top w:val="none" w:sz="0" w:space="0" w:color="auto"/>
        <w:left w:val="none" w:sz="0" w:space="0" w:color="auto"/>
        <w:bottom w:val="none" w:sz="0" w:space="0" w:color="auto"/>
        <w:right w:val="none" w:sz="0" w:space="0" w:color="auto"/>
      </w:divBdr>
    </w:div>
    <w:div w:id="665472819">
      <w:marLeft w:val="0"/>
      <w:marRight w:val="0"/>
      <w:marTop w:val="0"/>
      <w:marBottom w:val="120"/>
      <w:divBdr>
        <w:top w:val="none" w:sz="0" w:space="0" w:color="auto"/>
        <w:left w:val="none" w:sz="0" w:space="0" w:color="auto"/>
        <w:bottom w:val="none" w:sz="0" w:space="0" w:color="auto"/>
        <w:right w:val="none" w:sz="0" w:space="0" w:color="auto"/>
      </w:divBdr>
    </w:div>
    <w:div w:id="667249016">
      <w:marLeft w:val="0"/>
      <w:marRight w:val="0"/>
      <w:marTop w:val="0"/>
      <w:marBottom w:val="120"/>
      <w:divBdr>
        <w:top w:val="none" w:sz="0" w:space="0" w:color="auto"/>
        <w:left w:val="none" w:sz="0" w:space="0" w:color="auto"/>
        <w:bottom w:val="none" w:sz="0" w:space="0" w:color="auto"/>
        <w:right w:val="none" w:sz="0" w:space="0" w:color="auto"/>
      </w:divBdr>
    </w:div>
    <w:div w:id="667563836">
      <w:marLeft w:val="0"/>
      <w:marRight w:val="0"/>
      <w:marTop w:val="0"/>
      <w:marBottom w:val="120"/>
      <w:divBdr>
        <w:top w:val="none" w:sz="0" w:space="0" w:color="auto"/>
        <w:left w:val="none" w:sz="0" w:space="0" w:color="auto"/>
        <w:bottom w:val="none" w:sz="0" w:space="0" w:color="auto"/>
        <w:right w:val="none" w:sz="0" w:space="0" w:color="auto"/>
      </w:divBdr>
    </w:div>
    <w:div w:id="669987185">
      <w:marLeft w:val="0"/>
      <w:marRight w:val="0"/>
      <w:marTop w:val="0"/>
      <w:marBottom w:val="120"/>
      <w:divBdr>
        <w:top w:val="none" w:sz="0" w:space="0" w:color="auto"/>
        <w:left w:val="none" w:sz="0" w:space="0" w:color="auto"/>
        <w:bottom w:val="none" w:sz="0" w:space="0" w:color="auto"/>
        <w:right w:val="none" w:sz="0" w:space="0" w:color="auto"/>
      </w:divBdr>
    </w:div>
    <w:div w:id="672531683">
      <w:marLeft w:val="0"/>
      <w:marRight w:val="0"/>
      <w:marTop w:val="0"/>
      <w:marBottom w:val="120"/>
      <w:divBdr>
        <w:top w:val="none" w:sz="0" w:space="0" w:color="auto"/>
        <w:left w:val="none" w:sz="0" w:space="0" w:color="auto"/>
        <w:bottom w:val="none" w:sz="0" w:space="0" w:color="auto"/>
        <w:right w:val="none" w:sz="0" w:space="0" w:color="auto"/>
      </w:divBdr>
    </w:div>
    <w:div w:id="672881367">
      <w:marLeft w:val="0"/>
      <w:marRight w:val="0"/>
      <w:marTop w:val="0"/>
      <w:marBottom w:val="120"/>
      <w:divBdr>
        <w:top w:val="none" w:sz="0" w:space="0" w:color="auto"/>
        <w:left w:val="none" w:sz="0" w:space="0" w:color="auto"/>
        <w:bottom w:val="none" w:sz="0" w:space="0" w:color="auto"/>
        <w:right w:val="none" w:sz="0" w:space="0" w:color="auto"/>
      </w:divBdr>
    </w:div>
    <w:div w:id="673193189">
      <w:marLeft w:val="0"/>
      <w:marRight w:val="0"/>
      <w:marTop w:val="0"/>
      <w:marBottom w:val="120"/>
      <w:divBdr>
        <w:top w:val="none" w:sz="0" w:space="0" w:color="auto"/>
        <w:left w:val="none" w:sz="0" w:space="0" w:color="auto"/>
        <w:bottom w:val="none" w:sz="0" w:space="0" w:color="auto"/>
        <w:right w:val="none" w:sz="0" w:space="0" w:color="auto"/>
      </w:divBdr>
    </w:div>
    <w:div w:id="677587492">
      <w:marLeft w:val="0"/>
      <w:marRight w:val="0"/>
      <w:marTop w:val="0"/>
      <w:marBottom w:val="120"/>
      <w:divBdr>
        <w:top w:val="none" w:sz="0" w:space="0" w:color="auto"/>
        <w:left w:val="none" w:sz="0" w:space="0" w:color="auto"/>
        <w:bottom w:val="none" w:sz="0" w:space="0" w:color="auto"/>
        <w:right w:val="none" w:sz="0" w:space="0" w:color="auto"/>
      </w:divBdr>
    </w:div>
    <w:div w:id="679968607">
      <w:marLeft w:val="0"/>
      <w:marRight w:val="0"/>
      <w:marTop w:val="0"/>
      <w:marBottom w:val="120"/>
      <w:divBdr>
        <w:top w:val="none" w:sz="0" w:space="0" w:color="auto"/>
        <w:left w:val="none" w:sz="0" w:space="0" w:color="auto"/>
        <w:bottom w:val="none" w:sz="0" w:space="0" w:color="auto"/>
        <w:right w:val="none" w:sz="0" w:space="0" w:color="auto"/>
      </w:divBdr>
    </w:div>
    <w:div w:id="684865656">
      <w:marLeft w:val="0"/>
      <w:marRight w:val="0"/>
      <w:marTop w:val="0"/>
      <w:marBottom w:val="120"/>
      <w:divBdr>
        <w:top w:val="none" w:sz="0" w:space="0" w:color="auto"/>
        <w:left w:val="none" w:sz="0" w:space="0" w:color="auto"/>
        <w:bottom w:val="none" w:sz="0" w:space="0" w:color="auto"/>
        <w:right w:val="none" w:sz="0" w:space="0" w:color="auto"/>
      </w:divBdr>
    </w:div>
    <w:div w:id="685862228">
      <w:marLeft w:val="0"/>
      <w:marRight w:val="0"/>
      <w:marTop w:val="0"/>
      <w:marBottom w:val="120"/>
      <w:divBdr>
        <w:top w:val="none" w:sz="0" w:space="0" w:color="auto"/>
        <w:left w:val="none" w:sz="0" w:space="0" w:color="auto"/>
        <w:bottom w:val="none" w:sz="0" w:space="0" w:color="auto"/>
        <w:right w:val="none" w:sz="0" w:space="0" w:color="auto"/>
      </w:divBdr>
    </w:div>
    <w:div w:id="692265275">
      <w:marLeft w:val="0"/>
      <w:marRight w:val="0"/>
      <w:marTop w:val="0"/>
      <w:marBottom w:val="120"/>
      <w:divBdr>
        <w:top w:val="none" w:sz="0" w:space="0" w:color="auto"/>
        <w:left w:val="none" w:sz="0" w:space="0" w:color="auto"/>
        <w:bottom w:val="none" w:sz="0" w:space="0" w:color="auto"/>
        <w:right w:val="none" w:sz="0" w:space="0" w:color="auto"/>
      </w:divBdr>
    </w:div>
    <w:div w:id="693044014">
      <w:marLeft w:val="0"/>
      <w:marRight w:val="0"/>
      <w:marTop w:val="0"/>
      <w:marBottom w:val="120"/>
      <w:divBdr>
        <w:top w:val="none" w:sz="0" w:space="0" w:color="auto"/>
        <w:left w:val="none" w:sz="0" w:space="0" w:color="auto"/>
        <w:bottom w:val="none" w:sz="0" w:space="0" w:color="auto"/>
        <w:right w:val="none" w:sz="0" w:space="0" w:color="auto"/>
      </w:divBdr>
    </w:div>
    <w:div w:id="693189460">
      <w:marLeft w:val="0"/>
      <w:marRight w:val="0"/>
      <w:marTop w:val="240"/>
      <w:marBottom w:val="240"/>
      <w:divBdr>
        <w:top w:val="none" w:sz="0" w:space="0" w:color="auto"/>
        <w:left w:val="none" w:sz="0" w:space="0" w:color="auto"/>
        <w:bottom w:val="none" w:sz="0" w:space="0" w:color="auto"/>
        <w:right w:val="none" w:sz="0" w:space="0" w:color="auto"/>
      </w:divBdr>
    </w:div>
    <w:div w:id="695425042">
      <w:marLeft w:val="0"/>
      <w:marRight w:val="0"/>
      <w:marTop w:val="0"/>
      <w:marBottom w:val="120"/>
      <w:divBdr>
        <w:top w:val="none" w:sz="0" w:space="0" w:color="auto"/>
        <w:left w:val="none" w:sz="0" w:space="0" w:color="auto"/>
        <w:bottom w:val="none" w:sz="0" w:space="0" w:color="auto"/>
        <w:right w:val="none" w:sz="0" w:space="0" w:color="auto"/>
      </w:divBdr>
    </w:div>
    <w:div w:id="696855148">
      <w:marLeft w:val="0"/>
      <w:marRight w:val="0"/>
      <w:marTop w:val="0"/>
      <w:marBottom w:val="120"/>
      <w:divBdr>
        <w:top w:val="none" w:sz="0" w:space="0" w:color="auto"/>
        <w:left w:val="none" w:sz="0" w:space="0" w:color="auto"/>
        <w:bottom w:val="none" w:sz="0" w:space="0" w:color="auto"/>
        <w:right w:val="none" w:sz="0" w:space="0" w:color="auto"/>
      </w:divBdr>
    </w:div>
    <w:div w:id="697312102">
      <w:marLeft w:val="0"/>
      <w:marRight w:val="0"/>
      <w:marTop w:val="0"/>
      <w:marBottom w:val="0"/>
      <w:divBdr>
        <w:top w:val="none" w:sz="0" w:space="0" w:color="auto"/>
        <w:left w:val="none" w:sz="0" w:space="0" w:color="auto"/>
        <w:bottom w:val="none" w:sz="0" w:space="0" w:color="auto"/>
        <w:right w:val="none" w:sz="0" w:space="0" w:color="auto"/>
      </w:divBdr>
      <w:divsChild>
        <w:div w:id="501702156">
          <w:marLeft w:val="0"/>
          <w:marRight w:val="0"/>
          <w:marTop w:val="0"/>
          <w:marBottom w:val="120"/>
          <w:divBdr>
            <w:top w:val="none" w:sz="0" w:space="0" w:color="auto"/>
            <w:left w:val="none" w:sz="0" w:space="0" w:color="auto"/>
            <w:bottom w:val="none" w:sz="0" w:space="0" w:color="auto"/>
            <w:right w:val="none" w:sz="0" w:space="0" w:color="auto"/>
          </w:divBdr>
        </w:div>
      </w:divsChild>
    </w:div>
    <w:div w:id="698433232">
      <w:marLeft w:val="0"/>
      <w:marRight w:val="0"/>
      <w:marTop w:val="0"/>
      <w:marBottom w:val="20"/>
      <w:divBdr>
        <w:top w:val="none" w:sz="0" w:space="0" w:color="auto"/>
        <w:left w:val="none" w:sz="0" w:space="0" w:color="auto"/>
        <w:bottom w:val="none" w:sz="0" w:space="0" w:color="auto"/>
        <w:right w:val="none" w:sz="0" w:space="0" w:color="auto"/>
      </w:divBdr>
    </w:div>
    <w:div w:id="698433619">
      <w:marLeft w:val="0"/>
      <w:marRight w:val="0"/>
      <w:marTop w:val="0"/>
      <w:marBottom w:val="20"/>
      <w:divBdr>
        <w:top w:val="none" w:sz="0" w:space="0" w:color="auto"/>
        <w:left w:val="none" w:sz="0" w:space="0" w:color="auto"/>
        <w:bottom w:val="none" w:sz="0" w:space="0" w:color="auto"/>
        <w:right w:val="none" w:sz="0" w:space="0" w:color="auto"/>
      </w:divBdr>
    </w:div>
    <w:div w:id="699207945">
      <w:marLeft w:val="0"/>
      <w:marRight w:val="0"/>
      <w:marTop w:val="0"/>
      <w:marBottom w:val="120"/>
      <w:divBdr>
        <w:top w:val="none" w:sz="0" w:space="0" w:color="auto"/>
        <w:left w:val="none" w:sz="0" w:space="0" w:color="auto"/>
        <w:bottom w:val="none" w:sz="0" w:space="0" w:color="auto"/>
        <w:right w:val="none" w:sz="0" w:space="0" w:color="auto"/>
      </w:divBdr>
    </w:div>
    <w:div w:id="702172619">
      <w:marLeft w:val="0"/>
      <w:marRight w:val="0"/>
      <w:marTop w:val="0"/>
      <w:marBottom w:val="120"/>
      <w:divBdr>
        <w:top w:val="none" w:sz="0" w:space="0" w:color="auto"/>
        <w:left w:val="none" w:sz="0" w:space="0" w:color="auto"/>
        <w:bottom w:val="none" w:sz="0" w:space="0" w:color="auto"/>
        <w:right w:val="none" w:sz="0" w:space="0" w:color="auto"/>
      </w:divBdr>
    </w:div>
    <w:div w:id="702288740">
      <w:marLeft w:val="0"/>
      <w:marRight w:val="0"/>
      <w:marTop w:val="0"/>
      <w:marBottom w:val="120"/>
      <w:divBdr>
        <w:top w:val="none" w:sz="0" w:space="0" w:color="auto"/>
        <w:left w:val="none" w:sz="0" w:space="0" w:color="auto"/>
        <w:bottom w:val="none" w:sz="0" w:space="0" w:color="auto"/>
        <w:right w:val="none" w:sz="0" w:space="0" w:color="auto"/>
      </w:divBdr>
    </w:div>
    <w:div w:id="703673739">
      <w:marLeft w:val="0"/>
      <w:marRight w:val="0"/>
      <w:marTop w:val="0"/>
      <w:marBottom w:val="120"/>
      <w:divBdr>
        <w:top w:val="none" w:sz="0" w:space="0" w:color="auto"/>
        <w:left w:val="none" w:sz="0" w:space="0" w:color="auto"/>
        <w:bottom w:val="none" w:sz="0" w:space="0" w:color="auto"/>
        <w:right w:val="none" w:sz="0" w:space="0" w:color="auto"/>
      </w:divBdr>
    </w:div>
    <w:div w:id="709652147">
      <w:marLeft w:val="0"/>
      <w:marRight w:val="0"/>
      <w:marTop w:val="0"/>
      <w:marBottom w:val="0"/>
      <w:divBdr>
        <w:top w:val="none" w:sz="0" w:space="0" w:color="auto"/>
        <w:left w:val="none" w:sz="0" w:space="0" w:color="auto"/>
        <w:bottom w:val="none" w:sz="0" w:space="0" w:color="auto"/>
        <w:right w:val="none" w:sz="0" w:space="0" w:color="auto"/>
      </w:divBdr>
    </w:div>
    <w:div w:id="711155830">
      <w:marLeft w:val="0"/>
      <w:marRight w:val="0"/>
      <w:marTop w:val="0"/>
      <w:marBottom w:val="120"/>
      <w:divBdr>
        <w:top w:val="none" w:sz="0" w:space="0" w:color="auto"/>
        <w:left w:val="none" w:sz="0" w:space="0" w:color="auto"/>
        <w:bottom w:val="none" w:sz="0" w:space="0" w:color="auto"/>
        <w:right w:val="none" w:sz="0" w:space="0" w:color="auto"/>
      </w:divBdr>
    </w:div>
    <w:div w:id="717247864">
      <w:marLeft w:val="0"/>
      <w:marRight w:val="0"/>
      <w:marTop w:val="0"/>
      <w:marBottom w:val="0"/>
      <w:divBdr>
        <w:top w:val="none" w:sz="0" w:space="0" w:color="auto"/>
        <w:left w:val="none" w:sz="0" w:space="0" w:color="auto"/>
        <w:bottom w:val="none" w:sz="0" w:space="0" w:color="auto"/>
        <w:right w:val="none" w:sz="0" w:space="0" w:color="auto"/>
      </w:divBdr>
    </w:div>
    <w:div w:id="718826989">
      <w:marLeft w:val="0"/>
      <w:marRight w:val="0"/>
      <w:marTop w:val="0"/>
      <w:marBottom w:val="120"/>
      <w:divBdr>
        <w:top w:val="none" w:sz="0" w:space="0" w:color="auto"/>
        <w:left w:val="none" w:sz="0" w:space="0" w:color="auto"/>
        <w:bottom w:val="none" w:sz="0" w:space="0" w:color="auto"/>
        <w:right w:val="none" w:sz="0" w:space="0" w:color="auto"/>
      </w:divBdr>
    </w:div>
    <w:div w:id="723792805">
      <w:marLeft w:val="0"/>
      <w:marRight w:val="0"/>
      <w:marTop w:val="240"/>
      <w:marBottom w:val="240"/>
      <w:divBdr>
        <w:top w:val="none" w:sz="0" w:space="0" w:color="auto"/>
        <w:left w:val="none" w:sz="0" w:space="0" w:color="auto"/>
        <w:bottom w:val="none" w:sz="0" w:space="0" w:color="auto"/>
        <w:right w:val="none" w:sz="0" w:space="0" w:color="auto"/>
      </w:divBdr>
    </w:div>
    <w:div w:id="727924528">
      <w:marLeft w:val="0"/>
      <w:marRight w:val="0"/>
      <w:marTop w:val="0"/>
      <w:marBottom w:val="120"/>
      <w:divBdr>
        <w:top w:val="none" w:sz="0" w:space="0" w:color="auto"/>
        <w:left w:val="none" w:sz="0" w:space="0" w:color="auto"/>
        <w:bottom w:val="none" w:sz="0" w:space="0" w:color="auto"/>
        <w:right w:val="none" w:sz="0" w:space="0" w:color="auto"/>
      </w:divBdr>
    </w:div>
    <w:div w:id="729382508">
      <w:marLeft w:val="0"/>
      <w:marRight w:val="0"/>
      <w:marTop w:val="0"/>
      <w:marBottom w:val="0"/>
      <w:divBdr>
        <w:top w:val="none" w:sz="0" w:space="0" w:color="auto"/>
        <w:left w:val="none" w:sz="0" w:space="0" w:color="auto"/>
        <w:bottom w:val="none" w:sz="0" w:space="0" w:color="auto"/>
        <w:right w:val="none" w:sz="0" w:space="0" w:color="auto"/>
      </w:divBdr>
    </w:div>
    <w:div w:id="730349393">
      <w:marLeft w:val="0"/>
      <w:marRight w:val="0"/>
      <w:marTop w:val="0"/>
      <w:marBottom w:val="120"/>
      <w:divBdr>
        <w:top w:val="none" w:sz="0" w:space="0" w:color="auto"/>
        <w:left w:val="none" w:sz="0" w:space="0" w:color="auto"/>
        <w:bottom w:val="none" w:sz="0" w:space="0" w:color="auto"/>
        <w:right w:val="none" w:sz="0" w:space="0" w:color="auto"/>
      </w:divBdr>
    </w:div>
    <w:div w:id="730693603">
      <w:marLeft w:val="0"/>
      <w:marRight w:val="0"/>
      <w:marTop w:val="240"/>
      <w:marBottom w:val="240"/>
      <w:divBdr>
        <w:top w:val="none" w:sz="0" w:space="0" w:color="auto"/>
        <w:left w:val="none" w:sz="0" w:space="0" w:color="auto"/>
        <w:bottom w:val="none" w:sz="0" w:space="0" w:color="auto"/>
        <w:right w:val="none" w:sz="0" w:space="0" w:color="auto"/>
      </w:divBdr>
    </w:div>
    <w:div w:id="730805904">
      <w:marLeft w:val="0"/>
      <w:marRight w:val="0"/>
      <w:marTop w:val="0"/>
      <w:marBottom w:val="120"/>
      <w:divBdr>
        <w:top w:val="none" w:sz="0" w:space="0" w:color="auto"/>
        <w:left w:val="none" w:sz="0" w:space="0" w:color="auto"/>
        <w:bottom w:val="none" w:sz="0" w:space="0" w:color="auto"/>
        <w:right w:val="none" w:sz="0" w:space="0" w:color="auto"/>
      </w:divBdr>
    </w:div>
    <w:div w:id="731852927">
      <w:marLeft w:val="0"/>
      <w:marRight w:val="0"/>
      <w:marTop w:val="0"/>
      <w:marBottom w:val="120"/>
      <w:divBdr>
        <w:top w:val="none" w:sz="0" w:space="0" w:color="auto"/>
        <w:left w:val="none" w:sz="0" w:space="0" w:color="auto"/>
        <w:bottom w:val="none" w:sz="0" w:space="0" w:color="auto"/>
        <w:right w:val="none" w:sz="0" w:space="0" w:color="auto"/>
      </w:divBdr>
    </w:div>
    <w:div w:id="735468214">
      <w:marLeft w:val="0"/>
      <w:marRight w:val="0"/>
      <w:marTop w:val="0"/>
      <w:marBottom w:val="120"/>
      <w:divBdr>
        <w:top w:val="none" w:sz="0" w:space="0" w:color="auto"/>
        <w:left w:val="none" w:sz="0" w:space="0" w:color="auto"/>
        <w:bottom w:val="none" w:sz="0" w:space="0" w:color="auto"/>
        <w:right w:val="none" w:sz="0" w:space="0" w:color="auto"/>
      </w:divBdr>
    </w:div>
    <w:div w:id="737287069">
      <w:marLeft w:val="0"/>
      <w:marRight w:val="0"/>
      <w:marTop w:val="0"/>
      <w:marBottom w:val="120"/>
      <w:divBdr>
        <w:top w:val="none" w:sz="0" w:space="0" w:color="auto"/>
        <w:left w:val="none" w:sz="0" w:space="0" w:color="auto"/>
        <w:bottom w:val="none" w:sz="0" w:space="0" w:color="auto"/>
        <w:right w:val="none" w:sz="0" w:space="0" w:color="auto"/>
      </w:divBdr>
    </w:div>
    <w:div w:id="743380353">
      <w:marLeft w:val="0"/>
      <w:marRight w:val="0"/>
      <w:marTop w:val="0"/>
      <w:marBottom w:val="0"/>
      <w:divBdr>
        <w:top w:val="none" w:sz="0" w:space="0" w:color="auto"/>
        <w:left w:val="none" w:sz="0" w:space="0" w:color="auto"/>
        <w:bottom w:val="none" w:sz="0" w:space="0" w:color="auto"/>
        <w:right w:val="none" w:sz="0" w:space="0" w:color="auto"/>
      </w:divBdr>
      <w:divsChild>
        <w:div w:id="1794788015">
          <w:marLeft w:val="0"/>
          <w:marRight w:val="0"/>
          <w:marTop w:val="0"/>
          <w:marBottom w:val="0"/>
          <w:divBdr>
            <w:top w:val="none" w:sz="0" w:space="0" w:color="auto"/>
            <w:left w:val="none" w:sz="0" w:space="0" w:color="auto"/>
            <w:bottom w:val="none" w:sz="0" w:space="0" w:color="auto"/>
            <w:right w:val="none" w:sz="0" w:space="0" w:color="auto"/>
          </w:divBdr>
          <w:divsChild>
            <w:div w:id="5288353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43991604">
      <w:marLeft w:val="0"/>
      <w:marRight w:val="0"/>
      <w:marTop w:val="240"/>
      <w:marBottom w:val="0"/>
      <w:divBdr>
        <w:top w:val="none" w:sz="0" w:space="0" w:color="auto"/>
        <w:left w:val="none" w:sz="0" w:space="0" w:color="auto"/>
        <w:bottom w:val="none" w:sz="0" w:space="0" w:color="auto"/>
        <w:right w:val="none" w:sz="0" w:space="0" w:color="auto"/>
      </w:divBdr>
    </w:div>
    <w:div w:id="745225958">
      <w:marLeft w:val="0"/>
      <w:marRight w:val="0"/>
      <w:marTop w:val="0"/>
      <w:marBottom w:val="0"/>
      <w:divBdr>
        <w:top w:val="none" w:sz="0" w:space="0" w:color="auto"/>
        <w:left w:val="none" w:sz="0" w:space="0" w:color="auto"/>
        <w:bottom w:val="none" w:sz="0" w:space="0" w:color="auto"/>
        <w:right w:val="none" w:sz="0" w:space="0" w:color="auto"/>
      </w:divBdr>
      <w:divsChild>
        <w:div w:id="781611421">
          <w:marLeft w:val="0"/>
          <w:marRight w:val="0"/>
          <w:marTop w:val="0"/>
          <w:marBottom w:val="120"/>
          <w:divBdr>
            <w:top w:val="none" w:sz="0" w:space="0" w:color="auto"/>
            <w:left w:val="none" w:sz="0" w:space="0" w:color="auto"/>
            <w:bottom w:val="none" w:sz="0" w:space="0" w:color="auto"/>
            <w:right w:val="none" w:sz="0" w:space="0" w:color="auto"/>
          </w:divBdr>
        </w:div>
      </w:divsChild>
    </w:div>
    <w:div w:id="747995030">
      <w:marLeft w:val="0"/>
      <w:marRight w:val="0"/>
      <w:marTop w:val="240"/>
      <w:marBottom w:val="240"/>
      <w:divBdr>
        <w:top w:val="none" w:sz="0" w:space="0" w:color="auto"/>
        <w:left w:val="none" w:sz="0" w:space="0" w:color="auto"/>
        <w:bottom w:val="none" w:sz="0" w:space="0" w:color="auto"/>
        <w:right w:val="none" w:sz="0" w:space="0" w:color="auto"/>
      </w:divBdr>
    </w:div>
    <w:div w:id="748964809">
      <w:marLeft w:val="0"/>
      <w:marRight w:val="0"/>
      <w:marTop w:val="0"/>
      <w:marBottom w:val="120"/>
      <w:divBdr>
        <w:top w:val="none" w:sz="0" w:space="0" w:color="auto"/>
        <w:left w:val="none" w:sz="0" w:space="0" w:color="auto"/>
        <w:bottom w:val="none" w:sz="0" w:space="0" w:color="auto"/>
        <w:right w:val="none" w:sz="0" w:space="0" w:color="auto"/>
      </w:divBdr>
    </w:div>
    <w:div w:id="749424783">
      <w:marLeft w:val="0"/>
      <w:marRight w:val="0"/>
      <w:marTop w:val="0"/>
      <w:marBottom w:val="120"/>
      <w:divBdr>
        <w:top w:val="none" w:sz="0" w:space="0" w:color="auto"/>
        <w:left w:val="none" w:sz="0" w:space="0" w:color="auto"/>
        <w:bottom w:val="none" w:sz="0" w:space="0" w:color="auto"/>
        <w:right w:val="none" w:sz="0" w:space="0" w:color="auto"/>
      </w:divBdr>
    </w:div>
    <w:div w:id="750781165">
      <w:marLeft w:val="0"/>
      <w:marRight w:val="0"/>
      <w:marTop w:val="0"/>
      <w:marBottom w:val="20"/>
      <w:divBdr>
        <w:top w:val="none" w:sz="0" w:space="0" w:color="auto"/>
        <w:left w:val="none" w:sz="0" w:space="0" w:color="auto"/>
        <w:bottom w:val="none" w:sz="0" w:space="0" w:color="auto"/>
        <w:right w:val="none" w:sz="0" w:space="0" w:color="auto"/>
      </w:divBdr>
    </w:div>
    <w:div w:id="753278889">
      <w:marLeft w:val="0"/>
      <w:marRight w:val="0"/>
      <w:marTop w:val="0"/>
      <w:marBottom w:val="120"/>
      <w:divBdr>
        <w:top w:val="none" w:sz="0" w:space="0" w:color="auto"/>
        <w:left w:val="none" w:sz="0" w:space="0" w:color="auto"/>
        <w:bottom w:val="none" w:sz="0" w:space="0" w:color="auto"/>
        <w:right w:val="none" w:sz="0" w:space="0" w:color="auto"/>
      </w:divBdr>
    </w:div>
    <w:div w:id="757679748">
      <w:marLeft w:val="0"/>
      <w:marRight w:val="0"/>
      <w:marTop w:val="240"/>
      <w:marBottom w:val="0"/>
      <w:divBdr>
        <w:top w:val="none" w:sz="0" w:space="0" w:color="auto"/>
        <w:left w:val="none" w:sz="0" w:space="0" w:color="auto"/>
        <w:bottom w:val="none" w:sz="0" w:space="0" w:color="auto"/>
        <w:right w:val="none" w:sz="0" w:space="0" w:color="auto"/>
      </w:divBdr>
    </w:div>
    <w:div w:id="759722200">
      <w:marLeft w:val="0"/>
      <w:marRight w:val="0"/>
      <w:marTop w:val="0"/>
      <w:marBottom w:val="120"/>
      <w:divBdr>
        <w:top w:val="none" w:sz="0" w:space="0" w:color="auto"/>
        <w:left w:val="none" w:sz="0" w:space="0" w:color="auto"/>
        <w:bottom w:val="none" w:sz="0" w:space="0" w:color="auto"/>
        <w:right w:val="none" w:sz="0" w:space="0" w:color="auto"/>
      </w:divBdr>
    </w:div>
    <w:div w:id="760951794">
      <w:marLeft w:val="0"/>
      <w:marRight w:val="0"/>
      <w:marTop w:val="0"/>
      <w:marBottom w:val="120"/>
      <w:divBdr>
        <w:top w:val="none" w:sz="0" w:space="0" w:color="auto"/>
        <w:left w:val="none" w:sz="0" w:space="0" w:color="auto"/>
        <w:bottom w:val="none" w:sz="0" w:space="0" w:color="auto"/>
        <w:right w:val="none" w:sz="0" w:space="0" w:color="auto"/>
      </w:divBdr>
    </w:div>
    <w:div w:id="761220889">
      <w:marLeft w:val="0"/>
      <w:marRight w:val="0"/>
      <w:marTop w:val="0"/>
      <w:marBottom w:val="120"/>
      <w:divBdr>
        <w:top w:val="none" w:sz="0" w:space="0" w:color="auto"/>
        <w:left w:val="none" w:sz="0" w:space="0" w:color="auto"/>
        <w:bottom w:val="none" w:sz="0" w:space="0" w:color="auto"/>
        <w:right w:val="none" w:sz="0" w:space="0" w:color="auto"/>
      </w:divBdr>
    </w:div>
    <w:div w:id="763306366">
      <w:marLeft w:val="0"/>
      <w:marRight w:val="0"/>
      <w:marTop w:val="0"/>
      <w:marBottom w:val="120"/>
      <w:divBdr>
        <w:top w:val="none" w:sz="0" w:space="0" w:color="auto"/>
        <w:left w:val="none" w:sz="0" w:space="0" w:color="auto"/>
        <w:bottom w:val="none" w:sz="0" w:space="0" w:color="auto"/>
        <w:right w:val="none" w:sz="0" w:space="0" w:color="auto"/>
      </w:divBdr>
    </w:div>
    <w:div w:id="763458550">
      <w:marLeft w:val="0"/>
      <w:marRight w:val="0"/>
      <w:marTop w:val="0"/>
      <w:marBottom w:val="120"/>
      <w:divBdr>
        <w:top w:val="none" w:sz="0" w:space="0" w:color="auto"/>
        <w:left w:val="none" w:sz="0" w:space="0" w:color="auto"/>
        <w:bottom w:val="none" w:sz="0" w:space="0" w:color="auto"/>
        <w:right w:val="none" w:sz="0" w:space="0" w:color="auto"/>
      </w:divBdr>
    </w:div>
    <w:div w:id="763526744">
      <w:marLeft w:val="0"/>
      <w:marRight w:val="0"/>
      <w:marTop w:val="0"/>
      <w:marBottom w:val="120"/>
      <w:divBdr>
        <w:top w:val="none" w:sz="0" w:space="0" w:color="auto"/>
        <w:left w:val="none" w:sz="0" w:space="0" w:color="auto"/>
        <w:bottom w:val="none" w:sz="0" w:space="0" w:color="auto"/>
        <w:right w:val="none" w:sz="0" w:space="0" w:color="auto"/>
      </w:divBdr>
    </w:div>
    <w:div w:id="765341862">
      <w:marLeft w:val="0"/>
      <w:marRight w:val="0"/>
      <w:marTop w:val="0"/>
      <w:marBottom w:val="20"/>
      <w:divBdr>
        <w:top w:val="none" w:sz="0" w:space="0" w:color="auto"/>
        <w:left w:val="none" w:sz="0" w:space="0" w:color="auto"/>
        <w:bottom w:val="none" w:sz="0" w:space="0" w:color="auto"/>
        <w:right w:val="none" w:sz="0" w:space="0" w:color="auto"/>
      </w:divBdr>
    </w:div>
    <w:div w:id="768697731">
      <w:marLeft w:val="0"/>
      <w:marRight w:val="0"/>
      <w:marTop w:val="240"/>
      <w:marBottom w:val="240"/>
      <w:divBdr>
        <w:top w:val="none" w:sz="0" w:space="0" w:color="auto"/>
        <w:left w:val="none" w:sz="0" w:space="0" w:color="auto"/>
        <w:bottom w:val="none" w:sz="0" w:space="0" w:color="auto"/>
        <w:right w:val="none" w:sz="0" w:space="0" w:color="auto"/>
      </w:divBdr>
    </w:div>
    <w:div w:id="769936525">
      <w:marLeft w:val="0"/>
      <w:marRight w:val="0"/>
      <w:marTop w:val="0"/>
      <w:marBottom w:val="120"/>
      <w:divBdr>
        <w:top w:val="none" w:sz="0" w:space="0" w:color="auto"/>
        <w:left w:val="none" w:sz="0" w:space="0" w:color="auto"/>
        <w:bottom w:val="none" w:sz="0" w:space="0" w:color="auto"/>
        <w:right w:val="none" w:sz="0" w:space="0" w:color="auto"/>
      </w:divBdr>
    </w:div>
    <w:div w:id="772212081">
      <w:marLeft w:val="0"/>
      <w:marRight w:val="0"/>
      <w:marTop w:val="240"/>
      <w:marBottom w:val="0"/>
      <w:divBdr>
        <w:top w:val="none" w:sz="0" w:space="0" w:color="auto"/>
        <w:left w:val="none" w:sz="0" w:space="0" w:color="auto"/>
        <w:bottom w:val="none" w:sz="0" w:space="0" w:color="auto"/>
        <w:right w:val="none" w:sz="0" w:space="0" w:color="auto"/>
      </w:divBdr>
    </w:div>
    <w:div w:id="774055320">
      <w:marLeft w:val="0"/>
      <w:marRight w:val="0"/>
      <w:marTop w:val="0"/>
      <w:marBottom w:val="120"/>
      <w:divBdr>
        <w:top w:val="none" w:sz="0" w:space="0" w:color="auto"/>
        <w:left w:val="none" w:sz="0" w:space="0" w:color="auto"/>
        <w:bottom w:val="none" w:sz="0" w:space="0" w:color="auto"/>
        <w:right w:val="none" w:sz="0" w:space="0" w:color="auto"/>
      </w:divBdr>
    </w:div>
    <w:div w:id="774059047">
      <w:marLeft w:val="0"/>
      <w:marRight w:val="0"/>
      <w:marTop w:val="0"/>
      <w:marBottom w:val="0"/>
      <w:divBdr>
        <w:top w:val="none" w:sz="0" w:space="0" w:color="auto"/>
        <w:left w:val="none" w:sz="0" w:space="0" w:color="auto"/>
        <w:bottom w:val="none" w:sz="0" w:space="0" w:color="auto"/>
        <w:right w:val="none" w:sz="0" w:space="0" w:color="auto"/>
      </w:divBdr>
    </w:div>
    <w:div w:id="777523166">
      <w:marLeft w:val="0"/>
      <w:marRight w:val="0"/>
      <w:marTop w:val="0"/>
      <w:marBottom w:val="120"/>
      <w:divBdr>
        <w:top w:val="none" w:sz="0" w:space="0" w:color="auto"/>
        <w:left w:val="none" w:sz="0" w:space="0" w:color="auto"/>
        <w:bottom w:val="none" w:sz="0" w:space="0" w:color="auto"/>
        <w:right w:val="none" w:sz="0" w:space="0" w:color="auto"/>
      </w:divBdr>
    </w:div>
    <w:div w:id="784427520">
      <w:marLeft w:val="0"/>
      <w:marRight w:val="0"/>
      <w:marTop w:val="0"/>
      <w:marBottom w:val="0"/>
      <w:divBdr>
        <w:top w:val="none" w:sz="0" w:space="0" w:color="auto"/>
        <w:left w:val="none" w:sz="0" w:space="0" w:color="auto"/>
        <w:bottom w:val="none" w:sz="0" w:space="0" w:color="auto"/>
        <w:right w:val="none" w:sz="0" w:space="0" w:color="auto"/>
      </w:divBdr>
      <w:divsChild>
        <w:div w:id="343554927">
          <w:marLeft w:val="0"/>
          <w:marRight w:val="0"/>
          <w:marTop w:val="0"/>
          <w:marBottom w:val="0"/>
          <w:divBdr>
            <w:top w:val="none" w:sz="0" w:space="0" w:color="auto"/>
            <w:left w:val="none" w:sz="0" w:space="0" w:color="auto"/>
            <w:bottom w:val="none" w:sz="0" w:space="0" w:color="auto"/>
            <w:right w:val="none" w:sz="0" w:space="0" w:color="auto"/>
          </w:divBdr>
          <w:divsChild>
            <w:div w:id="3799391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85731163">
      <w:marLeft w:val="0"/>
      <w:marRight w:val="0"/>
      <w:marTop w:val="0"/>
      <w:marBottom w:val="120"/>
      <w:divBdr>
        <w:top w:val="none" w:sz="0" w:space="0" w:color="auto"/>
        <w:left w:val="none" w:sz="0" w:space="0" w:color="auto"/>
        <w:bottom w:val="none" w:sz="0" w:space="0" w:color="auto"/>
        <w:right w:val="none" w:sz="0" w:space="0" w:color="auto"/>
      </w:divBdr>
    </w:div>
    <w:div w:id="789516516">
      <w:marLeft w:val="0"/>
      <w:marRight w:val="0"/>
      <w:marTop w:val="0"/>
      <w:marBottom w:val="0"/>
      <w:divBdr>
        <w:top w:val="none" w:sz="0" w:space="0" w:color="auto"/>
        <w:left w:val="none" w:sz="0" w:space="0" w:color="auto"/>
        <w:bottom w:val="none" w:sz="0" w:space="0" w:color="auto"/>
        <w:right w:val="none" w:sz="0" w:space="0" w:color="auto"/>
      </w:divBdr>
      <w:divsChild>
        <w:div w:id="826283971">
          <w:marLeft w:val="0"/>
          <w:marRight w:val="0"/>
          <w:marTop w:val="0"/>
          <w:marBottom w:val="120"/>
          <w:divBdr>
            <w:top w:val="none" w:sz="0" w:space="0" w:color="auto"/>
            <w:left w:val="none" w:sz="0" w:space="0" w:color="auto"/>
            <w:bottom w:val="none" w:sz="0" w:space="0" w:color="auto"/>
            <w:right w:val="none" w:sz="0" w:space="0" w:color="auto"/>
          </w:divBdr>
        </w:div>
      </w:divsChild>
    </w:div>
    <w:div w:id="793405314">
      <w:marLeft w:val="0"/>
      <w:marRight w:val="0"/>
      <w:marTop w:val="0"/>
      <w:marBottom w:val="0"/>
      <w:divBdr>
        <w:top w:val="none" w:sz="0" w:space="0" w:color="auto"/>
        <w:left w:val="none" w:sz="0" w:space="0" w:color="auto"/>
        <w:bottom w:val="none" w:sz="0" w:space="0" w:color="auto"/>
        <w:right w:val="none" w:sz="0" w:space="0" w:color="auto"/>
      </w:divBdr>
    </w:div>
    <w:div w:id="793983000">
      <w:marLeft w:val="0"/>
      <w:marRight w:val="0"/>
      <w:marTop w:val="240"/>
      <w:marBottom w:val="0"/>
      <w:divBdr>
        <w:top w:val="none" w:sz="0" w:space="0" w:color="auto"/>
        <w:left w:val="none" w:sz="0" w:space="0" w:color="auto"/>
        <w:bottom w:val="none" w:sz="0" w:space="0" w:color="auto"/>
        <w:right w:val="none" w:sz="0" w:space="0" w:color="auto"/>
      </w:divBdr>
    </w:div>
    <w:div w:id="795870942">
      <w:marLeft w:val="0"/>
      <w:marRight w:val="0"/>
      <w:marTop w:val="0"/>
      <w:marBottom w:val="0"/>
      <w:divBdr>
        <w:top w:val="none" w:sz="0" w:space="0" w:color="auto"/>
        <w:left w:val="none" w:sz="0" w:space="0" w:color="auto"/>
        <w:bottom w:val="none" w:sz="0" w:space="0" w:color="auto"/>
        <w:right w:val="none" w:sz="0" w:space="0" w:color="auto"/>
      </w:divBdr>
      <w:divsChild>
        <w:div w:id="6947631">
          <w:marLeft w:val="0"/>
          <w:marRight w:val="0"/>
          <w:marTop w:val="0"/>
          <w:marBottom w:val="0"/>
          <w:divBdr>
            <w:top w:val="none" w:sz="0" w:space="0" w:color="auto"/>
            <w:left w:val="none" w:sz="0" w:space="0" w:color="auto"/>
            <w:bottom w:val="none" w:sz="0" w:space="0" w:color="auto"/>
            <w:right w:val="none" w:sz="0" w:space="0" w:color="auto"/>
          </w:divBdr>
          <w:divsChild>
            <w:div w:id="11995093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97797625">
      <w:marLeft w:val="0"/>
      <w:marRight w:val="0"/>
      <w:marTop w:val="0"/>
      <w:marBottom w:val="120"/>
      <w:divBdr>
        <w:top w:val="none" w:sz="0" w:space="0" w:color="auto"/>
        <w:left w:val="none" w:sz="0" w:space="0" w:color="auto"/>
        <w:bottom w:val="none" w:sz="0" w:space="0" w:color="auto"/>
        <w:right w:val="none" w:sz="0" w:space="0" w:color="auto"/>
      </w:divBdr>
    </w:div>
    <w:div w:id="800536987">
      <w:marLeft w:val="0"/>
      <w:marRight w:val="0"/>
      <w:marTop w:val="0"/>
      <w:marBottom w:val="120"/>
      <w:divBdr>
        <w:top w:val="none" w:sz="0" w:space="0" w:color="auto"/>
        <w:left w:val="none" w:sz="0" w:space="0" w:color="auto"/>
        <w:bottom w:val="none" w:sz="0" w:space="0" w:color="auto"/>
        <w:right w:val="none" w:sz="0" w:space="0" w:color="auto"/>
      </w:divBdr>
    </w:div>
    <w:div w:id="806750163">
      <w:marLeft w:val="0"/>
      <w:marRight w:val="0"/>
      <w:marTop w:val="240"/>
      <w:marBottom w:val="0"/>
      <w:divBdr>
        <w:top w:val="none" w:sz="0" w:space="0" w:color="auto"/>
        <w:left w:val="none" w:sz="0" w:space="0" w:color="auto"/>
        <w:bottom w:val="none" w:sz="0" w:space="0" w:color="auto"/>
        <w:right w:val="none" w:sz="0" w:space="0" w:color="auto"/>
      </w:divBdr>
    </w:div>
    <w:div w:id="812214953">
      <w:marLeft w:val="0"/>
      <w:marRight w:val="0"/>
      <w:marTop w:val="0"/>
      <w:marBottom w:val="0"/>
      <w:divBdr>
        <w:top w:val="none" w:sz="0" w:space="0" w:color="auto"/>
        <w:left w:val="none" w:sz="0" w:space="0" w:color="auto"/>
        <w:bottom w:val="none" w:sz="0" w:space="0" w:color="auto"/>
        <w:right w:val="none" w:sz="0" w:space="0" w:color="auto"/>
      </w:divBdr>
      <w:divsChild>
        <w:div w:id="500580334">
          <w:marLeft w:val="0"/>
          <w:marRight w:val="0"/>
          <w:marTop w:val="0"/>
          <w:marBottom w:val="0"/>
          <w:divBdr>
            <w:top w:val="none" w:sz="0" w:space="0" w:color="auto"/>
            <w:left w:val="none" w:sz="0" w:space="0" w:color="auto"/>
            <w:bottom w:val="none" w:sz="0" w:space="0" w:color="auto"/>
            <w:right w:val="none" w:sz="0" w:space="0" w:color="auto"/>
          </w:divBdr>
          <w:divsChild>
            <w:div w:id="20340650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22085458">
      <w:marLeft w:val="0"/>
      <w:marRight w:val="0"/>
      <w:marTop w:val="240"/>
      <w:marBottom w:val="0"/>
      <w:divBdr>
        <w:top w:val="none" w:sz="0" w:space="0" w:color="auto"/>
        <w:left w:val="none" w:sz="0" w:space="0" w:color="auto"/>
        <w:bottom w:val="none" w:sz="0" w:space="0" w:color="auto"/>
        <w:right w:val="none" w:sz="0" w:space="0" w:color="auto"/>
      </w:divBdr>
    </w:div>
    <w:div w:id="822425595">
      <w:marLeft w:val="0"/>
      <w:marRight w:val="0"/>
      <w:marTop w:val="0"/>
      <w:marBottom w:val="0"/>
      <w:divBdr>
        <w:top w:val="none" w:sz="0" w:space="0" w:color="auto"/>
        <w:left w:val="none" w:sz="0" w:space="0" w:color="auto"/>
        <w:bottom w:val="none" w:sz="0" w:space="0" w:color="auto"/>
        <w:right w:val="none" w:sz="0" w:space="0" w:color="auto"/>
      </w:divBdr>
      <w:divsChild>
        <w:div w:id="734356738">
          <w:marLeft w:val="0"/>
          <w:marRight w:val="0"/>
          <w:marTop w:val="0"/>
          <w:marBottom w:val="0"/>
          <w:divBdr>
            <w:top w:val="none" w:sz="0" w:space="0" w:color="auto"/>
            <w:left w:val="none" w:sz="0" w:space="0" w:color="auto"/>
            <w:bottom w:val="none" w:sz="0" w:space="0" w:color="auto"/>
            <w:right w:val="none" w:sz="0" w:space="0" w:color="auto"/>
          </w:divBdr>
          <w:divsChild>
            <w:div w:id="17990301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23542567">
      <w:marLeft w:val="0"/>
      <w:marRight w:val="0"/>
      <w:marTop w:val="0"/>
      <w:marBottom w:val="120"/>
      <w:divBdr>
        <w:top w:val="none" w:sz="0" w:space="0" w:color="auto"/>
        <w:left w:val="none" w:sz="0" w:space="0" w:color="auto"/>
        <w:bottom w:val="none" w:sz="0" w:space="0" w:color="auto"/>
        <w:right w:val="none" w:sz="0" w:space="0" w:color="auto"/>
      </w:divBdr>
    </w:div>
    <w:div w:id="823743026">
      <w:marLeft w:val="0"/>
      <w:marRight w:val="0"/>
      <w:marTop w:val="0"/>
      <w:marBottom w:val="0"/>
      <w:divBdr>
        <w:top w:val="none" w:sz="0" w:space="0" w:color="auto"/>
        <w:left w:val="none" w:sz="0" w:space="0" w:color="auto"/>
        <w:bottom w:val="none" w:sz="0" w:space="0" w:color="auto"/>
        <w:right w:val="none" w:sz="0" w:space="0" w:color="auto"/>
      </w:divBdr>
      <w:divsChild>
        <w:div w:id="1604993443">
          <w:marLeft w:val="0"/>
          <w:marRight w:val="0"/>
          <w:marTop w:val="0"/>
          <w:marBottom w:val="0"/>
          <w:divBdr>
            <w:top w:val="none" w:sz="0" w:space="0" w:color="auto"/>
            <w:left w:val="none" w:sz="0" w:space="0" w:color="auto"/>
            <w:bottom w:val="none" w:sz="0" w:space="0" w:color="auto"/>
            <w:right w:val="none" w:sz="0" w:space="0" w:color="auto"/>
          </w:divBdr>
          <w:divsChild>
            <w:div w:id="5937860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25895223">
      <w:marLeft w:val="0"/>
      <w:marRight w:val="0"/>
      <w:marTop w:val="0"/>
      <w:marBottom w:val="120"/>
      <w:divBdr>
        <w:top w:val="none" w:sz="0" w:space="0" w:color="auto"/>
        <w:left w:val="none" w:sz="0" w:space="0" w:color="auto"/>
        <w:bottom w:val="none" w:sz="0" w:space="0" w:color="auto"/>
        <w:right w:val="none" w:sz="0" w:space="0" w:color="auto"/>
      </w:divBdr>
    </w:div>
    <w:div w:id="827404743">
      <w:marLeft w:val="0"/>
      <w:marRight w:val="0"/>
      <w:marTop w:val="0"/>
      <w:marBottom w:val="120"/>
      <w:divBdr>
        <w:top w:val="none" w:sz="0" w:space="0" w:color="auto"/>
        <w:left w:val="none" w:sz="0" w:space="0" w:color="auto"/>
        <w:bottom w:val="none" w:sz="0" w:space="0" w:color="auto"/>
        <w:right w:val="none" w:sz="0" w:space="0" w:color="auto"/>
      </w:divBdr>
    </w:div>
    <w:div w:id="828643026">
      <w:marLeft w:val="0"/>
      <w:marRight w:val="0"/>
      <w:marTop w:val="240"/>
      <w:marBottom w:val="0"/>
      <w:divBdr>
        <w:top w:val="none" w:sz="0" w:space="0" w:color="auto"/>
        <w:left w:val="none" w:sz="0" w:space="0" w:color="auto"/>
        <w:bottom w:val="none" w:sz="0" w:space="0" w:color="auto"/>
        <w:right w:val="none" w:sz="0" w:space="0" w:color="auto"/>
      </w:divBdr>
    </w:div>
    <w:div w:id="830868989">
      <w:marLeft w:val="0"/>
      <w:marRight w:val="0"/>
      <w:marTop w:val="0"/>
      <w:marBottom w:val="0"/>
      <w:divBdr>
        <w:top w:val="none" w:sz="0" w:space="0" w:color="auto"/>
        <w:left w:val="none" w:sz="0" w:space="0" w:color="auto"/>
        <w:bottom w:val="none" w:sz="0" w:space="0" w:color="auto"/>
        <w:right w:val="none" w:sz="0" w:space="0" w:color="auto"/>
      </w:divBdr>
    </w:div>
    <w:div w:id="831993913">
      <w:marLeft w:val="0"/>
      <w:marRight w:val="0"/>
      <w:marTop w:val="0"/>
      <w:marBottom w:val="120"/>
      <w:divBdr>
        <w:top w:val="none" w:sz="0" w:space="0" w:color="auto"/>
        <w:left w:val="none" w:sz="0" w:space="0" w:color="auto"/>
        <w:bottom w:val="none" w:sz="0" w:space="0" w:color="auto"/>
        <w:right w:val="none" w:sz="0" w:space="0" w:color="auto"/>
      </w:divBdr>
    </w:div>
    <w:div w:id="832836418">
      <w:marLeft w:val="0"/>
      <w:marRight w:val="0"/>
      <w:marTop w:val="240"/>
      <w:marBottom w:val="0"/>
      <w:divBdr>
        <w:top w:val="none" w:sz="0" w:space="0" w:color="auto"/>
        <w:left w:val="none" w:sz="0" w:space="0" w:color="auto"/>
        <w:bottom w:val="none" w:sz="0" w:space="0" w:color="auto"/>
        <w:right w:val="none" w:sz="0" w:space="0" w:color="auto"/>
      </w:divBdr>
    </w:div>
    <w:div w:id="835346714">
      <w:marLeft w:val="0"/>
      <w:marRight w:val="0"/>
      <w:marTop w:val="0"/>
      <w:marBottom w:val="120"/>
      <w:divBdr>
        <w:top w:val="none" w:sz="0" w:space="0" w:color="auto"/>
        <w:left w:val="none" w:sz="0" w:space="0" w:color="auto"/>
        <w:bottom w:val="none" w:sz="0" w:space="0" w:color="auto"/>
        <w:right w:val="none" w:sz="0" w:space="0" w:color="auto"/>
      </w:divBdr>
    </w:div>
    <w:div w:id="837381377">
      <w:marLeft w:val="0"/>
      <w:marRight w:val="0"/>
      <w:marTop w:val="0"/>
      <w:marBottom w:val="120"/>
      <w:divBdr>
        <w:top w:val="none" w:sz="0" w:space="0" w:color="auto"/>
        <w:left w:val="none" w:sz="0" w:space="0" w:color="auto"/>
        <w:bottom w:val="none" w:sz="0" w:space="0" w:color="auto"/>
        <w:right w:val="none" w:sz="0" w:space="0" w:color="auto"/>
      </w:divBdr>
      <w:divsChild>
        <w:div w:id="943079681">
          <w:marLeft w:val="0"/>
          <w:marRight w:val="0"/>
          <w:marTop w:val="0"/>
          <w:marBottom w:val="0"/>
          <w:divBdr>
            <w:top w:val="none" w:sz="0" w:space="0" w:color="auto"/>
            <w:left w:val="none" w:sz="0" w:space="0" w:color="auto"/>
            <w:bottom w:val="none" w:sz="0" w:space="0" w:color="auto"/>
            <w:right w:val="none" w:sz="0" w:space="0" w:color="auto"/>
          </w:divBdr>
        </w:div>
      </w:divsChild>
    </w:div>
    <w:div w:id="837690468">
      <w:marLeft w:val="0"/>
      <w:marRight w:val="0"/>
      <w:marTop w:val="0"/>
      <w:marBottom w:val="120"/>
      <w:divBdr>
        <w:top w:val="none" w:sz="0" w:space="0" w:color="auto"/>
        <w:left w:val="none" w:sz="0" w:space="0" w:color="auto"/>
        <w:bottom w:val="none" w:sz="0" w:space="0" w:color="auto"/>
        <w:right w:val="none" w:sz="0" w:space="0" w:color="auto"/>
      </w:divBdr>
    </w:div>
    <w:div w:id="838080502">
      <w:marLeft w:val="0"/>
      <w:marRight w:val="0"/>
      <w:marTop w:val="0"/>
      <w:marBottom w:val="0"/>
      <w:divBdr>
        <w:top w:val="none" w:sz="0" w:space="0" w:color="auto"/>
        <w:left w:val="none" w:sz="0" w:space="0" w:color="auto"/>
        <w:bottom w:val="none" w:sz="0" w:space="0" w:color="auto"/>
        <w:right w:val="none" w:sz="0" w:space="0" w:color="auto"/>
      </w:divBdr>
    </w:div>
    <w:div w:id="839124980">
      <w:marLeft w:val="0"/>
      <w:marRight w:val="0"/>
      <w:marTop w:val="240"/>
      <w:marBottom w:val="240"/>
      <w:divBdr>
        <w:top w:val="none" w:sz="0" w:space="0" w:color="auto"/>
        <w:left w:val="none" w:sz="0" w:space="0" w:color="auto"/>
        <w:bottom w:val="none" w:sz="0" w:space="0" w:color="auto"/>
        <w:right w:val="none" w:sz="0" w:space="0" w:color="auto"/>
      </w:divBdr>
    </w:div>
    <w:div w:id="848183368">
      <w:marLeft w:val="0"/>
      <w:marRight w:val="0"/>
      <w:marTop w:val="0"/>
      <w:marBottom w:val="120"/>
      <w:divBdr>
        <w:top w:val="none" w:sz="0" w:space="0" w:color="auto"/>
        <w:left w:val="none" w:sz="0" w:space="0" w:color="auto"/>
        <w:bottom w:val="none" w:sz="0" w:space="0" w:color="auto"/>
        <w:right w:val="none" w:sz="0" w:space="0" w:color="auto"/>
      </w:divBdr>
    </w:div>
    <w:div w:id="849837389">
      <w:marLeft w:val="0"/>
      <w:marRight w:val="0"/>
      <w:marTop w:val="0"/>
      <w:marBottom w:val="0"/>
      <w:divBdr>
        <w:top w:val="none" w:sz="0" w:space="0" w:color="auto"/>
        <w:left w:val="none" w:sz="0" w:space="0" w:color="auto"/>
        <w:bottom w:val="none" w:sz="0" w:space="0" w:color="auto"/>
        <w:right w:val="none" w:sz="0" w:space="0" w:color="auto"/>
      </w:divBdr>
      <w:divsChild>
        <w:div w:id="919023210">
          <w:marLeft w:val="0"/>
          <w:marRight w:val="0"/>
          <w:marTop w:val="0"/>
          <w:marBottom w:val="120"/>
          <w:divBdr>
            <w:top w:val="none" w:sz="0" w:space="0" w:color="auto"/>
            <w:left w:val="none" w:sz="0" w:space="0" w:color="auto"/>
            <w:bottom w:val="none" w:sz="0" w:space="0" w:color="auto"/>
            <w:right w:val="none" w:sz="0" w:space="0" w:color="auto"/>
          </w:divBdr>
        </w:div>
      </w:divsChild>
    </w:div>
    <w:div w:id="850535318">
      <w:marLeft w:val="0"/>
      <w:marRight w:val="0"/>
      <w:marTop w:val="0"/>
      <w:marBottom w:val="120"/>
      <w:divBdr>
        <w:top w:val="none" w:sz="0" w:space="0" w:color="auto"/>
        <w:left w:val="none" w:sz="0" w:space="0" w:color="auto"/>
        <w:bottom w:val="none" w:sz="0" w:space="0" w:color="auto"/>
        <w:right w:val="none" w:sz="0" w:space="0" w:color="auto"/>
      </w:divBdr>
    </w:div>
    <w:div w:id="851839826">
      <w:marLeft w:val="0"/>
      <w:marRight w:val="0"/>
      <w:marTop w:val="240"/>
      <w:marBottom w:val="0"/>
      <w:divBdr>
        <w:top w:val="none" w:sz="0" w:space="0" w:color="auto"/>
        <w:left w:val="none" w:sz="0" w:space="0" w:color="auto"/>
        <w:bottom w:val="none" w:sz="0" w:space="0" w:color="auto"/>
        <w:right w:val="none" w:sz="0" w:space="0" w:color="auto"/>
      </w:divBdr>
    </w:div>
    <w:div w:id="852036217">
      <w:marLeft w:val="0"/>
      <w:marRight w:val="0"/>
      <w:marTop w:val="0"/>
      <w:marBottom w:val="120"/>
      <w:divBdr>
        <w:top w:val="none" w:sz="0" w:space="0" w:color="auto"/>
        <w:left w:val="none" w:sz="0" w:space="0" w:color="auto"/>
        <w:bottom w:val="none" w:sz="0" w:space="0" w:color="auto"/>
        <w:right w:val="none" w:sz="0" w:space="0" w:color="auto"/>
      </w:divBdr>
    </w:div>
    <w:div w:id="852954744">
      <w:marLeft w:val="0"/>
      <w:marRight w:val="0"/>
      <w:marTop w:val="0"/>
      <w:marBottom w:val="0"/>
      <w:divBdr>
        <w:top w:val="none" w:sz="0" w:space="0" w:color="auto"/>
        <w:left w:val="none" w:sz="0" w:space="0" w:color="auto"/>
        <w:bottom w:val="none" w:sz="0" w:space="0" w:color="auto"/>
        <w:right w:val="none" w:sz="0" w:space="0" w:color="auto"/>
      </w:divBdr>
      <w:divsChild>
        <w:div w:id="328367845">
          <w:marLeft w:val="0"/>
          <w:marRight w:val="0"/>
          <w:marTop w:val="0"/>
          <w:marBottom w:val="120"/>
          <w:divBdr>
            <w:top w:val="none" w:sz="0" w:space="0" w:color="auto"/>
            <w:left w:val="none" w:sz="0" w:space="0" w:color="auto"/>
            <w:bottom w:val="none" w:sz="0" w:space="0" w:color="auto"/>
            <w:right w:val="none" w:sz="0" w:space="0" w:color="auto"/>
          </w:divBdr>
        </w:div>
      </w:divsChild>
    </w:div>
    <w:div w:id="853346822">
      <w:marLeft w:val="0"/>
      <w:marRight w:val="0"/>
      <w:marTop w:val="0"/>
      <w:marBottom w:val="120"/>
      <w:divBdr>
        <w:top w:val="none" w:sz="0" w:space="0" w:color="auto"/>
        <w:left w:val="none" w:sz="0" w:space="0" w:color="auto"/>
        <w:bottom w:val="none" w:sz="0" w:space="0" w:color="auto"/>
        <w:right w:val="none" w:sz="0" w:space="0" w:color="auto"/>
      </w:divBdr>
    </w:div>
    <w:div w:id="853612941">
      <w:marLeft w:val="0"/>
      <w:marRight w:val="0"/>
      <w:marTop w:val="240"/>
      <w:marBottom w:val="0"/>
      <w:divBdr>
        <w:top w:val="none" w:sz="0" w:space="0" w:color="auto"/>
        <w:left w:val="none" w:sz="0" w:space="0" w:color="auto"/>
        <w:bottom w:val="none" w:sz="0" w:space="0" w:color="auto"/>
        <w:right w:val="none" w:sz="0" w:space="0" w:color="auto"/>
      </w:divBdr>
    </w:div>
    <w:div w:id="854686365">
      <w:marLeft w:val="0"/>
      <w:marRight w:val="0"/>
      <w:marTop w:val="0"/>
      <w:marBottom w:val="120"/>
      <w:divBdr>
        <w:top w:val="none" w:sz="0" w:space="0" w:color="auto"/>
        <w:left w:val="none" w:sz="0" w:space="0" w:color="auto"/>
        <w:bottom w:val="none" w:sz="0" w:space="0" w:color="auto"/>
        <w:right w:val="none" w:sz="0" w:space="0" w:color="auto"/>
      </w:divBdr>
    </w:div>
    <w:div w:id="855190021">
      <w:marLeft w:val="0"/>
      <w:marRight w:val="0"/>
      <w:marTop w:val="0"/>
      <w:marBottom w:val="120"/>
      <w:divBdr>
        <w:top w:val="none" w:sz="0" w:space="0" w:color="auto"/>
        <w:left w:val="none" w:sz="0" w:space="0" w:color="auto"/>
        <w:bottom w:val="none" w:sz="0" w:space="0" w:color="auto"/>
        <w:right w:val="none" w:sz="0" w:space="0" w:color="auto"/>
      </w:divBdr>
    </w:div>
    <w:div w:id="855844509">
      <w:marLeft w:val="0"/>
      <w:marRight w:val="0"/>
      <w:marTop w:val="0"/>
      <w:marBottom w:val="0"/>
      <w:divBdr>
        <w:top w:val="none" w:sz="0" w:space="0" w:color="auto"/>
        <w:left w:val="none" w:sz="0" w:space="0" w:color="auto"/>
        <w:bottom w:val="none" w:sz="0" w:space="0" w:color="auto"/>
        <w:right w:val="none" w:sz="0" w:space="0" w:color="auto"/>
      </w:divBdr>
      <w:divsChild>
        <w:div w:id="1160583481">
          <w:marLeft w:val="0"/>
          <w:marRight w:val="0"/>
          <w:marTop w:val="0"/>
          <w:marBottom w:val="0"/>
          <w:divBdr>
            <w:top w:val="none" w:sz="0" w:space="0" w:color="auto"/>
            <w:left w:val="none" w:sz="0" w:space="0" w:color="auto"/>
            <w:bottom w:val="none" w:sz="0" w:space="0" w:color="auto"/>
            <w:right w:val="none" w:sz="0" w:space="0" w:color="auto"/>
          </w:divBdr>
          <w:divsChild>
            <w:div w:id="7599850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59004642">
      <w:marLeft w:val="0"/>
      <w:marRight w:val="0"/>
      <w:marTop w:val="0"/>
      <w:marBottom w:val="120"/>
      <w:divBdr>
        <w:top w:val="none" w:sz="0" w:space="0" w:color="auto"/>
        <w:left w:val="none" w:sz="0" w:space="0" w:color="auto"/>
        <w:bottom w:val="none" w:sz="0" w:space="0" w:color="auto"/>
        <w:right w:val="none" w:sz="0" w:space="0" w:color="auto"/>
      </w:divBdr>
    </w:div>
    <w:div w:id="859199950">
      <w:marLeft w:val="0"/>
      <w:marRight w:val="0"/>
      <w:marTop w:val="0"/>
      <w:marBottom w:val="120"/>
      <w:divBdr>
        <w:top w:val="none" w:sz="0" w:space="0" w:color="auto"/>
        <w:left w:val="none" w:sz="0" w:space="0" w:color="auto"/>
        <w:bottom w:val="none" w:sz="0" w:space="0" w:color="auto"/>
        <w:right w:val="none" w:sz="0" w:space="0" w:color="auto"/>
      </w:divBdr>
    </w:div>
    <w:div w:id="861554229">
      <w:marLeft w:val="0"/>
      <w:marRight w:val="0"/>
      <w:marTop w:val="0"/>
      <w:marBottom w:val="120"/>
      <w:divBdr>
        <w:top w:val="none" w:sz="0" w:space="0" w:color="auto"/>
        <w:left w:val="none" w:sz="0" w:space="0" w:color="auto"/>
        <w:bottom w:val="none" w:sz="0" w:space="0" w:color="auto"/>
        <w:right w:val="none" w:sz="0" w:space="0" w:color="auto"/>
      </w:divBdr>
    </w:div>
    <w:div w:id="862404868">
      <w:marLeft w:val="0"/>
      <w:marRight w:val="0"/>
      <w:marTop w:val="0"/>
      <w:marBottom w:val="120"/>
      <w:divBdr>
        <w:top w:val="none" w:sz="0" w:space="0" w:color="auto"/>
        <w:left w:val="none" w:sz="0" w:space="0" w:color="auto"/>
        <w:bottom w:val="none" w:sz="0" w:space="0" w:color="auto"/>
        <w:right w:val="none" w:sz="0" w:space="0" w:color="auto"/>
      </w:divBdr>
    </w:div>
    <w:div w:id="862472224">
      <w:marLeft w:val="0"/>
      <w:marRight w:val="0"/>
      <w:marTop w:val="240"/>
      <w:marBottom w:val="240"/>
      <w:divBdr>
        <w:top w:val="none" w:sz="0" w:space="0" w:color="auto"/>
        <w:left w:val="none" w:sz="0" w:space="0" w:color="auto"/>
        <w:bottom w:val="none" w:sz="0" w:space="0" w:color="auto"/>
        <w:right w:val="none" w:sz="0" w:space="0" w:color="auto"/>
      </w:divBdr>
    </w:div>
    <w:div w:id="864365014">
      <w:marLeft w:val="0"/>
      <w:marRight w:val="0"/>
      <w:marTop w:val="0"/>
      <w:marBottom w:val="120"/>
      <w:divBdr>
        <w:top w:val="none" w:sz="0" w:space="0" w:color="auto"/>
        <w:left w:val="none" w:sz="0" w:space="0" w:color="auto"/>
        <w:bottom w:val="none" w:sz="0" w:space="0" w:color="auto"/>
        <w:right w:val="none" w:sz="0" w:space="0" w:color="auto"/>
      </w:divBdr>
    </w:div>
    <w:div w:id="865678052">
      <w:marLeft w:val="0"/>
      <w:marRight w:val="0"/>
      <w:marTop w:val="0"/>
      <w:marBottom w:val="120"/>
      <w:divBdr>
        <w:top w:val="none" w:sz="0" w:space="0" w:color="auto"/>
        <w:left w:val="none" w:sz="0" w:space="0" w:color="auto"/>
        <w:bottom w:val="none" w:sz="0" w:space="0" w:color="auto"/>
        <w:right w:val="none" w:sz="0" w:space="0" w:color="auto"/>
      </w:divBdr>
    </w:div>
    <w:div w:id="868681017">
      <w:marLeft w:val="0"/>
      <w:marRight w:val="0"/>
      <w:marTop w:val="0"/>
      <w:marBottom w:val="120"/>
      <w:divBdr>
        <w:top w:val="none" w:sz="0" w:space="0" w:color="auto"/>
        <w:left w:val="none" w:sz="0" w:space="0" w:color="auto"/>
        <w:bottom w:val="none" w:sz="0" w:space="0" w:color="auto"/>
        <w:right w:val="none" w:sz="0" w:space="0" w:color="auto"/>
      </w:divBdr>
    </w:div>
    <w:div w:id="869954641">
      <w:marLeft w:val="0"/>
      <w:marRight w:val="0"/>
      <w:marTop w:val="0"/>
      <w:marBottom w:val="120"/>
      <w:divBdr>
        <w:top w:val="none" w:sz="0" w:space="0" w:color="auto"/>
        <w:left w:val="none" w:sz="0" w:space="0" w:color="auto"/>
        <w:bottom w:val="none" w:sz="0" w:space="0" w:color="auto"/>
        <w:right w:val="none" w:sz="0" w:space="0" w:color="auto"/>
      </w:divBdr>
    </w:div>
    <w:div w:id="872888422">
      <w:marLeft w:val="0"/>
      <w:marRight w:val="0"/>
      <w:marTop w:val="0"/>
      <w:marBottom w:val="120"/>
      <w:divBdr>
        <w:top w:val="none" w:sz="0" w:space="0" w:color="auto"/>
        <w:left w:val="none" w:sz="0" w:space="0" w:color="auto"/>
        <w:bottom w:val="none" w:sz="0" w:space="0" w:color="auto"/>
        <w:right w:val="none" w:sz="0" w:space="0" w:color="auto"/>
      </w:divBdr>
    </w:div>
    <w:div w:id="876159545">
      <w:marLeft w:val="0"/>
      <w:marRight w:val="0"/>
      <w:marTop w:val="0"/>
      <w:marBottom w:val="120"/>
      <w:divBdr>
        <w:top w:val="none" w:sz="0" w:space="0" w:color="auto"/>
        <w:left w:val="none" w:sz="0" w:space="0" w:color="auto"/>
        <w:bottom w:val="none" w:sz="0" w:space="0" w:color="auto"/>
        <w:right w:val="none" w:sz="0" w:space="0" w:color="auto"/>
      </w:divBdr>
    </w:div>
    <w:div w:id="877426374">
      <w:marLeft w:val="0"/>
      <w:marRight w:val="0"/>
      <w:marTop w:val="0"/>
      <w:marBottom w:val="0"/>
      <w:divBdr>
        <w:top w:val="none" w:sz="0" w:space="0" w:color="auto"/>
        <w:left w:val="none" w:sz="0" w:space="0" w:color="auto"/>
        <w:bottom w:val="none" w:sz="0" w:space="0" w:color="auto"/>
        <w:right w:val="none" w:sz="0" w:space="0" w:color="auto"/>
      </w:divBdr>
      <w:divsChild>
        <w:div w:id="912197464">
          <w:marLeft w:val="0"/>
          <w:marRight w:val="0"/>
          <w:marTop w:val="0"/>
          <w:marBottom w:val="120"/>
          <w:divBdr>
            <w:top w:val="none" w:sz="0" w:space="0" w:color="auto"/>
            <w:left w:val="none" w:sz="0" w:space="0" w:color="auto"/>
            <w:bottom w:val="none" w:sz="0" w:space="0" w:color="auto"/>
            <w:right w:val="none" w:sz="0" w:space="0" w:color="auto"/>
          </w:divBdr>
        </w:div>
      </w:divsChild>
    </w:div>
    <w:div w:id="883255432">
      <w:marLeft w:val="0"/>
      <w:marRight w:val="0"/>
      <w:marTop w:val="240"/>
      <w:marBottom w:val="240"/>
      <w:divBdr>
        <w:top w:val="none" w:sz="0" w:space="0" w:color="auto"/>
        <w:left w:val="none" w:sz="0" w:space="0" w:color="auto"/>
        <w:bottom w:val="none" w:sz="0" w:space="0" w:color="auto"/>
        <w:right w:val="none" w:sz="0" w:space="0" w:color="auto"/>
      </w:divBdr>
    </w:div>
    <w:div w:id="886064460">
      <w:marLeft w:val="0"/>
      <w:marRight w:val="0"/>
      <w:marTop w:val="0"/>
      <w:marBottom w:val="120"/>
      <w:divBdr>
        <w:top w:val="none" w:sz="0" w:space="0" w:color="auto"/>
        <w:left w:val="none" w:sz="0" w:space="0" w:color="auto"/>
        <w:bottom w:val="none" w:sz="0" w:space="0" w:color="auto"/>
        <w:right w:val="none" w:sz="0" w:space="0" w:color="auto"/>
      </w:divBdr>
    </w:div>
    <w:div w:id="886138147">
      <w:marLeft w:val="0"/>
      <w:marRight w:val="0"/>
      <w:marTop w:val="0"/>
      <w:marBottom w:val="0"/>
      <w:divBdr>
        <w:top w:val="none" w:sz="0" w:space="0" w:color="auto"/>
        <w:left w:val="none" w:sz="0" w:space="0" w:color="auto"/>
        <w:bottom w:val="none" w:sz="0" w:space="0" w:color="auto"/>
        <w:right w:val="none" w:sz="0" w:space="0" w:color="auto"/>
      </w:divBdr>
      <w:divsChild>
        <w:div w:id="1457679836">
          <w:marLeft w:val="0"/>
          <w:marRight w:val="0"/>
          <w:marTop w:val="0"/>
          <w:marBottom w:val="0"/>
          <w:divBdr>
            <w:top w:val="none" w:sz="0" w:space="0" w:color="auto"/>
            <w:left w:val="none" w:sz="0" w:space="0" w:color="auto"/>
            <w:bottom w:val="none" w:sz="0" w:space="0" w:color="auto"/>
            <w:right w:val="none" w:sz="0" w:space="0" w:color="auto"/>
          </w:divBdr>
          <w:divsChild>
            <w:div w:id="6450842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88032283">
      <w:marLeft w:val="0"/>
      <w:marRight w:val="0"/>
      <w:marTop w:val="0"/>
      <w:marBottom w:val="120"/>
      <w:divBdr>
        <w:top w:val="none" w:sz="0" w:space="0" w:color="auto"/>
        <w:left w:val="none" w:sz="0" w:space="0" w:color="auto"/>
        <w:bottom w:val="none" w:sz="0" w:space="0" w:color="auto"/>
        <w:right w:val="none" w:sz="0" w:space="0" w:color="auto"/>
      </w:divBdr>
    </w:div>
    <w:div w:id="889683863">
      <w:marLeft w:val="0"/>
      <w:marRight w:val="0"/>
      <w:marTop w:val="0"/>
      <w:marBottom w:val="0"/>
      <w:divBdr>
        <w:top w:val="none" w:sz="0" w:space="0" w:color="auto"/>
        <w:left w:val="none" w:sz="0" w:space="0" w:color="auto"/>
        <w:bottom w:val="none" w:sz="0" w:space="0" w:color="auto"/>
        <w:right w:val="none" w:sz="0" w:space="0" w:color="auto"/>
      </w:divBdr>
    </w:div>
    <w:div w:id="898049945">
      <w:marLeft w:val="0"/>
      <w:marRight w:val="0"/>
      <w:marTop w:val="0"/>
      <w:marBottom w:val="120"/>
      <w:divBdr>
        <w:top w:val="none" w:sz="0" w:space="0" w:color="auto"/>
        <w:left w:val="none" w:sz="0" w:space="0" w:color="auto"/>
        <w:bottom w:val="none" w:sz="0" w:space="0" w:color="auto"/>
        <w:right w:val="none" w:sz="0" w:space="0" w:color="auto"/>
      </w:divBdr>
    </w:div>
    <w:div w:id="898369215">
      <w:marLeft w:val="0"/>
      <w:marRight w:val="0"/>
      <w:marTop w:val="0"/>
      <w:marBottom w:val="120"/>
      <w:divBdr>
        <w:top w:val="none" w:sz="0" w:space="0" w:color="auto"/>
        <w:left w:val="none" w:sz="0" w:space="0" w:color="auto"/>
        <w:bottom w:val="none" w:sz="0" w:space="0" w:color="auto"/>
        <w:right w:val="none" w:sz="0" w:space="0" w:color="auto"/>
      </w:divBdr>
    </w:div>
    <w:div w:id="900284442">
      <w:marLeft w:val="0"/>
      <w:marRight w:val="0"/>
      <w:marTop w:val="0"/>
      <w:marBottom w:val="120"/>
      <w:divBdr>
        <w:top w:val="none" w:sz="0" w:space="0" w:color="auto"/>
        <w:left w:val="none" w:sz="0" w:space="0" w:color="auto"/>
        <w:bottom w:val="none" w:sz="0" w:space="0" w:color="auto"/>
        <w:right w:val="none" w:sz="0" w:space="0" w:color="auto"/>
      </w:divBdr>
    </w:div>
    <w:div w:id="901452299">
      <w:marLeft w:val="0"/>
      <w:marRight w:val="0"/>
      <w:marTop w:val="0"/>
      <w:marBottom w:val="120"/>
      <w:divBdr>
        <w:top w:val="none" w:sz="0" w:space="0" w:color="auto"/>
        <w:left w:val="none" w:sz="0" w:space="0" w:color="auto"/>
        <w:bottom w:val="none" w:sz="0" w:space="0" w:color="auto"/>
        <w:right w:val="none" w:sz="0" w:space="0" w:color="auto"/>
      </w:divBdr>
    </w:div>
    <w:div w:id="910889335">
      <w:marLeft w:val="0"/>
      <w:marRight w:val="0"/>
      <w:marTop w:val="0"/>
      <w:marBottom w:val="120"/>
      <w:divBdr>
        <w:top w:val="none" w:sz="0" w:space="0" w:color="auto"/>
        <w:left w:val="none" w:sz="0" w:space="0" w:color="auto"/>
        <w:bottom w:val="none" w:sz="0" w:space="0" w:color="auto"/>
        <w:right w:val="none" w:sz="0" w:space="0" w:color="auto"/>
      </w:divBdr>
    </w:div>
    <w:div w:id="912272963">
      <w:marLeft w:val="0"/>
      <w:marRight w:val="0"/>
      <w:marTop w:val="240"/>
      <w:marBottom w:val="0"/>
      <w:divBdr>
        <w:top w:val="none" w:sz="0" w:space="0" w:color="auto"/>
        <w:left w:val="none" w:sz="0" w:space="0" w:color="auto"/>
        <w:bottom w:val="none" w:sz="0" w:space="0" w:color="auto"/>
        <w:right w:val="none" w:sz="0" w:space="0" w:color="auto"/>
      </w:divBdr>
    </w:div>
    <w:div w:id="914438268">
      <w:marLeft w:val="0"/>
      <w:marRight w:val="0"/>
      <w:marTop w:val="0"/>
      <w:marBottom w:val="0"/>
      <w:divBdr>
        <w:top w:val="none" w:sz="0" w:space="0" w:color="auto"/>
        <w:left w:val="none" w:sz="0" w:space="0" w:color="auto"/>
        <w:bottom w:val="none" w:sz="0" w:space="0" w:color="auto"/>
        <w:right w:val="none" w:sz="0" w:space="0" w:color="auto"/>
      </w:divBdr>
      <w:divsChild>
        <w:div w:id="1171289685">
          <w:marLeft w:val="0"/>
          <w:marRight w:val="0"/>
          <w:marTop w:val="0"/>
          <w:marBottom w:val="120"/>
          <w:divBdr>
            <w:top w:val="none" w:sz="0" w:space="0" w:color="auto"/>
            <w:left w:val="none" w:sz="0" w:space="0" w:color="auto"/>
            <w:bottom w:val="none" w:sz="0" w:space="0" w:color="auto"/>
            <w:right w:val="none" w:sz="0" w:space="0" w:color="auto"/>
          </w:divBdr>
        </w:div>
      </w:divsChild>
    </w:div>
    <w:div w:id="914824333">
      <w:marLeft w:val="0"/>
      <w:marRight w:val="0"/>
      <w:marTop w:val="0"/>
      <w:marBottom w:val="120"/>
      <w:divBdr>
        <w:top w:val="none" w:sz="0" w:space="0" w:color="auto"/>
        <w:left w:val="none" w:sz="0" w:space="0" w:color="auto"/>
        <w:bottom w:val="none" w:sz="0" w:space="0" w:color="auto"/>
        <w:right w:val="none" w:sz="0" w:space="0" w:color="auto"/>
      </w:divBdr>
    </w:div>
    <w:div w:id="922569385">
      <w:marLeft w:val="0"/>
      <w:marRight w:val="0"/>
      <w:marTop w:val="0"/>
      <w:marBottom w:val="0"/>
      <w:divBdr>
        <w:top w:val="none" w:sz="0" w:space="0" w:color="auto"/>
        <w:left w:val="none" w:sz="0" w:space="0" w:color="auto"/>
        <w:bottom w:val="none" w:sz="0" w:space="0" w:color="auto"/>
        <w:right w:val="none" w:sz="0" w:space="0" w:color="auto"/>
      </w:divBdr>
      <w:divsChild>
        <w:div w:id="1471245908">
          <w:marLeft w:val="0"/>
          <w:marRight w:val="0"/>
          <w:marTop w:val="0"/>
          <w:marBottom w:val="0"/>
          <w:divBdr>
            <w:top w:val="none" w:sz="0" w:space="0" w:color="auto"/>
            <w:left w:val="none" w:sz="0" w:space="0" w:color="auto"/>
            <w:bottom w:val="none" w:sz="0" w:space="0" w:color="auto"/>
            <w:right w:val="none" w:sz="0" w:space="0" w:color="auto"/>
          </w:divBdr>
          <w:divsChild>
            <w:div w:id="1099911392">
              <w:marLeft w:val="0"/>
              <w:marRight w:val="0"/>
              <w:marTop w:val="140"/>
              <w:marBottom w:val="120"/>
              <w:divBdr>
                <w:top w:val="none" w:sz="0" w:space="0" w:color="auto"/>
                <w:left w:val="none" w:sz="0" w:space="0" w:color="auto"/>
                <w:bottom w:val="none" w:sz="0" w:space="0" w:color="auto"/>
                <w:right w:val="none" w:sz="0" w:space="0" w:color="auto"/>
              </w:divBdr>
            </w:div>
            <w:div w:id="8595079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22766354">
      <w:marLeft w:val="0"/>
      <w:marRight w:val="0"/>
      <w:marTop w:val="0"/>
      <w:marBottom w:val="120"/>
      <w:divBdr>
        <w:top w:val="none" w:sz="0" w:space="0" w:color="auto"/>
        <w:left w:val="none" w:sz="0" w:space="0" w:color="auto"/>
        <w:bottom w:val="none" w:sz="0" w:space="0" w:color="auto"/>
        <w:right w:val="none" w:sz="0" w:space="0" w:color="auto"/>
      </w:divBdr>
      <w:divsChild>
        <w:div w:id="200286691">
          <w:marLeft w:val="0"/>
          <w:marRight w:val="0"/>
          <w:marTop w:val="0"/>
          <w:marBottom w:val="0"/>
          <w:divBdr>
            <w:top w:val="none" w:sz="0" w:space="0" w:color="auto"/>
            <w:left w:val="none" w:sz="0" w:space="0" w:color="auto"/>
            <w:bottom w:val="none" w:sz="0" w:space="0" w:color="auto"/>
            <w:right w:val="none" w:sz="0" w:space="0" w:color="auto"/>
          </w:divBdr>
        </w:div>
        <w:div w:id="415828135">
          <w:marLeft w:val="0"/>
          <w:marRight w:val="0"/>
          <w:marTop w:val="0"/>
          <w:marBottom w:val="0"/>
          <w:divBdr>
            <w:top w:val="none" w:sz="0" w:space="0" w:color="auto"/>
            <w:left w:val="none" w:sz="0" w:space="0" w:color="auto"/>
            <w:bottom w:val="none" w:sz="0" w:space="0" w:color="auto"/>
            <w:right w:val="none" w:sz="0" w:space="0" w:color="auto"/>
          </w:divBdr>
        </w:div>
        <w:div w:id="2019230414">
          <w:marLeft w:val="0"/>
          <w:marRight w:val="0"/>
          <w:marTop w:val="0"/>
          <w:marBottom w:val="0"/>
          <w:divBdr>
            <w:top w:val="none" w:sz="0" w:space="0" w:color="auto"/>
            <w:left w:val="none" w:sz="0" w:space="0" w:color="auto"/>
            <w:bottom w:val="none" w:sz="0" w:space="0" w:color="auto"/>
            <w:right w:val="none" w:sz="0" w:space="0" w:color="auto"/>
          </w:divBdr>
        </w:div>
        <w:div w:id="243808027">
          <w:marLeft w:val="0"/>
          <w:marRight w:val="0"/>
          <w:marTop w:val="0"/>
          <w:marBottom w:val="0"/>
          <w:divBdr>
            <w:top w:val="none" w:sz="0" w:space="0" w:color="auto"/>
            <w:left w:val="none" w:sz="0" w:space="0" w:color="auto"/>
            <w:bottom w:val="none" w:sz="0" w:space="0" w:color="auto"/>
            <w:right w:val="none" w:sz="0" w:space="0" w:color="auto"/>
          </w:divBdr>
        </w:div>
      </w:divsChild>
    </w:div>
    <w:div w:id="924150150">
      <w:marLeft w:val="0"/>
      <w:marRight w:val="0"/>
      <w:marTop w:val="0"/>
      <w:marBottom w:val="120"/>
      <w:divBdr>
        <w:top w:val="none" w:sz="0" w:space="0" w:color="auto"/>
        <w:left w:val="none" w:sz="0" w:space="0" w:color="auto"/>
        <w:bottom w:val="none" w:sz="0" w:space="0" w:color="auto"/>
        <w:right w:val="none" w:sz="0" w:space="0" w:color="auto"/>
      </w:divBdr>
    </w:div>
    <w:div w:id="924459322">
      <w:marLeft w:val="0"/>
      <w:marRight w:val="0"/>
      <w:marTop w:val="0"/>
      <w:marBottom w:val="0"/>
      <w:divBdr>
        <w:top w:val="none" w:sz="0" w:space="0" w:color="auto"/>
        <w:left w:val="none" w:sz="0" w:space="0" w:color="auto"/>
        <w:bottom w:val="none" w:sz="0" w:space="0" w:color="auto"/>
        <w:right w:val="none" w:sz="0" w:space="0" w:color="auto"/>
      </w:divBdr>
      <w:divsChild>
        <w:div w:id="1373728547">
          <w:marLeft w:val="0"/>
          <w:marRight w:val="0"/>
          <w:marTop w:val="0"/>
          <w:marBottom w:val="120"/>
          <w:divBdr>
            <w:top w:val="none" w:sz="0" w:space="0" w:color="auto"/>
            <w:left w:val="none" w:sz="0" w:space="0" w:color="auto"/>
            <w:bottom w:val="none" w:sz="0" w:space="0" w:color="auto"/>
            <w:right w:val="none" w:sz="0" w:space="0" w:color="auto"/>
          </w:divBdr>
        </w:div>
      </w:divsChild>
    </w:div>
    <w:div w:id="926420542">
      <w:marLeft w:val="0"/>
      <w:marRight w:val="0"/>
      <w:marTop w:val="180"/>
      <w:marBottom w:val="120"/>
      <w:divBdr>
        <w:top w:val="none" w:sz="0" w:space="0" w:color="auto"/>
        <w:left w:val="none" w:sz="0" w:space="0" w:color="auto"/>
        <w:bottom w:val="none" w:sz="0" w:space="0" w:color="auto"/>
        <w:right w:val="none" w:sz="0" w:space="0" w:color="auto"/>
      </w:divBdr>
    </w:div>
    <w:div w:id="927008140">
      <w:marLeft w:val="0"/>
      <w:marRight w:val="0"/>
      <w:marTop w:val="0"/>
      <w:marBottom w:val="120"/>
      <w:divBdr>
        <w:top w:val="none" w:sz="0" w:space="0" w:color="auto"/>
        <w:left w:val="none" w:sz="0" w:space="0" w:color="auto"/>
        <w:bottom w:val="none" w:sz="0" w:space="0" w:color="auto"/>
        <w:right w:val="none" w:sz="0" w:space="0" w:color="auto"/>
      </w:divBdr>
    </w:div>
    <w:div w:id="928805141">
      <w:marLeft w:val="0"/>
      <w:marRight w:val="0"/>
      <w:marTop w:val="0"/>
      <w:marBottom w:val="0"/>
      <w:divBdr>
        <w:top w:val="none" w:sz="0" w:space="0" w:color="auto"/>
        <w:left w:val="none" w:sz="0" w:space="0" w:color="auto"/>
        <w:bottom w:val="none" w:sz="0" w:space="0" w:color="auto"/>
        <w:right w:val="none" w:sz="0" w:space="0" w:color="auto"/>
      </w:divBdr>
      <w:divsChild>
        <w:div w:id="898636286">
          <w:marLeft w:val="0"/>
          <w:marRight w:val="0"/>
          <w:marTop w:val="0"/>
          <w:marBottom w:val="0"/>
          <w:divBdr>
            <w:top w:val="none" w:sz="0" w:space="0" w:color="auto"/>
            <w:left w:val="none" w:sz="0" w:space="0" w:color="auto"/>
            <w:bottom w:val="none" w:sz="0" w:space="0" w:color="auto"/>
            <w:right w:val="none" w:sz="0" w:space="0" w:color="auto"/>
          </w:divBdr>
          <w:divsChild>
            <w:div w:id="7546640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31009843">
      <w:marLeft w:val="0"/>
      <w:marRight w:val="0"/>
      <w:marTop w:val="0"/>
      <w:marBottom w:val="140"/>
      <w:divBdr>
        <w:top w:val="none" w:sz="0" w:space="0" w:color="auto"/>
        <w:left w:val="none" w:sz="0" w:space="0" w:color="auto"/>
        <w:bottom w:val="none" w:sz="0" w:space="0" w:color="auto"/>
        <w:right w:val="none" w:sz="0" w:space="0" w:color="auto"/>
      </w:divBdr>
      <w:divsChild>
        <w:div w:id="2061974531">
          <w:marLeft w:val="0"/>
          <w:marRight w:val="0"/>
          <w:marTop w:val="0"/>
          <w:marBottom w:val="0"/>
          <w:divBdr>
            <w:top w:val="none" w:sz="0" w:space="0" w:color="auto"/>
            <w:left w:val="none" w:sz="0" w:space="0" w:color="auto"/>
            <w:bottom w:val="none" w:sz="0" w:space="0" w:color="auto"/>
            <w:right w:val="none" w:sz="0" w:space="0" w:color="auto"/>
          </w:divBdr>
        </w:div>
      </w:divsChild>
    </w:div>
    <w:div w:id="931666385">
      <w:marLeft w:val="0"/>
      <w:marRight w:val="0"/>
      <w:marTop w:val="240"/>
      <w:marBottom w:val="0"/>
      <w:divBdr>
        <w:top w:val="none" w:sz="0" w:space="0" w:color="auto"/>
        <w:left w:val="none" w:sz="0" w:space="0" w:color="auto"/>
        <w:bottom w:val="none" w:sz="0" w:space="0" w:color="auto"/>
        <w:right w:val="none" w:sz="0" w:space="0" w:color="auto"/>
      </w:divBdr>
    </w:div>
    <w:div w:id="932589150">
      <w:marLeft w:val="0"/>
      <w:marRight w:val="0"/>
      <w:marTop w:val="240"/>
      <w:marBottom w:val="240"/>
      <w:divBdr>
        <w:top w:val="none" w:sz="0" w:space="0" w:color="auto"/>
        <w:left w:val="none" w:sz="0" w:space="0" w:color="auto"/>
        <w:bottom w:val="none" w:sz="0" w:space="0" w:color="auto"/>
        <w:right w:val="none" w:sz="0" w:space="0" w:color="auto"/>
      </w:divBdr>
    </w:div>
    <w:div w:id="933853961">
      <w:marLeft w:val="0"/>
      <w:marRight w:val="0"/>
      <w:marTop w:val="240"/>
      <w:marBottom w:val="0"/>
      <w:divBdr>
        <w:top w:val="none" w:sz="0" w:space="0" w:color="auto"/>
        <w:left w:val="none" w:sz="0" w:space="0" w:color="auto"/>
        <w:bottom w:val="none" w:sz="0" w:space="0" w:color="auto"/>
        <w:right w:val="none" w:sz="0" w:space="0" w:color="auto"/>
      </w:divBdr>
    </w:div>
    <w:div w:id="937297341">
      <w:marLeft w:val="0"/>
      <w:marRight w:val="0"/>
      <w:marTop w:val="0"/>
      <w:marBottom w:val="120"/>
      <w:divBdr>
        <w:top w:val="none" w:sz="0" w:space="0" w:color="auto"/>
        <w:left w:val="none" w:sz="0" w:space="0" w:color="auto"/>
        <w:bottom w:val="none" w:sz="0" w:space="0" w:color="auto"/>
        <w:right w:val="none" w:sz="0" w:space="0" w:color="auto"/>
      </w:divBdr>
    </w:div>
    <w:div w:id="941692280">
      <w:marLeft w:val="0"/>
      <w:marRight w:val="0"/>
      <w:marTop w:val="0"/>
      <w:marBottom w:val="120"/>
      <w:divBdr>
        <w:top w:val="none" w:sz="0" w:space="0" w:color="auto"/>
        <w:left w:val="none" w:sz="0" w:space="0" w:color="auto"/>
        <w:bottom w:val="none" w:sz="0" w:space="0" w:color="auto"/>
        <w:right w:val="none" w:sz="0" w:space="0" w:color="auto"/>
      </w:divBdr>
    </w:div>
    <w:div w:id="943347385">
      <w:marLeft w:val="0"/>
      <w:marRight w:val="0"/>
      <w:marTop w:val="0"/>
      <w:marBottom w:val="120"/>
      <w:divBdr>
        <w:top w:val="none" w:sz="0" w:space="0" w:color="auto"/>
        <w:left w:val="none" w:sz="0" w:space="0" w:color="auto"/>
        <w:bottom w:val="none" w:sz="0" w:space="0" w:color="auto"/>
        <w:right w:val="none" w:sz="0" w:space="0" w:color="auto"/>
      </w:divBdr>
    </w:div>
    <w:div w:id="943808877">
      <w:marLeft w:val="0"/>
      <w:marRight w:val="0"/>
      <w:marTop w:val="0"/>
      <w:marBottom w:val="120"/>
      <w:divBdr>
        <w:top w:val="none" w:sz="0" w:space="0" w:color="auto"/>
        <w:left w:val="none" w:sz="0" w:space="0" w:color="auto"/>
        <w:bottom w:val="none" w:sz="0" w:space="0" w:color="auto"/>
        <w:right w:val="none" w:sz="0" w:space="0" w:color="auto"/>
      </w:divBdr>
    </w:div>
    <w:div w:id="945191257">
      <w:marLeft w:val="0"/>
      <w:marRight w:val="0"/>
      <w:marTop w:val="0"/>
      <w:marBottom w:val="120"/>
      <w:divBdr>
        <w:top w:val="none" w:sz="0" w:space="0" w:color="auto"/>
        <w:left w:val="none" w:sz="0" w:space="0" w:color="auto"/>
        <w:bottom w:val="none" w:sz="0" w:space="0" w:color="auto"/>
        <w:right w:val="none" w:sz="0" w:space="0" w:color="auto"/>
      </w:divBdr>
    </w:div>
    <w:div w:id="945312961">
      <w:marLeft w:val="0"/>
      <w:marRight w:val="0"/>
      <w:marTop w:val="0"/>
      <w:marBottom w:val="120"/>
      <w:divBdr>
        <w:top w:val="none" w:sz="0" w:space="0" w:color="auto"/>
        <w:left w:val="none" w:sz="0" w:space="0" w:color="auto"/>
        <w:bottom w:val="none" w:sz="0" w:space="0" w:color="auto"/>
        <w:right w:val="none" w:sz="0" w:space="0" w:color="auto"/>
      </w:divBdr>
    </w:div>
    <w:div w:id="947351634">
      <w:marLeft w:val="0"/>
      <w:marRight w:val="0"/>
      <w:marTop w:val="0"/>
      <w:marBottom w:val="0"/>
      <w:divBdr>
        <w:top w:val="none" w:sz="0" w:space="0" w:color="auto"/>
        <w:left w:val="none" w:sz="0" w:space="0" w:color="auto"/>
        <w:bottom w:val="none" w:sz="0" w:space="0" w:color="auto"/>
        <w:right w:val="none" w:sz="0" w:space="0" w:color="auto"/>
      </w:divBdr>
    </w:div>
    <w:div w:id="949355007">
      <w:marLeft w:val="0"/>
      <w:marRight w:val="0"/>
      <w:marTop w:val="0"/>
      <w:marBottom w:val="120"/>
      <w:divBdr>
        <w:top w:val="none" w:sz="0" w:space="0" w:color="auto"/>
        <w:left w:val="none" w:sz="0" w:space="0" w:color="auto"/>
        <w:bottom w:val="none" w:sz="0" w:space="0" w:color="auto"/>
        <w:right w:val="none" w:sz="0" w:space="0" w:color="auto"/>
      </w:divBdr>
    </w:div>
    <w:div w:id="949510992">
      <w:marLeft w:val="0"/>
      <w:marRight w:val="0"/>
      <w:marTop w:val="0"/>
      <w:marBottom w:val="0"/>
      <w:divBdr>
        <w:top w:val="none" w:sz="0" w:space="0" w:color="auto"/>
        <w:left w:val="none" w:sz="0" w:space="0" w:color="auto"/>
        <w:bottom w:val="none" w:sz="0" w:space="0" w:color="auto"/>
        <w:right w:val="none" w:sz="0" w:space="0" w:color="auto"/>
      </w:divBdr>
      <w:divsChild>
        <w:div w:id="1284533851">
          <w:marLeft w:val="0"/>
          <w:marRight w:val="0"/>
          <w:marTop w:val="0"/>
          <w:marBottom w:val="0"/>
          <w:divBdr>
            <w:top w:val="none" w:sz="0" w:space="0" w:color="auto"/>
            <w:left w:val="none" w:sz="0" w:space="0" w:color="auto"/>
            <w:bottom w:val="none" w:sz="0" w:space="0" w:color="auto"/>
            <w:right w:val="none" w:sz="0" w:space="0" w:color="auto"/>
          </w:divBdr>
          <w:divsChild>
            <w:div w:id="14449621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51715128">
      <w:marLeft w:val="0"/>
      <w:marRight w:val="0"/>
      <w:marTop w:val="0"/>
      <w:marBottom w:val="20"/>
      <w:divBdr>
        <w:top w:val="none" w:sz="0" w:space="0" w:color="auto"/>
        <w:left w:val="none" w:sz="0" w:space="0" w:color="auto"/>
        <w:bottom w:val="none" w:sz="0" w:space="0" w:color="auto"/>
        <w:right w:val="none" w:sz="0" w:space="0" w:color="auto"/>
      </w:divBdr>
    </w:div>
    <w:div w:id="957419885">
      <w:marLeft w:val="0"/>
      <w:marRight w:val="0"/>
      <w:marTop w:val="120"/>
      <w:marBottom w:val="120"/>
      <w:divBdr>
        <w:top w:val="none" w:sz="0" w:space="0" w:color="auto"/>
        <w:left w:val="none" w:sz="0" w:space="0" w:color="auto"/>
        <w:bottom w:val="none" w:sz="0" w:space="0" w:color="auto"/>
        <w:right w:val="none" w:sz="0" w:space="0" w:color="auto"/>
      </w:divBdr>
    </w:div>
    <w:div w:id="957642044">
      <w:marLeft w:val="0"/>
      <w:marRight w:val="0"/>
      <w:marTop w:val="240"/>
      <w:marBottom w:val="240"/>
      <w:divBdr>
        <w:top w:val="none" w:sz="0" w:space="0" w:color="auto"/>
        <w:left w:val="none" w:sz="0" w:space="0" w:color="auto"/>
        <w:bottom w:val="none" w:sz="0" w:space="0" w:color="auto"/>
        <w:right w:val="none" w:sz="0" w:space="0" w:color="auto"/>
      </w:divBdr>
    </w:div>
    <w:div w:id="960456731">
      <w:marLeft w:val="0"/>
      <w:marRight w:val="0"/>
      <w:marTop w:val="0"/>
      <w:marBottom w:val="120"/>
      <w:divBdr>
        <w:top w:val="none" w:sz="0" w:space="0" w:color="auto"/>
        <w:left w:val="none" w:sz="0" w:space="0" w:color="auto"/>
        <w:bottom w:val="none" w:sz="0" w:space="0" w:color="auto"/>
        <w:right w:val="none" w:sz="0" w:space="0" w:color="auto"/>
      </w:divBdr>
    </w:div>
    <w:div w:id="961155368">
      <w:marLeft w:val="0"/>
      <w:marRight w:val="0"/>
      <w:marTop w:val="0"/>
      <w:marBottom w:val="120"/>
      <w:divBdr>
        <w:top w:val="none" w:sz="0" w:space="0" w:color="auto"/>
        <w:left w:val="none" w:sz="0" w:space="0" w:color="auto"/>
        <w:bottom w:val="none" w:sz="0" w:space="0" w:color="auto"/>
        <w:right w:val="none" w:sz="0" w:space="0" w:color="auto"/>
      </w:divBdr>
    </w:div>
    <w:div w:id="961349853">
      <w:marLeft w:val="0"/>
      <w:marRight w:val="0"/>
      <w:marTop w:val="240"/>
      <w:marBottom w:val="0"/>
      <w:divBdr>
        <w:top w:val="none" w:sz="0" w:space="0" w:color="auto"/>
        <w:left w:val="none" w:sz="0" w:space="0" w:color="auto"/>
        <w:bottom w:val="none" w:sz="0" w:space="0" w:color="auto"/>
        <w:right w:val="none" w:sz="0" w:space="0" w:color="auto"/>
      </w:divBdr>
    </w:div>
    <w:div w:id="962073954">
      <w:marLeft w:val="0"/>
      <w:marRight w:val="0"/>
      <w:marTop w:val="0"/>
      <w:marBottom w:val="0"/>
      <w:divBdr>
        <w:top w:val="none" w:sz="0" w:space="0" w:color="auto"/>
        <w:left w:val="none" w:sz="0" w:space="0" w:color="auto"/>
        <w:bottom w:val="none" w:sz="0" w:space="0" w:color="auto"/>
        <w:right w:val="none" w:sz="0" w:space="0" w:color="auto"/>
      </w:divBdr>
    </w:div>
    <w:div w:id="964039532">
      <w:marLeft w:val="0"/>
      <w:marRight w:val="0"/>
      <w:marTop w:val="0"/>
      <w:marBottom w:val="120"/>
      <w:divBdr>
        <w:top w:val="none" w:sz="0" w:space="0" w:color="auto"/>
        <w:left w:val="none" w:sz="0" w:space="0" w:color="auto"/>
        <w:bottom w:val="none" w:sz="0" w:space="0" w:color="auto"/>
        <w:right w:val="none" w:sz="0" w:space="0" w:color="auto"/>
      </w:divBdr>
    </w:div>
    <w:div w:id="966205359">
      <w:marLeft w:val="0"/>
      <w:marRight w:val="0"/>
      <w:marTop w:val="0"/>
      <w:marBottom w:val="120"/>
      <w:divBdr>
        <w:top w:val="none" w:sz="0" w:space="0" w:color="auto"/>
        <w:left w:val="none" w:sz="0" w:space="0" w:color="auto"/>
        <w:bottom w:val="none" w:sz="0" w:space="0" w:color="auto"/>
        <w:right w:val="none" w:sz="0" w:space="0" w:color="auto"/>
      </w:divBdr>
    </w:div>
    <w:div w:id="967785109">
      <w:marLeft w:val="0"/>
      <w:marRight w:val="0"/>
      <w:marTop w:val="0"/>
      <w:marBottom w:val="120"/>
      <w:divBdr>
        <w:top w:val="none" w:sz="0" w:space="0" w:color="auto"/>
        <w:left w:val="none" w:sz="0" w:space="0" w:color="auto"/>
        <w:bottom w:val="none" w:sz="0" w:space="0" w:color="auto"/>
        <w:right w:val="none" w:sz="0" w:space="0" w:color="auto"/>
      </w:divBdr>
    </w:div>
    <w:div w:id="968321525">
      <w:marLeft w:val="0"/>
      <w:marRight w:val="0"/>
      <w:marTop w:val="0"/>
      <w:marBottom w:val="0"/>
      <w:divBdr>
        <w:top w:val="none" w:sz="0" w:space="0" w:color="auto"/>
        <w:left w:val="none" w:sz="0" w:space="0" w:color="auto"/>
        <w:bottom w:val="none" w:sz="0" w:space="0" w:color="auto"/>
        <w:right w:val="none" w:sz="0" w:space="0" w:color="auto"/>
      </w:divBdr>
      <w:divsChild>
        <w:div w:id="77102534">
          <w:marLeft w:val="0"/>
          <w:marRight w:val="0"/>
          <w:marTop w:val="0"/>
          <w:marBottom w:val="0"/>
          <w:divBdr>
            <w:top w:val="none" w:sz="0" w:space="0" w:color="auto"/>
            <w:left w:val="none" w:sz="0" w:space="0" w:color="auto"/>
            <w:bottom w:val="none" w:sz="0" w:space="0" w:color="auto"/>
            <w:right w:val="none" w:sz="0" w:space="0" w:color="auto"/>
          </w:divBdr>
          <w:divsChild>
            <w:div w:id="4739867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68970962">
      <w:marLeft w:val="0"/>
      <w:marRight w:val="0"/>
      <w:marTop w:val="0"/>
      <w:marBottom w:val="20"/>
      <w:divBdr>
        <w:top w:val="none" w:sz="0" w:space="0" w:color="auto"/>
        <w:left w:val="none" w:sz="0" w:space="0" w:color="auto"/>
        <w:bottom w:val="none" w:sz="0" w:space="0" w:color="auto"/>
        <w:right w:val="none" w:sz="0" w:space="0" w:color="auto"/>
      </w:divBdr>
      <w:divsChild>
        <w:div w:id="2146048453">
          <w:marLeft w:val="0"/>
          <w:marRight w:val="0"/>
          <w:marTop w:val="0"/>
          <w:marBottom w:val="0"/>
          <w:divBdr>
            <w:top w:val="none" w:sz="0" w:space="0" w:color="auto"/>
            <w:left w:val="none" w:sz="0" w:space="0" w:color="auto"/>
            <w:bottom w:val="none" w:sz="0" w:space="0" w:color="auto"/>
            <w:right w:val="none" w:sz="0" w:space="0" w:color="auto"/>
          </w:divBdr>
        </w:div>
        <w:div w:id="474639355">
          <w:marLeft w:val="0"/>
          <w:marRight w:val="0"/>
          <w:marTop w:val="0"/>
          <w:marBottom w:val="0"/>
          <w:divBdr>
            <w:top w:val="none" w:sz="0" w:space="0" w:color="auto"/>
            <w:left w:val="none" w:sz="0" w:space="0" w:color="auto"/>
            <w:bottom w:val="none" w:sz="0" w:space="0" w:color="auto"/>
            <w:right w:val="none" w:sz="0" w:space="0" w:color="auto"/>
          </w:divBdr>
        </w:div>
        <w:div w:id="926840910">
          <w:marLeft w:val="0"/>
          <w:marRight w:val="0"/>
          <w:marTop w:val="0"/>
          <w:marBottom w:val="0"/>
          <w:divBdr>
            <w:top w:val="none" w:sz="0" w:space="0" w:color="auto"/>
            <w:left w:val="none" w:sz="0" w:space="0" w:color="auto"/>
            <w:bottom w:val="none" w:sz="0" w:space="0" w:color="auto"/>
            <w:right w:val="none" w:sz="0" w:space="0" w:color="auto"/>
          </w:divBdr>
        </w:div>
        <w:div w:id="1660883064">
          <w:marLeft w:val="0"/>
          <w:marRight w:val="0"/>
          <w:marTop w:val="0"/>
          <w:marBottom w:val="0"/>
          <w:divBdr>
            <w:top w:val="none" w:sz="0" w:space="0" w:color="auto"/>
            <w:left w:val="none" w:sz="0" w:space="0" w:color="auto"/>
            <w:bottom w:val="none" w:sz="0" w:space="0" w:color="auto"/>
            <w:right w:val="none" w:sz="0" w:space="0" w:color="auto"/>
          </w:divBdr>
        </w:div>
        <w:div w:id="1678653535">
          <w:marLeft w:val="0"/>
          <w:marRight w:val="0"/>
          <w:marTop w:val="0"/>
          <w:marBottom w:val="0"/>
          <w:divBdr>
            <w:top w:val="none" w:sz="0" w:space="0" w:color="auto"/>
            <w:left w:val="none" w:sz="0" w:space="0" w:color="auto"/>
            <w:bottom w:val="none" w:sz="0" w:space="0" w:color="auto"/>
            <w:right w:val="none" w:sz="0" w:space="0" w:color="auto"/>
          </w:divBdr>
        </w:div>
        <w:div w:id="735318009">
          <w:marLeft w:val="0"/>
          <w:marRight w:val="0"/>
          <w:marTop w:val="0"/>
          <w:marBottom w:val="0"/>
          <w:divBdr>
            <w:top w:val="none" w:sz="0" w:space="0" w:color="auto"/>
            <w:left w:val="none" w:sz="0" w:space="0" w:color="auto"/>
            <w:bottom w:val="none" w:sz="0" w:space="0" w:color="auto"/>
            <w:right w:val="none" w:sz="0" w:space="0" w:color="auto"/>
          </w:divBdr>
        </w:div>
        <w:div w:id="1443183332">
          <w:marLeft w:val="0"/>
          <w:marRight w:val="0"/>
          <w:marTop w:val="0"/>
          <w:marBottom w:val="0"/>
          <w:divBdr>
            <w:top w:val="none" w:sz="0" w:space="0" w:color="auto"/>
            <w:left w:val="none" w:sz="0" w:space="0" w:color="auto"/>
            <w:bottom w:val="none" w:sz="0" w:space="0" w:color="auto"/>
            <w:right w:val="none" w:sz="0" w:space="0" w:color="auto"/>
          </w:divBdr>
        </w:div>
        <w:div w:id="1664121478">
          <w:marLeft w:val="0"/>
          <w:marRight w:val="0"/>
          <w:marTop w:val="0"/>
          <w:marBottom w:val="0"/>
          <w:divBdr>
            <w:top w:val="none" w:sz="0" w:space="0" w:color="auto"/>
            <w:left w:val="none" w:sz="0" w:space="0" w:color="auto"/>
            <w:bottom w:val="none" w:sz="0" w:space="0" w:color="auto"/>
            <w:right w:val="none" w:sz="0" w:space="0" w:color="auto"/>
          </w:divBdr>
        </w:div>
        <w:div w:id="515114104">
          <w:marLeft w:val="0"/>
          <w:marRight w:val="0"/>
          <w:marTop w:val="0"/>
          <w:marBottom w:val="0"/>
          <w:divBdr>
            <w:top w:val="none" w:sz="0" w:space="0" w:color="auto"/>
            <w:left w:val="none" w:sz="0" w:space="0" w:color="auto"/>
            <w:bottom w:val="none" w:sz="0" w:space="0" w:color="auto"/>
            <w:right w:val="none" w:sz="0" w:space="0" w:color="auto"/>
          </w:divBdr>
        </w:div>
        <w:div w:id="2055737335">
          <w:marLeft w:val="0"/>
          <w:marRight w:val="0"/>
          <w:marTop w:val="0"/>
          <w:marBottom w:val="0"/>
          <w:divBdr>
            <w:top w:val="none" w:sz="0" w:space="0" w:color="auto"/>
            <w:left w:val="none" w:sz="0" w:space="0" w:color="auto"/>
            <w:bottom w:val="none" w:sz="0" w:space="0" w:color="auto"/>
            <w:right w:val="none" w:sz="0" w:space="0" w:color="auto"/>
          </w:divBdr>
        </w:div>
        <w:div w:id="312025447">
          <w:marLeft w:val="0"/>
          <w:marRight w:val="0"/>
          <w:marTop w:val="0"/>
          <w:marBottom w:val="0"/>
          <w:divBdr>
            <w:top w:val="none" w:sz="0" w:space="0" w:color="auto"/>
            <w:left w:val="none" w:sz="0" w:space="0" w:color="auto"/>
            <w:bottom w:val="none" w:sz="0" w:space="0" w:color="auto"/>
            <w:right w:val="none" w:sz="0" w:space="0" w:color="auto"/>
          </w:divBdr>
        </w:div>
        <w:div w:id="1928688285">
          <w:marLeft w:val="0"/>
          <w:marRight w:val="0"/>
          <w:marTop w:val="0"/>
          <w:marBottom w:val="0"/>
          <w:divBdr>
            <w:top w:val="none" w:sz="0" w:space="0" w:color="auto"/>
            <w:left w:val="none" w:sz="0" w:space="0" w:color="auto"/>
            <w:bottom w:val="none" w:sz="0" w:space="0" w:color="auto"/>
            <w:right w:val="none" w:sz="0" w:space="0" w:color="auto"/>
          </w:divBdr>
        </w:div>
        <w:div w:id="434176100">
          <w:marLeft w:val="0"/>
          <w:marRight w:val="0"/>
          <w:marTop w:val="0"/>
          <w:marBottom w:val="0"/>
          <w:divBdr>
            <w:top w:val="none" w:sz="0" w:space="0" w:color="auto"/>
            <w:left w:val="none" w:sz="0" w:space="0" w:color="auto"/>
            <w:bottom w:val="none" w:sz="0" w:space="0" w:color="auto"/>
            <w:right w:val="none" w:sz="0" w:space="0" w:color="auto"/>
          </w:divBdr>
        </w:div>
        <w:div w:id="81336524">
          <w:marLeft w:val="0"/>
          <w:marRight w:val="0"/>
          <w:marTop w:val="0"/>
          <w:marBottom w:val="0"/>
          <w:divBdr>
            <w:top w:val="none" w:sz="0" w:space="0" w:color="auto"/>
            <w:left w:val="none" w:sz="0" w:space="0" w:color="auto"/>
            <w:bottom w:val="none" w:sz="0" w:space="0" w:color="auto"/>
            <w:right w:val="none" w:sz="0" w:space="0" w:color="auto"/>
          </w:divBdr>
        </w:div>
        <w:div w:id="1786339502">
          <w:marLeft w:val="0"/>
          <w:marRight w:val="0"/>
          <w:marTop w:val="0"/>
          <w:marBottom w:val="0"/>
          <w:divBdr>
            <w:top w:val="none" w:sz="0" w:space="0" w:color="auto"/>
            <w:left w:val="none" w:sz="0" w:space="0" w:color="auto"/>
            <w:bottom w:val="none" w:sz="0" w:space="0" w:color="auto"/>
            <w:right w:val="none" w:sz="0" w:space="0" w:color="auto"/>
          </w:divBdr>
        </w:div>
        <w:div w:id="612635289">
          <w:marLeft w:val="0"/>
          <w:marRight w:val="0"/>
          <w:marTop w:val="0"/>
          <w:marBottom w:val="0"/>
          <w:divBdr>
            <w:top w:val="none" w:sz="0" w:space="0" w:color="auto"/>
            <w:left w:val="none" w:sz="0" w:space="0" w:color="auto"/>
            <w:bottom w:val="none" w:sz="0" w:space="0" w:color="auto"/>
            <w:right w:val="none" w:sz="0" w:space="0" w:color="auto"/>
          </w:divBdr>
        </w:div>
        <w:div w:id="313265976">
          <w:marLeft w:val="0"/>
          <w:marRight w:val="0"/>
          <w:marTop w:val="0"/>
          <w:marBottom w:val="0"/>
          <w:divBdr>
            <w:top w:val="none" w:sz="0" w:space="0" w:color="auto"/>
            <w:left w:val="none" w:sz="0" w:space="0" w:color="auto"/>
            <w:bottom w:val="none" w:sz="0" w:space="0" w:color="auto"/>
            <w:right w:val="none" w:sz="0" w:space="0" w:color="auto"/>
          </w:divBdr>
        </w:div>
        <w:div w:id="1354526890">
          <w:marLeft w:val="0"/>
          <w:marRight w:val="0"/>
          <w:marTop w:val="0"/>
          <w:marBottom w:val="0"/>
          <w:divBdr>
            <w:top w:val="none" w:sz="0" w:space="0" w:color="auto"/>
            <w:left w:val="none" w:sz="0" w:space="0" w:color="auto"/>
            <w:bottom w:val="none" w:sz="0" w:space="0" w:color="auto"/>
            <w:right w:val="none" w:sz="0" w:space="0" w:color="auto"/>
          </w:divBdr>
        </w:div>
        <w:div w:id="1476483329">
          <w:marLeft w:val="0"/>
          <w:marRight w:val="0"/>
          <w:marTop w:val="0"/>
          <w:marBottom w:val="0"/>
          <w:divBdr>
            <w:top w:val="none" w:sz="0" w:space="0" w:color="auto"/>
            <w:left w:val="none" w:sz="0" w:space="0" w:color="auto"/>
            <w:bottom w:val="none" w:sz="0" w:space="0" w:color="auto"/>
            <w:right w:val="none" w:sz="0" w:space="0" w:color="auto"/>
          </w:divBdr>
        </w:div>
        <w:div w:id="714308292">
          <w:marLeft w:val="0"/>
          <w:marRight w:val="0"/>
          <w:marTop w:val="0"/>
          <w:marBottom w:val="0"/>
          <w:divBdr>
            <w:top w:val="none" w:sz="0" w:space="0" w:color="auto"/>
            <w:left w:val="none" w:sz="0" w:space="0" w:color="auto"/>
            <w:bottom w:val="none" w:sz="0" w:space="0" w:color="auto"/>
            <w:right w:val="none" w:sz="0" w:space="0" w:color="auto"/>
          </w:divBdr>
        </w:div>
        <w:div w:id="1518807076">
          <w:marLeft w:val="0"/>
          <w:marRight w:val="0"/>
          <w:marTop w:val="0"/>
          <w:marBottom w:val="0"/>
          <w:divBdr>
            <w:top w:val="none" w:sz="0" w:space="0" w:color="auto"/>
            <w:left w:val="none" w:sz="0" w:space="0" w:color="auto"/>
            <w:bottom w:val="none" w:sz="0" w:space="0" w:color="auto"/>
            <w:right w:val="none" w:sz="0" w:space="0" w:color="auto"/>
          </w:divBdr>
        </w:div>
        <w:div w:id="2128813475">
          <w:marLeft w:val="0"/>
          <w:marRight w:val="0"/>
          <w:marTop w:val="0"/>
          <w:marBottom w:val="0"/>
          <w:divBdr>
            <w:top w:val="none" w:sz="0" w:space="0" w:color="auto"/>
            <w:left w:val="none" w:sz="0" w:space="0" w:color="auto"/>
            <w:bottom w:val="none" w:sz="0" w:space="0" w:color="auto"/>
            <w:right w:val="none" w:sz="0" w:space="0" w:color="auto"/>
          </w:divBdr>
        </w:div>
        <w:div w:id="236790211">
          <w:marLeft w:val="0"/>
          <w:marRight w:val="0"/>
          <w:marTop w:val="0"/>
          <w:marBottom w:val="0"/>
          <w:divBdr>
            <w:top w:val="none" w:sz="0" w:space="0" w:color="auto"/>
            <w:left w:val="none" w:sz="0" w:space="0" w:color="auto"/>
            <w:bottom w:val="none" w:sz="0" w:space="0" w:color="auto"/>
            <w:right w:val="none" w:sz="0" w:space="0" w:color="auto"/>
          </w:divBdr>
        </w:div>
        <w:div w:id="1455757728">
          <w:marLeft w:val="0"/>
          <w:marRight w:val="0"/>
          <w:marTop w:val="0"/>
          <w:marBottom w:val="0"/>
          <w:divBdr>
            <w:top w:val="none" w:sz="0" w:space="0" w:color="auto"/>
            <w:left w:val="none" w:sz="0" w:space="0" w:color="auto"/>
            <w:bottom w:val="none" w:sz="0" w:space="0" w:color="auto"/>
            <w:right w:val="none" w:sz="0" w:space="0" w:color="auto"/>
          </w:divBdr>
        </w:div>
        <w:div w:id="601424514">
          <w:marLeft w:val="0"/>
          <w:marRight w:val="0"/>
          <w:marTop w:val="0"/>
          <w:marBottom w:val="0"/>
          <w:divBdr>
            <w:top w:val="none" w:sz="0" w:space="0" w:color="auto"/>
            <w:left w:val="none" w:sz="0" w:space="0" w:color="auto"/>
            <w:bottom w:val="none" w:sz="0" w:space="0" w:color="auto"/>
            <w:right w:val="none" w:sz="0" w:space="0" w:color="auto"/>
          </w:divBdr>
        </w:div>
        <w:div w:id="1354846885">
          <w:marLeft w:val="0"/>
          <w:marRight w:val="0"/>
          <w:marTop w:val="0"/>
          <w:marBottom w:val="0"/>
          <w:divBdr>
            <w:top w:val="none" w:sz="0" w:space="0" w:color="auto"/>
            <w:left w:val="none" w:sz="0" w:space="0" w:color="auto"/>
            <w:bottom w:val="none" w:sz="0" w:space="0" w:color="auto"/>
            <w:right w:val="none" w:sz="0" w:space="0" w:color="auto"/>
          </w:divBdr>
        </w:div>
        <w:div w:id="755056510">
          <w:marLeft w:val="0"/>
          <w:marRight w:val="0"/>
          <w:marTop w:val="0"/>
          <w:marBottom w:val="0"/>
          <w:divBdr>
            <w:top w:val="none" w:sz="0" w:space="0" w:color="auto"/>
            <w:left w:val="none" w:sz="0" w:space="0" w:color="auto"/>
            <w:bottom w:val="none" w:sz="0" w:space="0" w:color="auto"/>
            <w:right w:val="none" w:sz="0" w:space="0" w:color="auto"/>
          </w:divBdr>
        </w:div>
        <w:div w:id="1719863932">
          <w:marLeft w:val="0"/>
          <w:marRight w:val="0"/>
          <w:marTop w:val="0"/>
          <w:marBottom w:val="0"/>
          <w:divBdr>
            <w:top w:val="none" w:sz="0" w:space="0" w:color="auto"/>
            <w:left w:val="none" w:sz="0" w:space="0" w:color="auto"/>
            <w:bottom w:val="none" w:sz="0" w:space="0" w:color="auto"/>
            <w:right w:val="none" w:sz="0" w:space="0" w:color="auto"/>
          </w:divBdr>
        </w:div>
        <w:div w:id="1352534236">
          <w:marLeft w:val="0"/>
          <w:marRight w:val="0"/>
          <w:marTop w:val="0"/>
          <w:marBottom w:val="0"/>
          <w:divBdr>
            <w:top w:val="none" w:sz="0" w:space="0" w:color="auto"/>
            <w:left w:val="none" w:sz="0" w:space="0" w:color="auto"/>
            <w:bottom w:val="none" w:sz="0" w:space="0" w:color="auto"/>
            <w:right w:val="none" w:sz="0" w:space="0" w:color="auto"/>
          </w:divBdr>
        </w:div>
        <w:div w:id="1716927857">
          <w:marLeft w:val="0"/>
          <w:marRight w:val="0"/>
          <w:marTop w:val="0"/>
          <w:marBottom w:val="0"/>
          <w:divBdr>
            <w:top w:val="none" w:sz="0" w:space="0" w:color="auto"/>
            <w:left w:val="none" w:sz="0" w:space="0" w:color="auto"/>
            <w:bottom w:val="none" w:sz="0" w:space="0" w:color="auto"/>
            <w:right w:val="none" w:sz="0" w:space="0" w:color="auto"/>
          </w:divBdr>
        </w:div>
        <w:div w:id="1153256387">
          <w:marLeft w:val="0"/>
          <w:marRight w:val="0"/>
          <w:marTop w:val="0"/>
          <w:marBottom w:val="0"/>
          <w:divBdr>
            <w:top w:val="none" w:sz="0" w:space="0" w:color="auto"/>
            <w:left w:val="none" w:sz="0" w:space="0" w:color="auto"/>
            <w:bottom w:val="none" w:sz="0" w:space="0" w:color="auto"/>
            <w:right w:val="none" w:sz="0" w:space="0" w:color="auto"/>
          </w:divBdr>
        </w:div>
        <w:div w:id="463080609">
          <w:marLeft w:val="0"/>
          <w:marRight w:val="0"/>
          <w:marTop w:val="0"/>
          <w:marBottom w:val="0"/>
          <w:divBdr>
            <w:top w:val="none" w:sz="0" w:space="0" w:color="auto"/>
            <w:left w:val="none" w:sz="0" w:space="0" w:color="auto"/>
            <w:bottom w:val="none" w:sz="0" w:space="0" w:color="auto"/>
            <w:right w:val="none" w:sz="0" w:space="0" w:color="auto"/>
          </w:divBdr>
        </w:div>
        <w:div w:id="1969554580">
          <w:marLeft w:val="0"/>
          <w:marRight w:val="0"/>
          <w:marTop w:val="0"/>
          <w:marBottom w:val="0"/>
          <w:divBdr>
            <w:top w:val="none" w:sz="0" w:space="0" w:color="auto"/>
            <w:left w:val="none" w:sz="0" w:space="0" w:color="auto"/>
            <w:bottom w:val="none" w:sz="0" w:space="0" w:color="auto"/>
            <w:right w:val="none" w:sz="0" w:space="0" w:color="auto"/>
          </w:divBdr>
        </w:div>
        <w:div w:id="551189110">
          <w:marLeft w:val="0"/>
          <w:marRight w:val="0"/>
          <w:marTop w:val="0"/>
          <w:marBottom w:val="0"/>
          <w:divBdr>
            <w:top w:val="none" w:sz="0" w:space="0" w:color="auto"/>
            <w:left w:val="none" w:sz="0" w:space="0" w:color="auto"/>
            <w:bottom w:val="none" w:sz="0" w:space="0" w:color="auto"/>
            <w:right w:val="none" w:sz="0" w:space="0" w:color="auto"/>
          </w:divBdr>
        </w:div>
        <w:div w:id="856963845">
          <w:marLeft w:val="0"/>
          <w:marRight w:val="0"/>
          <w:marTop w:val="0"/>
          <w:marBottom w:val="0"/>
          <w:divBdr>
            <w:top w:val="none" w:sz="0" w:space="0" w:color="auto"/>
            <w:left w:val="none" w:sz="0" w:space="0" w:color="auto"/>
            <w:bottom w:val="none" w:sz="0" w:space="0" w:color="auto"/>
            <w:right w:val="none" w:sz="0" w:space="0" w:color="auto"/>
          </w:divBdr>
        </w:div>
        <w:div w:id="1419786496">
          <w:marLeft w:val="0"/>
          <w:marRight w:val="0"/>
          <w:marTop w:val="0"/>
          <w:marBottom w:val="0"/>
          <w:divBdr>
            <w:top w:val="none" w:sz="0" w:space="0" w:color="auto"/>
            <w:left w:val="none" w:sz="0" w:space="0" w:color="auto"/>
            <w:bottom w:val="none" w:sz="0" w:space="0" w:color="auto"/>
            <w:right w:val="none" w:sz="0" w:space="0" w:color="auto"/>
          </w:divBdr>
        </w:div>
        <w:div w:id="1449158611">
          <w:marLeft w:val="0"/>
          <w:marRight w:val="0"/>
          <w:marTop w:val="0"/>
          <w:marBottom w:val="0"/>
          <w:divBdr>
            <w:top w:val="none" w:sz="0" w:space="0" w:color="auto"/>
            <w:left w:val="none" w:sz="0" w:space="0" w:color="auto"/>
            <w:bottom w:val="none" w:sz="0" w:space="0" w:color="auto"/>
            <w:right w:val="none" w:sz="0" w:space="0" w:color="auto"/>
          </w:divBdr>
        </w:div>
        <w:div w:id="858003831">
          <w:marLeft w:val="0"/>
          <w:marRight w:val="0"/>
          <w:marTop w:val="0"/>
          <w:marBottom w:val="0"/>
          <w:divBdr>
            <w:top w:val="none" w:sz="0" w:space="0" w:color="auto"/>
            <w:left w:val="none" w:sz="0" w:space="0" w:color="auto"/>
            <w:bottom w:val="none" w:sz="0" w:space="0" w:color="auto"/>
            <w:right w:val="none" w:sz="0" w:space="0" w:color="auto"/>
          </w:divBdr>
        </w:div>
        <w:div w:id="1839736880">
          <w:marLeft w:val="0"/>
          <w:marRight w:val="0"/>
          <w:marTop w:val="0"/>
          <w:marBottom w:val="0"/>
          <w:divBdr>
            <w:top w:val="none" w:sz="0" w:space="0" w:color="auto"/>
            <w:left w:val="none" w:sz="0" w:space="0" w:color="auto"/>
            <w:bottom w:val="none" w:sz="0" w:space="0" w:color="auto"/>
            <w:right w:val="none" w:sz="0" w:space="0" w:color="auto"/>
          </w:divBdr>
        </w:div>
        <w:div w:id="1326324115">
          <w:marLeft w:val="0"/>
          <w:marRight w:val="0"/>
          <w:marTop w:val="0"/>
          <w:marBottom w:val="0"/>
          <w:divBdr>
            <w:top w:val="none" w:sz="0" w:space="0" w:color="auto"/>
            <w:left w:val="none" w:sz="0" w:space="0" w:color="auto"/>
            <w:bottom w:val="none" w:sz="0" w:space="0" w:color="auto"/>
            <w:right w:val="none" w:sz="0" w:space="0" w:color="auto"/>
          </w:divBdr>
        </w:div>
        <w:div w:id="578440179">
          <w:marLeft w:val="0"/>
          <w:marRight w:val="0"/>
          <w:marTop w:val="0"/>
          <w:marBottom w:val="0"/>
          <w:divBdr>
            <w:top w:val="none" w:sz="0" w:space="0" w:color="auto"/>
            <w:left w:val="none" w:sz="0" w:space="0" w:color="auto"/>
            <w:bottom w:val="none" w:sz="0" w:space="0" w:color="auto"/>
            <w:right w:val="none" w:sz="0" w:space="0" w:color="auto"/>
          </w:divBdr>
        </w:div>
        <w:div w:id="1501459261">
          <w:marLeft w:val="0"/>
          <w:marRight w:val="0"/>
          <w:marTop w:val="0"/>
          <w:marBottom w:val="0"/>
          <w:divBdr>
            <w:top w:val="none" w:sz="0" w:space="0" w:color="auto"/>
            <w:left w:val="none" w:sz="0" w:space="0" w:color="auto"/>
            <w:bottom w:val="none" w:sz="0" w:space="0" w:color="auto"/>
            <w:right w:val="none" w:sz="0" w:space="0" w:color="auto"/>
          </w:divBdr>
        </w:div>
        <w:div w:id="372467698">
          <w:marLeft w:val="0"/>
          <w:marRight w:val="0"/>
          <w:marTop w:val="0"/>
          <w:marBottom w:val="0"/>
          <w:divBdr>
            <w:top w:val="none" w:sz="0" w:space="0" w:color="auto"/>
            <w:left w:val="none" w:sz="0" w:space="0" w:color="auto"/>
            <w:bottom w:val="none" w:sz="0" w:space="0" w:color="auto"/>
            <w:right w:val="none" w:sz="0" w:space="0" w:color="auto"/>
          </w:divBdr>
        </w:div>
        <w:div w:id="1696614261">
          <w:marLeft w:val="0"/>
          <w:marRight w:val="0"/>
          <w:marTop w:val="0"/>
          <w:marBottom w:val="0"/>
          <w:divBdr>
            <w:top w:val="none" w:sz="0" w:space="0" w:color="auto"/>
            <w:left w:val="none" w:sz="0" w:space="0" w:color="auto"/>
            <w:bottom w:val="none" w:sz="0" w:space="0" w:color="auto"/>
            <w:right w:val="none" w:sz="0" w:space="0" w:color="auto"/>
          </w:divBdr>
        </w:div>
        <w:div w:id="2010909229">
          <w:marLeft w:val="0"/>
          <w:marRight w:val="0"/>
          <w:marTop w:val="0"/>
          <w:marBottom w:val="0"/>
          <w:divBdr>
            <w:top w:val="none" w:sz="0" w:space="0" w:color="auto"/>
            <w:left w:val="none" w:sz="0" w:space="0" w:color="auto"/>
            <w:bottom w:val="none" w:sz="0" w:space="0" w:color="auto"/>
            <w:right w:val="none" w:sz="0" w:space="0" w:color="auto"/>
          </w:divBdr>
        </w:div>
        <w:div w:id="2043507827">
          <w:marLeft w:val="0"/>
          <w:marRight w:val="0"/>
          <w:marTop w:val="0"/>
          <w:marBottom w:val="0"/>
          <w:divBdr>
            <w:top w:val="none" w:sz="0" w:space="0" w:color="auto"/>
            <w:left w:val="none" w:sz="0" w:space="0" w:color="auto"/>
            <w:bottom w:val="none" w:sz="0" w:space="0" w:color="auto"/>
            <w:right w:val="none" w:sz="0" w:space="0" w:color="auto"/>
          </w:divBdr>
        </w:div>
        <w:div w:id="279187328">
          <w:marLeft w:val="0"/>
          <w:marRight w:val="0"/>
          <w:marTop w:val="0"/>
          <w:marBottom w:val="0"/>
          <w:divBdr>
            <w:top w:val="none" w:sz="0" w:space="0" w:color="auto"/>
            <w:left w:val="none" w:sz="0" w:space="0" w:color="auto"/>
            <w:bottom w:val="none" w:sz="0" w:space="0" w:color="auto"/>
            <w:right w:val="none" w:sz="0" w:space="0" w:color="auto"/>
          </w:divBdr>
        </w:div>
        <w:div w:id="627323353">
          <w:marLeft w:val="0"/>
          <w:marRight w:val="0"/>
          <w:marTop w:val="0"/>
          <w:marBottom w:val="0"/>
          <w:divBdr>
            <w:top w:val="none" w:sz="0" w:space="0" w:color="auto"/>
            <w:left w:val="none" w:sz="0" w:space="0" w:color="auto"/>
            <w:bottom w:val="none" w:sz="0" w:space="0" w:color="auto"/>
            <w:right w:val="none" w:sz="0" w:space="0" w:color="auto"/>
          </w:divBdr>
        </w:div>
        <w:div w:id="1696928447">
          <w:marLeft w:val="0"/>
          <w:marRight w:val="0"/>
          <w:marTop w:val="0"/>
          <w:marBottom w:val="0"/>
          <w:divBdr>
            <w:top w:val="none" w:sz="0" w:space="0" w:color="auto"/>
            <w:left w:val="none" w:sz="0" w:space="0" w:color="auto"/>
            <w:bottom w:val="none" w:sz="0" w:space="0" w:color="auto"/>
            <w:right w:val="none" w:sz="0" w:space="0" w:color="auto"/>
          </w:divBdr>
        </w:div>
      </w:divsChild>
    </w:div>
    <w:div w:id="969091607">
      <w:marLeft w:val="0"/>
      <w:marRight w:val="0"/>
      <w:marTop w:val="0"/>
      <w:marBottom w:val="0"/>
      <w:divBdr>
        <w:top w:val="none" w:sz="0" w:space="0" w:color="auto"/>
        <w:left w:val="none" w:sz="0" w:space="0" w:color="auto"/>
        <w:bottom w:val="none" w:sz="0" w:space="0" w:color="auto"/>
        <w:right w:val="none" w:sz="0" w:space="0" w:color="auto"/>
      </w:divBdr>
      <w:divsChild>
        <w:div w:id="1924753026">
          <w:marLeft w:val="0"/>
          <w:marRight w:val="0"/>
          <w:marTop w:val="0"/>
          <w:marBottom w:val="120"/>
          <w:divBdr>
            <w:top w:val="none" w:sz="0" w:space="0" w:color="auto"/>
            <w:left w:val="none" w:sz="0" w:space="0" w:color="auto"/>
            <w:bottom w:val="none" w:sz="0" w:space="0" w:color="auto"/>
            <w:right w:val="none" w:sz="0" w:space="0" w:color="auto"/>
          </w:divBdr>
        </w:div>
      </w:divsChild>
    </w:div>
    <w:div w:id="969895616">
      <w:marLeft w:val="0"/>
      <w:marRight w:val="0"/>
      <w:marTop w:val="0"/>
      <w:marBottom w:val="120"/>
      <w:divBdr>
        <w:top w:val="none" w:sz="0" w:space="0" w:color="auto"/>
        <w:left w:val="none" w:sz="0" w:space="0" w:color="auto"/>
        <w:bottom w:val="none" w:sz="0" w:space="0" w:color="auto"/>
        <w:right w:val="none" w:sz="0" w:space="0" w:color="auto"/>
      </w:divBdr>
    </w:div>
    <w:div w:id="971520551">
      <w:marLeft w:val="0"/>
      <w:marRight w:val="0"/>
      <w:marTop w:val="0"/>
      <w:marBottom w:val="120"/>
      <w:divBdr>
        <w:top w:val="none" w:sz="0" w:space="0" w:color="auto"/>
        <w:left w:val="none" w:sz="0" w:space="0" w:color="auto"/>
        <w:bottom w:val="none" w:sz="0" w:space="0" w:color="auto"/>
        <w:right w:val="none" w:sz="0" w:space="0" w:color="auto"/>
      </w:divBdr>
    </w:div>
    <w:div w:id="978730594">
      <w:marLeft w:val="0"/>
      <w:marRight w:val="0"/>
      <w:marTop w:val="0"/>
      <w:marBottom w:val="120"/>
      <w:divBdr>
        <w:top w:val="none" w:sz="0" w:space="0" w:color="auto"/>
        <w:left w:val="none" w:sz="0" w:space="0" w:color="auto"/>
        <w:bottom w:val="none" w:sz="0" w:space="0" w:color="auto"/>
        <w:right w:val="none" w:sz="0" w:space="0" w:color="auto"/>
      </w:divBdr>
    </w:div>
    <w:div w:id="979268049">
      <w:marLeft w:val="0"/>
      <w:marRight w:val="0"/>
      <w:marTop w:val="0"/>
      <w:marBottom w:val="0"/>
      <w:divBdr>
        <w:top w:val="none" w:sz="0" w:space="0" w:color="auto"/>
        <w:left w:val="none" w:sz="0" w:space="0" w:color="auto"/>
        <w:bottom w:val="none" w:sz="0" w:space="0" w:color="auto"/>
        <w:right w:val="none" w:sz="0" w:space="0" w:color="auto"/>
      </w:divBdr>
      <w:divsChild>
        <w:div w:id="498926991">
          <w:marLeft w:val="0"/>
          <w:marRight w:val="0"/>
          <w:marTop w:val="0"/>
          <w:marBottom w:val="120"/>
          <w:divBdr>
            <w:top w:val="none" w:sz="0" w:space="0" w:color="auto"/>
            <w:left w:val="none" w:sz="0" w:space="0" w:color="auto"/>
            <w:bottom w:val="none" w:sz="0" w:space="0" w:color="auto"/>
            <w:right w:val="none" w:sz="0" w:space="0" w:color="auto"/>
          </w:divBdr>
        </w:div>
      </w:divsChild>
    </w:div>
    <w:div w:id="980042745">
      <w:marLeft w:val="0"/>
      <w:marRight w:val="0"/>
      <w:marTop w:val="240"/>
      <w:marBottom w:val="240"/>
      <w:divBdr>
        <w:top w:val="none" w:sz="0" w:space="0" w:color="auto"/>
        <w:left w:val="none" w:sz="0" w:space="0" w:color="auto"/>
        <w:bottom w:val="none" w:sz="0" w:space="0" w:color="auto"/>
        <w:right w:val="none" w:sz="0" w:space="0" w:color="auto"/>
      </w:divBdr>
    </w:div>
    <w:div w:id="981692272">
      <w:marLeft w:val="0"/>
      <w:marRight w:val="0"/>
      <w:marTop w:val="0"/>
      <w:marBottom w:val="120"/>
      <w:divBdr>
        <w:top w:val="none" w:sz="0" w:space="0" w:color="auto"/>
        <w:left w:val="none" w:sz="0" w:space="0" w:color="auto"/>
        <w:bottom w:val="none" w:sz="0" w:space="0" w:color="auto"/>
        <w:right w:val="none" w:sz="0" w:space="0" w:color="auto"/>
      </w:divBdr>
    </w:div>
    <w:div w:id="982809117">
      <w:marLeft w:val="0"/>
      <w:marRight w:val="0"/>
      <w:marTop w:val="0"/>
      <w:marBottom w:val="0"/>
      <w:divBdr>
        <w:top w:val="none" w:sz="0" w:space="0" w:color="auto"/>
        <w:left w:val="none" w:sz="0" w:space="0" w:color="auto"/>
        <w:bottom w:val="none" w:sz="0" w:space="0" w:color="auto"/>
        <w:right w:val="none" w:sz="0" w:space="0" w:color="auto"/>
      </w:divBdr>
      <w:divsChild>
        <w:div w:id="44959542">
          <w:marLeft w:val="0"/>
          <w:marRight w:val="0"/>
          <w:marTop w:val="0"/>
          <w:marBottom w:val="0"/>
          <w:divBdr>
            <w:top w:val="none" w:sz="0" w:space="0" w:color="auto"/>
            <w:left w:val="none" w:sz="0" w:space="0" w:color="auto"/>
            <w:bottom w:val="none" w:sz="0" w:space="0" w:color="auto"/>
            <w:right w:val="none" w:sz="0" w:space="0" w:color="auto"/>
          </w:divBdr>
          <w:divsChild>
            <w:div w:id="13864171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84705140">
      <w:marLeft w:val="0"/>
      <w:marRight w:val="0"/>
      <w:marTop w:val="0"/>
      <w:marBottom w:val="0"/>
      <w:divBdr>
        <w:top w:val="none" w:sz="0" w:space="0" w:color="auto"/>
        <w:left w:val="none" w:sz="0" w:space="0" w:color="auto"/>
        <w:bottom w:val="none" w:sz="0" w:space="0" w:color="auto"/>
        <w:right w:val="none" w:sz="0" w:space="0" w:color="auto"/>
      </w:divBdr>
      <w:divsChild>
        <w:div w:id="1461461326">
          <w:marLeft w:val="0"/>
          <w:marRight w:val="0"/>
          <w:marTop w:val="0"/>
          <w:marBottom w:val="120"/>
          <w:divBdr>
            <w:top w:val="none" w:sz="0" w:space="0" w:color="auto"/>
            <w:left w:val="none" w:sz="0" w:space="0" w:color="auto"/>
            <w:bottom w:val="none" w:sz="0" w:space="0" w:color="auto"/>
            <w:right w:val="none" w:sz="0" w:space="0" w:color="auto"/>
          </w:divBdr>
        </w:div>
      </w:divsChild>
    </w:div>
    <w:div w:id="985739129">
      <w:marLeft w:val="0"/>
      <w:marRight w:val="0"/>
      <w:marTop w:val="240"/>
      <w:marBottom w:val="0"/>
      <w:divBdr>
        <w:top w:val="none" w:sz="0" w:space="0" w:color="auto"/>
        <w:left w:val="none" w:sz="0" w:space="0" w:color="auto"/>
        <w:bottom w:val="none" w:sz="0" w:space="0" w:color="auto"/>
        <w:right w:val="none" w:sz="0" w:space="0" w:color="auto"/>
      </w:divBdr>
    </w:div>
    <w:div w:id="992369951">
      <w:marLeft w:val="0"/>
      <w:marRight w:val="0"/>
      <w:marTop w:val="0"/>
      <w:marBottom w:val="240"/>
      <w:divBdr>
        <w:top w:val="none" w:sz="0" w:space="0" w:color="auto"/>
        <w:left w:val="none" w:sz="0" w:space="0" w:color="auto"/>
        <w:bottom w:val="none" w:sz="0" w:space="0" w:color="auto"/>
        <w:right w:val="none" w:sz="0" w:space="0" w:color="auto"/>
      </w:divBdr>
      <w:divsChild>
        <w:div w:id="1991250022">
          <w:marLeft w:val="0"/>
          <w:marRight w:val="0"/>
          <w:marTop w:val="0"/>
          <w:marBottom w:val="0"/>
          <w:divBdr>
            <w:top w:val="none" w:sz="0" w:space="0" w:color="auto"/>
            <w:left w:val="none" w:sz="0" w:space="0" w:color="auto"/>
            <w:bottom w:val="none" w:sz="0" w:space="0" w:color="auto"/>
            <w:right w:val="none" w:sz="0" w:space="0" w:color="auto"/>
          </w:divBdr>
        </w:div>
        <w:div w:id="882209718">
          <w:marLeft w:val="0"/>
          <w:marRight w:val="0"/>
          <w:marTop w:val="0"/>
          <w:marBottom w:val="0"/>
          <w:divBdr>
            <w:top w:val="none" w:sz="0" w:space="0" w:color="auto"/>
            <w:left w:val="none" w:sz="0" w:space="0" w:color="auto"/>
            <w:bottom w:val="none" w:sz="0" w:space="0" w:color="auto"/>
            <w:right w:val="none" w:sz="0" w:space="0" w:color="auto"/>
          </w:divBdr>
        </w:div>
        <w:div w:id="1045717952">
          <w:marLeft w:val="0"/>
          <w:marRight w:val="0"/>
          <w:marTop w:val="0"/>
          <w:marBottom w:val="0"/>
          <w:divBdr>
            <w:top w:val="none" w:sz="0" w:space="0" w:color="auto"/>
            <w:left w:val="none" w:sz="0" w:space="0" w:color="auto"/>
            <w:bottom w:val="none" w:sz="0" w:space="0" w:color="auto"/>
            <w:right w:val="none" w:sz="0" w:space="0" w:color="auto"/>
          </w:divBdr>
        </w:div>
        <w:div w:id="1346789583">
          <w:marLeft w:val="0"/>
          <w:marRight w:val="0"/>
          <w:marTop w:val="0"/>
          <w:marBottom w:val="0"/>
          <w:divBdr>
            <w:top w:val="none" w:sz="0" w:space="0" w:color="auto"/>
            <w:left w:val="none" w:sz="0" w:space="0" w:color="auto"/>
            <w:bottom w:val="none" w:sz="0" w:space="0" w:color="auto"/>
            <w:right w:val="none" w:sz="0" w:space="0" w:color="auto"/>
          </w:divBdr>
        </w:div>
        <w:div w:id="2117215817">
          <w:marLeft w:val="0"/>
          <w:marRight w:val="0"/>
          <w:marTop w:val="0"/>
          <w:marBottom w:val="0"/>
          <w:divBdr>
            <w:top w:val="none" w:sz="0" w:space="0" w:color="auto"/>
            <w:left w:val="none" w:sz="0" w:space="0" w:color="auto"/>
            <w:bottom w:val="none" w:sz="0" w:space="0" w:color="auto"/>
            <w:right w:val="none" w:sz="0" w:space="0" w:color="auto"/>
          </w:divBdr>
        </w:div>
        <w:div w:id="1447306916">
          <w:marLeft w:val="0"/>
          <w:marRight w:val="0"/>
          <w:marTop w:val="0"/>
          <w:marBottom w:val="0"/>
          <w:divBdr>
            <w:top w:val="none" w:sz="0" w:space="0" w:color="auto"/>
            <w:left w:val="none" w:sz="0" w:space="0" w:color="auto"/>
            <w:bottom w:val="none" w:sz="0" w:space="0" w:color="auto"/>
            <w:right w:val="none" w:sz="0" w:space="0" w:color="auto"/>
          </w:divBdr>
        </w:div>
        <w:div w:id="1933390664">
          <w:marLeft w:val="0"/>
          <w:marRight w:val="0"/>
          <w:marTop w:val="0"/>
          <w:marBottom w:val="0"/>
          <w:divBdr>
            <w:top w:val="none" w:sz="0" w:space="0" w:color="auto"/>
            <w:left w:val="none" w:sz="0" w:space="0" w:color="auto"/>
            <w:bottom w:val="none" w:sz="0" w:space="0" w:color="auto"/>
            <w:right w:val="none" w:sz="0" w:space="0" w:color="auto"/>
          </w:divBdr>
        </w:div>
        <w:div w:id="1736775547">
          <w:marLeft w:val="0"/>
          <w:marRight w:val="0"/>
          <w:marTop w:val="0"/>
          <w:marBottom w:val="0"/>
          <w:divBdr>
            <w:top w:val="none" w:sz="0" w:space="0" w:color="auto"/>
            <w:left w:val="none" w:sz="0" w:space="0" w:color="auto"/>
            <w:bottom w:val="none" w:sz="0" w:space="0" w:color="auto"/>
            <w:right w:val="none" w:sz="0" w:space="0" w:color="auto"/>
          </w:divBdr>
        </w:div>
        <w:div w:id="1514610757">
          <w:marLeft w:val="0"/>
          <w:marRight w:val="0"/>
          <w:marTop w:val="0"/>
          <w:marBottom w:val="0"/>
          <w:divBdr>
            <w:top w:val="none" w:sz="0" w:space="0" w:color="auto"/>
            <w:left w:val="none" w:sz="0" w:space="0" w:color="auto"/>
            <w:bottom w:val="none" w:sz="0" w:space="0" w:color="auto"/>
            <w:right w:val="none" w:sz="0" w:space="0" w:color="auto"/>
          </w:divBdr>
        </w:div>
        <w:div w:id="444619340">
          <w:marLeft w:val="0"/>
          <w:marRight w:val="0"/>
          <w:marTop w:val="0"/>
          <w:marBottom w:val="0"/>
          <w:divBdr>
            <w:top w:val="none" w:sz="0" w:space="0" w:color="auto"/>
            <w:left w:val="none" w:sz="0" w:space="0" w:color="auto"/>
            <w:bottom w:val="none" w:sz="0" w:space="0" w:color="auto"/>
            <w:right w:val="none" w:sz="0" w:space="0" w:color="auto"/>
          </w:divBdr>
        </w:div>
        <w:div w:id="973170410">
          <w:marLeft w:val="0"/>
          <w:marRight w:val="0"/>
          <w:marTop w:val="0"/>
          <w:marBottom w:val="0"/>
          <w:divBdr>
            <w:top w:val="none" w:sz="0" w:space="0" w:color="auto"/>
            <w:left w:val="none" w:sz="0" w:space="0" w:color="auto"/>
            <w:bottom w:val="none" w:sz="0" w:space="0" w:color="auto"/>
            <w:right w:val="none" w:sz="0" w:space="0" w:color="auto"/>
          </w:divBdr>
        </w:div>
        <w:div w:id="912739892">
          <w:marLeft w:val="0"/>
          <w:marRight w:val="0"/>
          <w:marTop w:val="0"/>
          <w:marBottom w:val="0"/>
          <w:divBdr>
            <w:top w:val="none" w:sz="0" w:space="0" w:color="auto"/>
            <w:left w:val="none" w:sz="0" w:space="0" w:color="auto"/>
            <w:bottom w:val="none" w:sz="0" w:space="0" w:color="auto"/>
            <w:right w:val="none" w:sz="0" w:space="0" w:color="auto"/>
          </w:divBdr>
        </w:div>
        <w:div w:id="971399944">
          <w:marLeft w:val="0"/>
          <w:marRight w:val="0"/>
          <w:marTop w:val="0"/>
          <w:marBottom w:val="0"/>
          <w:divBdr>
            <w:top w:val="none" w:sz="0" w:space="0" w:color="auto"/>
            <w:left w:val="none" w:sz="0" w:space="0" w:color="auto"/>
            <w:bottom w:val="none" w:sz="0" w:space="0" w:color="auto"/>
            <w:right w:val="none" w:sz="0" w:space="0" w:color="auto"/>
          </w:divBdr>
        </w:div>
        <w:div w:id="1365709540">
          <w:marLeft w:val="0"/>
          <w:marRight w:val="0"/>
          <w:marTop w:val="0"/>
          <w:marBottom w:val="0"/>
          <w:divBdr>
            <w:top w:val="none" w:sz="0" w:space="0" w:color="auto"/>
            <w:left w:val="none" w:sz="0" w:space="0" w:color="auto"/>
            <w:bottom w:val="none" w:sz="0" w:space="0" w:color="auto"/>
            <w:right w:val="none" w:sz="0" w:space="0" w:color="auto"/>
          </w:divBdr>
        </w:div>
        <w:div w:id="927036569">
          <w:marLeft w:val="0"/>
          <w:marRight w:val="0"/>
          <w:marTop w:val="0"/>
          <w:marBottom w:val="0"/>
          <w:divBdr>
            <w:top w:val="none" w:sz="0" w:space="0" w:color="auto"/>
            <w:left w:val="none" w:sz="0" w:space="0" w:color="auto"/>
            <w:bottom w:val="none" w:sz="0" w:space="0" w:color="auto"/>
            <w:right w:val="none" w:sz="0" w:space="0" w:color="auto"/>
          </w:divBdr>
        </w:div>
        <w:div w:id="1106313779">
          <w:marLeft w:val="0"/>
          <w:marRight w:val="0"/>
          <w:marTop w:val="0"/>
          <w:marBottom w:val="0"/>
          <w:divBdr>
            <w:top w:val="none" w:sz="0" w:space="0" w:color="auto"/>
            <w:left w:val="none" w:sz="0" w:space="0" w:color="auto"/>
            <w:bottom w:val="none" w:sz="0" w:space="0" w:color="auto"/>
            <w:right w:val="none" w:sz="0" w:space="0" w:color="auto"/>
          </w:divBdr>
        </w:div>
        <w:div w:id="1912423044">
          <w:marLeft w:val="0"/>
          <w:marRight w:val="0"/>
          <w:marTop w:val="0"/>
          <w:marBottom w:val="0"/>
          <w:divBdr>
            <w:top w:val="none" w:sz="0" w:space="0" w:color="auto"/>
            <w:left w:val="none" w:sz="0" w:space="0" w:color="auto"/>
            <w:bottom w:val="none" w:sz="0" w:space="0" w:color="auto"/>
            <w:right w:val="none" w:sz="0" w:space="0" w:color="auto"/>
          </w:divBdr>
        </w:div>
        <w:div w:id="1342970487">
          <w:marLeft w:val="0"/>
          <w:marRight w:val="0"/>
          <w:marTop w:val="0"/>
          <w:marBottom w:val="0"/>
          <w:divBdr>
            <w:top w:val="none" w:sz="0" w:space="0" w:color="auto"/>
            <w:left w:val="none" w:sz="0" w:space="0" w:color="auto"/>
            <w:bottom w:val="none" w:sz="0" w:space="0" w:color="auto"/>
            <w:right w:val="none" w:sz="0" w:space="0" w:color="auto"/>
          </w:divBdr>
        </w:div>
        <w:div w:id="1753232168">
          <w:marLeft w:val="0"/>
          <w:marRight w:val="0"/>
          <w:marTop w:val="0"/>
          <w:marBottom w:val="0"/>
          <w:divBdr>
            <w:top w:val="none" w:sz="0" w:space="0" w:color="auto"/>
            <w:left w:val="none" w:sz="0" w:space="0" w:color="auto"/>
            <w:bottom w:val="none" w:sz="0" w:space="0" w:color="auto"/>
            <w:right w:val="none" w:sz="0" w:space="0" w:color="auto"/>
          </w:divBdr>
        </w:div>
      </w:divsChild>
    </w:div>
    <w:div w:id="1003582600">
      <w:marLeft w:val="0"/>
      <w:marRight w:val="0"/>
      <w:marTop w:val="0"/>
      <w:marBottom w:val="120"/>
      <w:divBdr>
        <w:top w:val="none" w:sz="0" w:space="0" w:color="auto"/>
        <w:left w:val="none" w:sz="0" w:space="0" w:color="auto"/>
        <w:bottom w:val="none" w:sz="0" w:space="0" w:color="auto"/>
        <w:right w:val="none" w:sz="0" w:space="0" w:color="auto"/>
      </w:divBdr>
    </w:div>
    <w:div w:id="1005127967">
      <w:marLeft w:val="0"/>
      <w:marRight w:val="0"/>
      <w:marTop w:val="240"/>
      <w:marBottom w:val="0"/>
      <w:divBdr>
        <w:top w:val="none" w:sz="0" w:space="0" w:color="auto"/>
        <w:left w:val="none" w:sz="0" w:space="0" w:color="auto"/>
        <w:bottom w:val="none" w:sz="0" w:space="0" w:color="auto"/>
        <w:right w:val="none" w:sz="0" w:space="0" w:color="auto"/>
      </w:divBdr>
    </w:div>
    <w:div w:id="1012148986">
      <w:marLeft w:val="0"/>
      <w:marRight w:val="0"/>
      <w:marTop w:val="0"/>
      <w:marBottom w:val="120"/>
      <w:divBdr>
        <w:top w:val="none" w:sz="0" w:space="0" w:color="auto"/>
        <w:left w:val="none" w:sz="0" w:space="0" w:color="auto"/>
        <w:bottom w:val="none" w:sz="0" w:space="0" w:color="auto"/>
        <w:right w:val="none" w:sz="0" w:space="0" w:color="auto"/>
      </w:divBdr>
    </w:div>
    <w:div w:id="1012798771">
      <w:marLeft w:val="0"/>
      <w:marRight w:val="0"/>
      <w:marTop w:val="240"/>
      <w:marBottom w:val="0"/>
      <w:divBdr>
        <w:top w:val="none" w:sz="0" w:space="0" w:color="auto"/>
        <w:left w:val="none" w:sz="0" w:space="0" w:color="auto"/>
        <w:bottom w:val="none" w:sz="0" w:space="0" w:color="auto"/>
        <w:right w:val="none" w:sz="0" w:space="0" w:color="auto"/>
      </w:divBdr>
    </w:div>
    <w:div w:id="1019507396">
      <w:marLeft w:val="0"/>
      <w:marRight w:val="0"/>
      <w:marTop w:val="0"/>
      <w:marBottom w:val="120"/>
      <w:divBdr>
        <w:top w:val="none" w:sz="0" w:space="0" w:color="auto"/>
        <w:left w:val="none" w:sz="0" w:space="0" w:color="auto"/>
        <w:bottom w:val="none" w:sz="0" w:space="0" w:color="auto"/>
        <w:right w:val="none" w:sz="0" w:space="0" w:color="auto"/>
      </w:divBdr>
    </w:div>
    <w:div w:id="1019694683">
      <w:marLeft w:val="0"/>
      <w:marRight w:val="0"/>
      <w:marTop w:val="0"/>
      <w:marBottom w:val="120"/>
      <w:divBdr>
        <w:top w:val="none" w:sz="0" w:space="0" w:color="auto"/>
        <w:left w:val="none" w:sz="0" w:space="0" w:color="auto"/>
        <w:bottom w:val="none" w:sz="0" w:space="0" w:color="auto"/>
        <w:right w:val="none" w:sz="0" w:space="0" w:color="auto"/>
      </w:divBdr>
    </w:div>
    <w:div w:id="1019890499">
      <w:marLeft w:val="0"/>
      <w:marRight w:val="0"/>
      <w:marTop w:val="240"/>
      <w:marBottom w:val="240"/>
      <w:divBdr>
        <w:top w:val="none" w:sz="0" w:space="0" w:color="auto"/>
        <w:left w:val="none" w:sz="0" w:space="0" w:color="auto"/>
        <w:bottom w:val="none" w:sz="0" w:space="0" w:color="auto"/>
        <w:right w:val="none" w:sz="0" w:space="0" w:color="auto"/>
      </w:divBdr>
    </w:div>
    <w:div w:id="1020932107">
      <w:marLeft w:val="0"/>
      <w:marRight w:val="0"/>
      <w:marTop w:val="0"/>
      <w:marBottom w:val="120"/>
      <w:divBdr>
        <w:top w:val="none" w:sz="0" w:space="0" w:color="auto"/>
        <w:left w:val="none" w:sz="0" w:space="0" w:color="auto"/>
        <w:bottom w:val="none" w:sz="0" w:space="0" w:color="auto"/>
        <w:right w:val="none" w:sz="0" w:space="0" w:color="auto"/>
      </w:divBdr>
    </w:div>
    <w:div w:id="1022127110">
      <w:marLeft w:val="0"/>
      <w:marRight w:val="0"/>
      <w:marTop w:val="0"/>
      <w:marBottom w:val="120"/>
      <w:divBdr>
        <w:top w:val="none" w:sz="0" w:space="0" w:color="auto"/>
        <w:left w:val="none" w:sz="0" w:space="0" w:color="auto"/>
        <w:bottom w:val="none" w:sz="0" w:space="0" w:color="auto"/>
        <w:right w:val="none" w:sz="0" w:space="0" w:color="auto"/>
      </w:divBdr>
    </w:div>
    <w:div w:id="1022366082">
      <w:marLeft w:val="0"/>
      <w:marRight w:val="0"/>
      <w:marTop w:val="0"/>
      <w:marBottom w:val="120"/>
      <w:divBdr>
        <w:top w:val="none" w:sz="0" w:space="0" w:color="auto"/>
        <w:left w:val="none" w:sz="0" w:space="0" w:color="auto"/>
        <w:bottom w:val="none" w:sz="0" w:space="0" w:color="auto"/>
        <w:right w:val="none" w:sz="0" w:space="0" w:color="auto"/>
      </w:divBdr>
    </w:div>
    <w:div w:id="1022441798">
      <w:marLeft w:val="0"/>
      <w:marRight w:val="0"/>
      <w:marTop w:val="0"/>
      <w:marBottom w:val="120"/>
      <w:divBdr>
        <w:top w:val="none" w:sz="0" w:space="0" w:color="auto"/>
        <w:left w:val="none" w:sz="0" w:space="0" w:color="auto"/>
        <w:bottom w:val="none" w:sz="0" w:space="0" w:color="auto"/>
        <w:right w:val="none" w:sz="0" w:space="0" w:color="auto"/>
      </w:divBdr>
    </w:div>
    <w:div w:id="1024286897">
      <w:marLeft w:val="0"/>
      <w:marRight w:val="0"/>
      <w:marTop w:val="0"/>
      <w:marBottom w:val="120"/>
      <w:divBdr>
        <w:top w:val="none" w:sz="0" w:space="0" w:color="auto"/>
        <w:left w:val="none" w:sz="0" w:space="0" w:color="auto"/>
        <w:bottom w:val="none" w:sz="0" w:space="0" w:color="auto"/>
        <w:right w:val="none" w:sz="0" w:space="0" w:color="auto"/>
      </w:divBdr>
    </w:div>
    <w:div w:id="1026832411">
      <w:marLeft w:val="0"/>
      <w:marRight w:val="0"/>
      <w:marTop w:val="0"/>
      <w:marBottom w:val="120"/>
      <w:divBdr>
        <w:top w:val="none" w:sz="0" w:space="0" w:color="auto"/>
        <w:left w:val="none" w:sz="0" w:space="0" w:color="auto"/>
        <w:bottom w:val="none" w:sz="0" w:space="0" w:color="auto"/>
        <w:right w:val="none" w:sz="0" w:space="0" w:color="auto"/>
      </w:divBdr>
    </w:div>
    <w:div w:id="1029263961">
      <w:marLeft w:val="0"/>
      <w:marRight w:val="0"/>
      <w:marTop w:val="0"/>
      <w:marBottom w:val="0"/>
      <w:divBdr>
        <w:top w:val="none" w:sz="0" w:space="0" w:color="auto"/>
        <w:left w:val="none" w:sz="0" w:space="0" w:color="auto"/>
        <w:bottom w:val="none" w:sz="0" w:space="0" w:color="auto"/>
        <w:right w:val="none" w:sz="0" w:space="0" w:color="auto"/>
      </w:divBdr>
      <w:divsChild>
        <w:div w:id="1902206824">
          <w:marLeft w:val="0"/>
          <w:marRight w:val="0"/>
          <w:marTop w:val="0"/>
          <w:marBottom w:val="120"/>
          <w:divBdr>
            <w:top w:val="none" w:sz="0" w:space="0" w:color="auto"/>
            <w:left w:val="none" w:sz="0" w:space="0" w:color="auto"/>
            <w:bottom w:val="none" w:sz="0" w:space="0" w:color="auto"/>
            <w:right w:val="none" w:sz="0" w:space="0" w:color="auto"/>
          </w:divBdr>
        </w:div>
      </w:divsChild>
    </w:div>
    <w:div w:id="1029336673">
      <w:marLeft w:val="0"/>
      <w:marRight w:val="0"/>
      <w:marTop w:val="0"/>
      <w:marBottom w:val="120"/>
      <w:divBdr>
        <w:top w:val="none" w:sz="0" w:space="0" w:color="auto"/>
        <w:left w:val="none" w:sz="0" w:space="0" w:color="auto"/>
        <w:bottom w:val="none" w:sz="0" w:space="0" w:color="auto"/>
        <w:right w:val="none" w:sz="0" w:space="0" w:color="auto"/>
      </w:divBdr>
    </w:div>
    <w:div w:id="1031031751">
      <w:marLeft w:val="0"/>
      <w:marRight w:val="0"/>
      <w:marTop w:val="240"/>
      <w:marBottom w:val="240"/>
      <w:divBdr>
        <w:top w:val="none" w:sz="0" w:space="0" w:color="auto"/>
        <w:left w:val="none" w:sz="0" w:space="0" w:color="auto"/>
        <w:bottom w:val="none" w:sz="0" w:space="0" w:color="auto"/>
        <w:right w:val="none" w:sz="0" w:space="0" w:color="auto"/>
      </w:divBdr>
    </w:div>
    <w:div w:id="1031805670">
      <w:marLeft w:val="0"/>
      <w:marRight w:val="0"/>
      <w:marTop w:val="240"/>
      <w:marBottom w:val="0"/>
      <w:divBdr>
        <w:top w:val="none" w:sz="0" w:space="0" w:color="auto"/>
        <w:left w:val="none" w:sz="0" w:space="0" w:color="auto"/>
        <w:bottom w:val="none" w:sz="0" w:space="0" w:color="auto"/>
        <w:right w:val="none" w:sz="0" w:space="0" w:color="auto"/>
      </w:divBdr>
    </w:div>
    <w:div w:id="1033773732">
      <w:marLeft w:val="0"/>
      <w:marRight w:val="0"/>
      <w:marTop w:val="0"/>
      <w:marBottom w:val="120"/>
      <w:divBdr>
        <w:top w:val="none" w:sz="0" w:space="0" w:color="auto"/>
        <w:left w:val="none" w:sz="0" w:space="0" w:color="auto"/>
        <w:bottom w:val="none" w:sz="0" w:space="0" w:color="auto"/>
        <w:right w:val="none" w:sz="0" w:space="0" w:color="auto"/>
      </w:divBdr>
    </w:div>
    <w:div w:id="1036200997">
      <w:marLeft w:val="0"/>
      <w:marRight w:val="0"/>
      <w:marTop w:val="240"/>
      <w:marBottom w:val="240"/>
      <w:divBdr>
        <w:top w:val="none" w:sz="0" w:space="0" w:color="auto"/>
        <w:left w:val="none" w:sz="0" w:space="0" w:color="auto"/>
        <w:bottom w:val="none" w:sz="0" w:space="0" w:color="auto"/>
        <w:right w:val="none" w:sz="0" w:space="0" w:color="auto"/>
      </w:divBdr>
    </w:div>
    <w:div w:id="1037200498">
      <w:marLeft w:val="0"/>
      <w:marRight w:val="0"/>
      <w:marTop w:val="240"/>
      <w:marBottom w:val="0"/>
      <w:divBdr>
        <w:top w:val="none" w:sz="0" w:space="0" w:color="auto"/>
        <w:left w:val="none" w:sz="0" w:space="0" w:color="auto"/>
        <w:bottom w:val="none" w:sz="0" w:space="0" w:color="auto"/>
        <w:right w:val="none" w:sz="0" w:space="0" w:color="auto"/>
      </w:divBdr>
    </w:div>
    <w:div w:id="1038822759">
      <w:marLeft w:val="0"/>
      <w:marRight w:val="0"/>
      <w:marTop w:val="0"/>
      <w:marBottom w:val="120"/>
      <w:divBdr>
        <w:top w:val="none" w:sz="0" w:space="0" w:color="auto"/>
        <w:left w:val="none" w:sz="0" w:space="0" w:color="auto"/>
        <w:bottom w:val="none" w:sz="0" w:space="0" w:color="auto"/>
        <w:right w:val="none" w:sz="0" w:space="0" w:color="auto"/>
      </w:divBdr>
    </w:div>
    <w:div w:id="1039084486">
      <w:marLeft w:val="0"/>
      <w:marRight w:val="0"/>
      <w:marTop w:val="240"/>
      <w:marBottom w:val="240"/>
      <w:divBdr>
        <w:top w:val="none" w:sz="0" w:space="0" w:color="auto"/>
        <w:left w:val="none" w:sz="0" w:space="0" w:color="auto"/>
        <w:bottom w:val="none" w:sz="0" w:space="0" w:color="auto"/>
        <w:right w:val="none" w:sz="0" w:space="0" w:color="auto"/>
      </w:divBdr>
    </w:div>
    <w:div w:id="1039476042">
      <w:marLeft w:val="0"/>
      <w:marRight w:val="0"/>
      <w:marTop w:val="240"/>
      <w:marBottom w:val="0"/>
      <w:divBdr>
        <w:top w:val="none" w:sz="0" w:space="0" w:color="auto"/>
        <w:left w:val="none" w:sz="0" w:space="0" w:color="auto"/>
        <w:bottom w:val="none" w:sz="0" w:space="0" w:color="auto"/>
        <w:right w:val="none" w:sz="0" w:space="0" w:color="auto"/>
      </w:divBdr>
    </w:div>
    <w:div w:id="1041397452">
      <w:marLeft w:val="0"/>
      <w:marRight w:val="0"/>
      <w:marTop w:val="0"/>
      <w:marBottom w:val="120"/>
      <w:divBdr>
        <w:top w:val="none" w:sz="0" w:space="0" w:color="auto"/>
        <w:left w:val="none" w:sz="0" w:space="0" w:color="auto"/>
        <w:bottom w:val="none" w:sz="0" w:space="0" w:color="auto"/>
        <w:right w:val="none" w:sz="0" w:space="0" w:color="auto"/>
      </w:divBdr>
    </w:div>
    <w:div w:id="1041518971">
      <w:marLeft w:val="0"/>
      <w:marRight w:val="0"/>
      <w:marTop w:val="240"/>
      <w:marBottom w:val="240"/>
      <w:divBdr>
        <w:top w:val="none" w:sz="0" w:space="0" w:color="auto"/>
        <w:left w:val="none" w:sz="0" w:space="0" w:color="auto"/>
        <w:bottom w:val="none" w:sz="0" w:space="0" w:color="auto"/>
        <w:right w:val="none" w:sz="0" w:space="0" w:color="auto"/>
      </w:divBdr>
    </w:div>
    <w:div w:id="1043752798">
      <w:marLeft w:val="0"/>
      <w:marRight w:val="0"/>
      <w:marTop w:val="0"/>
      <w:marBottom w:val="120"/>
      <w:divBdr>
        <w:top w:val="none" w:sz="0" w:space="0" w:color="auto"/>
        <w:left w:val="none" w:sz="0" w:space="0" w:color="auto"/>
        <w:bottom w:val="none" w:sz="0" w:space="0" w:color="auto"/>
        <w:right w:val="none" w:sz="0" w:space="0" w:color="auto"/>
      </w:divBdr>
    </w:div>
    <w:div w:id="1043794736">
      <w:marLeft w:val="0"/>
      <w:marRight w:val="0"/>
      <w:marTop w:val="0"/>
      <w:marBottom w:val="0"/>
      <w:divBdr>
        <w:top w:val="none" w:sz="0" w:space="0" w:color="auto"/>
        <w:left w:val="none" w:sz="0" w:space="0" w:color="auto"/>
        <w:bottom w:val="none" w:sz="0" w:space="0" w:color="auto"/>
        <w:right w:val="none" w:sz="0" w:space="0" w:color="auto"/>
      </w:divBdr>
      <w:divsChild>
        <w:div w:id="667101795">
          <w:marLeft w:val="0"/>
          <w:marRight w:val="0"/>
          <w:marTop w:val="0"/>
          <w:marBottom w:val="0"/>
          <w:divBdr>
            <w:top w:val="none" w:sz="0" w:space="0" w:color="auto"/>
            <w:left w:val="none" w:sz="0" w:space="0" w:color="auto"/>
            <w:bottom w:val="none" w:sz="0" w:space="0" w:color="auto"/>
            <w:right w:val="none" w:sz="0" w:space="0" w:color="auto"/>
          </w:divBdr>
          <w:divsChild>
            <w:div w:id="17151081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44060080">
      <w:marLeft w:val="0"/>
      <w:marRight w:val="0"/>
      <w:marTop w:val="0"/>
      <w:marBottom w:val="120"/>
      <w:divBdr>
        <w:top w:val="none" w:sz="0" w:space="0" w:color="auto"/>
        <w:left w:val="none" w:sz="0" w:space="0" w:color="auto"/>
        <w:bottom w:val="none" w:sz="0" w:space="0" w:color="auto"/>
        <w:right w:val="none" w:sz="0" w:space="0" w:color="auto"/>
      </w:divBdr>
    </w:div>
    <w:div w:id="1045524500">
      <w:marLeft w:val="0"/>
      <w:marRight w:val="0"/>
      <w:marTop w:val="0"/>
      <w:marBottom w:val="0"/>
      <w:divBdr>
        <w:top w:val="none" w:sz="0" w:space="0" w:color="auto"/>
        <w:left w:val="none" w:sz="0" w:space="0" w:color="auto"/>
        <w:bottom w:val="none" w:sz="0" w:space="0" w:color="auto"/>
        <w:right w:val="none" w:sz="0" w:space="0" w:color="auto"/>
      </w:divBdr>
    </w:div>
    <w:div w:id="1045909434">
      <w:marLeft w:val="0"/>
      <w:marRight w:val="0"/>
      <w:marTop w:val="0"/>
      <w:marBottom w:val="120"/>
      <w:divBdr>
        <w:top w:val="none" w:sz="0" w:space="0" w:color="auto"/>
        <w:left w:val="none" w:sz="0" w:space="0" w:color="auto"/>
        <w:bottom w:val="none" w:sz="0" w:space="0" w:color="auto"/>
        <w:right w:val="none" w:sz="0" w:space="0" w:color="auto"/>
      </w:divBdr>
    </w:div>
    <w:div w:id="1048215270">
      <w:marLeft w:val="0"/>
      <w:marRight w:val="0"/>
      <w:marTop w:val="0"/>
      <w:marBottom w:val="120"/>
      <w:divBdr>
        <w:top w:val="none" w:sz="0" w:space="0" w:color="auto"/>
        <w:left w:val="none" w:sz="0" w:space="0" w:color="auto"/>
        <w:bottom w:val="none" w:sz="0" w:space="0" w:color="auto"/>
        <w:right w:val="none" w:sz="0" w:space="0" w:color="auto"/>
      </w:divBdr>
      <w:divsChild>
        <w:div w:id="59407627">
          <w:marLeft w:val="0"/>
          <w:marRight w:val="0"/>
          <w:marTop w:val="0"/>
          <w:marBottom w:val="0"/>
          <w:divBdr>
            <w:top w:val="none" w:sz="0" w:space="0" w:color="auto"/>
            <w:left w:val="none" w:sz="0" w:space="0" w:color="auto"/>
            <w:bottom w:val="none" w:sz="0" w:space="0" w:color="auto"/>
            <w:right w:val="none" w:sz="0" w:space="0" w:color="auto"/>
          </w:divBdr>
        </w:div>
        <w:div w:id="1120612259">
          <w:marLeft w:val="0"/>
          <w:marRight w:val="0"/>
          <w:marTop w:val="0"/>
          <w:marBottom w:val="0"/>
          <w:divBdr>
            <w:top w:val="none" w:sz="0" w:space="0" w:color="auto"/>
            <w:left w:val="none" w:sz="0" w:space="0" w:color="auto"/>
            <w:bottom w:val="none" w:sz="0" w:space="0" w:color="auto"/>
            <w:right w:val="none" w:sz="0" w:space="0" w:color="auto"/>
          </w:divBdr>
        </w:div>
        <w:div w:id="345133935">
          <w:marLeft w:val="0"/>
          <w:marRight w:val="0"/>
          <w:marTop w:val="0"/>
          <w:marBottom w:val="0"/>
          <w:divBdr>
            <w:top w:val="none" w:sz="0" w:space="0" w:color="auto"/>
            <w:left w:val="none" w:sz="0" w:space="0" w:color="auto"/>
            <w:bottom w:val="none" w:sz="0" w:space="0" w:color="auto"/>
            <w:right w:val="none" w:sz="0" w:space="0" w:color="auto"/>
          </w:divBdr>
        </w:div>
        <w:div w:id="1506087142">
          <w:marLeft w:val="0"/>
          <w:marRight w:val="0"/>
          <w:marTop w:val="0"/>
          <w:marBottom w:val="0"/>
          <w:divBdr>
            <w:top w:val="none" w:sz="0" w:space="0" w:color="auto"/>
            <w:left w:val="none" w:sz="0" w:space="0" w:color="auto"/>
            <w:bottom w:val="none" w:sz="0" w:space="0" w:color="auto"/>
            <w:right w:val="none" w:sz="0" w:space="0" w:color="auto"/>
          </w:divBdr>
        </w:div>
        <w:div w:id="1549875263">
          <w:marLeft w:val="0"/>
          <w:marRight w:val="0"/>
          <w:marTop w:val="0"/>
          <w:marBottom w:val="0"/>
          <w:divBdr>
            <w:top w:val="none" w:sz="0" w:space="0" w:color="auto"/>
            <w:left w:val="none" w:sz="0" w:space="0" w:color="auto"/>
            <w:bottom w:val="none" w:sz="0" w:space="0" w:color="auto"/>
            <w:right w:val="none" w:sz="0" w:space="0" w:color="auto"/>
          </w:divBdr>
        </w:div>
      </w:divsChild>
    </w:div>
    <w:div w:id="1049568491">
      <w:marLeft w:val="0"/>
      <w:marRight w:val="0"/>
      <w:marTop w:val="0"/>
      <w:marBottom w:val="0"/>
      <w:divBdr>
        <w:top w:val="none" w:sz="0" w:space="0" w:color="auto"/>
        <w:left w:val="none" w:sz="0" w:space="0" w:color="auto"/>
        <w:bottom w:val="none" w:sz="0" w:space="0" w:color="auto"/>
        <w:right w:val="none" w:sz="0" w:space="0" w:color="auto"/>
      </w:divBdr>
      <w:divsChild>
        <w:div w:id="1454325726">
          <w:marLeft w:val="0"/>
          <w:marRight w:val="0"/>
          <w:marTop w:val="0"/>
          <w:marBottom w:val="120"/>
          <w:divBdr>
            <w:top w:val="none" w:sz="0" w:space="0" w:color="auto"/>
            <w:left w:val="none" w:sz="0" w:space="0" w:color="auto"/>
            <w:bottom w:val="none" w:sz="0" w:space="0" w:color="auto"/>
            <w:right w:val="none" w:sz="0" w:space="0" w:color="auto"/>
          </w:divBdr>
        </w:div>
      </w:divsChild>
    </w:div>
    <w:div w:id="1050569310">
      <w:marLeft w:val="0"/>
      <w:marRight w:val="0"/>
      <w:marTop w:val="0"/>
      <w:marBottom w:val="120"/>
      <w:divBdr>
        <w:top w:val="none" w:sz="0" w:space="0" w:color="auto"/>
        <w:left w:val="none" w:sz="0" w:space="0" w:color="auto"/>
        <w:bottom w:val="none" w:sz="0" w:space="0" w:color="auto"/>
        <w:right w:val="none" w:sz="0" w:space="0" w:color="auto"/>
      </w:divBdr>
    </w:div>
    <w:div w:id="1063718132">
      <w:marLeft w:val="0"/>
      <w:marRight w:val="0"/>
      <w:marTop w:val="0"/>
      <w:marBottom w:val="0"/>
      <w:divBdr>
        <w:top w:val="none" w:sz="0" w:space="0" w:color="auto"/>
        <w:left w:val="none" w:sz="0" w:space="0" w:color="auto"/>
        <w:bottom w:val="none" w:sz="0" w:space="0" w:color="auto"/>
        <w:right w:val="none" w:sz="0" w:space="0" w:color="auto"/>
      </w:divBdr>
      <w:divsChild>
        <w:div w:id="1945073767">
          <w:marLeft w:val="0"/>
          <w:marRight w:val="0"/>
          <w:marTop w:val="0"/>
          <w:marBottom w:val="120"/>
          <w:divBdr>
            <w:top w:val="none" w:sz="0" w:space="0" w:color="auto"/>
            <w:left w:val="none" w:sz="0" w:space="0" w:color="auto"/>
            <w:bottom w:val="none" w:sz="0" w:space="0" w:color="auto"/>
            <w:right w:val="none" w:sz="0" w:space="0" w:color="auto"/>
          </w:divBdr>
        </w:div>
      </w:divsChild>
    </w:div>
    <w:div w:id="1065181654">
      <w:marLeft w:val="0"/>
      <w:marRight w:val="0"/>
      <w:marTop w:val="240"/>
      <w:marBottom w:val="0"/>
      <w:divBdr>
        <w:top w:val="none" w:sz="0" w:space="0" w:color="auto"/>
        <w:left w:val="none" w:sz="0" w:space="0" w:color="auto"/>
        <w:bottom w:val="none" w:sz="0" w:space="0" w:color="auto"/>
        <w:right w:val="none" w:sz="0" w:space="0" w:color="auto"/>
      </w:divBdr>
    </w:div>
    <w:div w:id="1066293811">
      <w:marLeft w:val="0"/>
      <w:marRight w:val="0"/>
      <w:marTop w:val="0"/>
      <w:marBottom w:val="120"/>
      <w:divBdr>
        <w:top w:val="none" w:sz="0" w:space="0" w:color="auto"/>
        <w:left w:val="none" w:sz="0" w:space="0" w:color="auto"/>
        <w:bottom w:val="none" w:sz="0" w:space="0" w:color="auto"/>
        <w:right w:val="none" w:sz="0" w:space="0" w:color="auto"/>
      </w:divBdr>
    </w:div>
    <w:div w:id="1067801471">
      <w:marLeft w:val="0"/>
      <w:marRight w:val="0"/>
      <w:marTop w:val="0"/>
      <w:marBottom w:val="120"/>
      <w:divBdr>
        <w:top w:val="none" w:sz="0" w:space="0" w:color="auto"/>
        <w:left w:val="none" w:sz="0" w:space="0" w:color="auto"/>
        <w:bottom w:val="none" w:sz="0" w:space="0" w:color="auto"/>
        <w:right w:val="none" w:sz="0" w:space="0" w:color="auto"/>
      </w:divBdr>
    </w:div>
    <w:div w:id="1068458230">
      <w:marLeft w:val="0"/>
      <w:marRight w:val="0"/>
      <w:marTop w:val="0"/>
      <w:marBottom w:val="120"/>
      <w:divBdr>
        <w:top w:val="none" w:sz="0" w:space="0" w:color="auto"/>
        <w:left w:val="none" w:sz="0" w:space="0" w:color="auto"/>
        <w:bottom w:val="none" w:sz="0" w:space="0" w:color="auto"/>
        <w:right w:val="none" w:sz="0" w:space="0" w:color="auto"/>
      </w:divBdr>
      <w:divsChild>
        <w:div w:id="1690375815">
          <w:marLeft w:val="0"/>
          <w:marRight w:val="0"/>
          <w:marTop w:val="0"/>
          <w:marBottom w:val="0"/>
          <w:divBdr>
            <w:top w:val="none" w:sz="0" w:space="0" w:color="auto"/>
            <w:left w:val="none" w:sz="0" w:space="0" w:color="auto"/>
            <w:bottom w:val="none" w:sz="0" w:space="0" w:color="auto"/>
            <w:right w:val="none" w:sz="0" w:space="0" w:color="auto"/>
          </w:divBdr>
        </w:div>
        <w:div w:id="1466776592">
          <w:marLeft w:val="0"/>
          <w:marRight w:val="0"/>
          <w:marTop w:val="0"/>
          <w:marBottom w:val="0"/>
          <w:divBdr>
            <w:top w:val="none" w:sz="0" w:space="0" w:color="auto"/>
            <w:left w:val="none" w:sz="0" w:space="0" w:color="auto"/>
            <w:bottom w:val="none" w:sz="0" w:space="0" w:color="auto"/>
            <w:right w:val="none" w:sz="0" w:space="0" w:color="auto"/>
          </w:divBdr>
        </w:div>
        <w:div w:id="990716002">
          <w:marLeft w:val="0"/>
          <w:marRight w:val="0"/>
          <w:marTop w:val="0"/>
          <w:marBottom w:val="0"/>
          <w:divBdr>
            <w:top w:val="none" w:sz="0" w:space="0" w:color="auto"/>
            <w:left w:val="none" w:sz="0" w:space="0" w:color="auto"/>
            <w:bottom w:val="none" w:sz="0" w:space="0" w:color="auto"/>
            <w:right w:val="none" w:sz="0" w:space="0" w:color="auto"/>
          </w:divBdr>
        </w:div>
        <w:div w:id="1579750900">
          <w:marLeft w:val="0"/>
          <w:marRight w:val="0"/>
          <w:marTop w:val="0"/>
          <w:marBottom w:val="0"/>
          <w:divBdr>
            <w:top w:val="none" w:sz="0" w:space="0" w:color="auto"/>
            <w:left w:val="none" w:sz="0" w:space="0" w:color="auto"/>
            <w:bottom w:val="none" w:sz="0" w:space="0" w:color="auto"/>
            <w:right w:val="none" w:sz="0" w:space="0" w:color="auto"/>
          </w:divBdr>
        </w:div>
        <w:div w:id="1325859309">
          <w:marLeft w:val="0"/>
          <w:marRight w:val="0"/>
          <w:marTop w:val="0"/>
          <w:marBottom w:val="0"/>
          <w:divBdr>
            <w:top w:val="none" w:sz="0" w:space="0" w:color="auto"/>
            <w:left w:val="none" w:sz="0" w:space="0" w:color="auto"/>
            <w:bottom w:val="none" w:sz="0" w:space="0" w:color="auto"/>
            <w:right w:val="none" w:sz="0" w:space="0" w:color="auto"/>
          </w:divBdr>
        </w:div>
      </w:divsChild>
    </w:div>
    <w:div w:id="1075737575">
      <w:marLeft w:val="0"/>
      <w:marRight w:val="0"/>
      <w:marTop w:val="0"/>
      <w:marBottom w:val="0"/>
      <w:divBdr>
        <w:top w:val="none" w:sz="0" w:space="0" w:color="auto"/>
        <w:left w:val="none" w:sz="0" w:space="0" w:color="auto"/>
        <w:bottom w:val="none" w:sz="0" w:space="0" w:color="auto"/>
        <w:right w:val="none" w:sz="0" w:space="0" w:color="auto"/>
      </w:divBdr>
      <w:divsChild>
        <w:div w:id="1832214633">
          <w:marLeft w:val="0"/>
          <w:marRight w:val="0"/>
          <w:marTop w:val="0"/>
          <w:marBottom w:val="120"/>
          <w:divBdr>
            <w:top w:val="none" w:sz="0" w:space="0" w:color="auto"/>
            <w:left w:val="none" w:sz="0" w:space="0" w:color="auto"/>
            <w:bottom w:val="none" w:sz="0" w:space="0" w:color="auto"/>
            <w:right w:val="none" w:sz="0" w:space="0" w:color="auto"/>
          </w:divBdr>
        </w:div>
      </w:divsChild>
    </w:div>
    <w:div w:id="1077287079">
      <w:marLeft w:val="0"/>
      <w:marRight w:val="0"/>
      <w:marTop w:val="0"/>
      <w:marBottom w:val="120"/>
      <w:divBdr>
        <w:top w:val="none" w:sz="0" w:space="0" w:color="auto"/>
        <w:left w:val="none" w:sz="0" w:space="0" w:color="auto"/>
        <w:bottom w:val="none" w:sz="0" w:space="0" w:color="auto"/>
        <w:right w:val="none" w:sz="0" w:space="0" w:color="auto"/>
      </w:divBdr>
    </w:div>
    <w:div w:id="1082262029">
      <w:marLeft w:val="0"/>
      <w:marRight w:val="0"/>
      <w:marTop w:val="0"/>
      <w:marBottom w:val="0"/>
      <w:divBdr>
        <w:top w:val="none" w:sz="0" w:space="0" w:color="auto"/>
        <w:left w:val="none" w:sz="0" w:space="0" w:color="auto"/>
        <w:bottom w:val="none" w:sz="0" w:space="0" w:color="auto"/>
        <w:right w:val="none" w:sz="0" w:space="0" w:color="auto"/>
      </w:divBdr>
      <w:divsChild>
        <w:div w:id="643119780">
          <w:marLeft w:val="0"/>
          <w:marRight w:val="0"/>
          <w:marTop w:val="0"/>
          <w:marBottom w:val="120"/>
          <w:divBdr>
            <w:top w:val="none" w:sz="0" w:space="0" w:color="auto"/>
            <w:left w:val="none" w:sz="0" w:space="0" w:color="auto"/>
            <w:bottom w:val="none" w:sz="0" w:space="0" w:color="auto"/>
            <w:right w:val="none" w:sz="0" w:space="0" w:color="auto"/>
          </w:divBdr>
        </w:div>
      </w:divsChild>
    </w:div>
    <w:div w:id="1083719486">
      <w:marLeft w:val="0"/>
      <w:marRight w:val="0"/>
      <w:marTop w:val="240"/>
      <w:marBottom w:val="0"/>
      <w:divBdr>
        <w:top w:val="none" w:sz="0" w:space="0" w:color="auto"/>
        <w:left w:val="none" w:sz="0" w:space="0" w:color="auto"/>
        <w:bottom w:val="none" w:sz="0" w:space="0" w:color="auto"/>
        <w:right w:val="none" w:sz="0" w:space="0" w:color="auto"/>
      </w:divBdr>
    </w:div>
    <w:div w:id="1084449515">
      <w:marLeft w:val="0"/>
      <w:marRight w:val="0"/>
      <w:marTop w:val="0"/>
      <w:marBottom w:val="120"/>
      <w:divBdr>
        <w:top w:val="none" w:sz="0" w:space="0" w:color="auto"/>
        <w:left w:val="none" w:sz="0" w:space="0" w:color="auto"/>
        <w:bottom w:val="none" w:sz="0" w:space="0" w:color="auto"/>
        <w:right w:val="none" w:sz="0" w:space="0" w:color="auto"/>
      </w:divBdr>
    </w:div>
    <w:div w:id="1087385405">
      <w:marLeft w:val="0"/>
      <w:marRight w:val="0"/>
      <w:marTop w:val="0"/>
      <w:marBottom w:val="240"/>
      <w:divBdr>
        <w:top w:val="none" w:sz="0" w:space="0" w:color="auto"/>
        <w:left w:val="none" w:sz="0" w:space="0" w:color="auto"/>
        <w:bottom w:val="none" w:sz="0" w:space="0" w:color="auto"/>
        <w:right w:val="none" w:sz="0" w:space="0" w:color="auto"/>
      </w:divBdr>
    </w:div>
    <w:div w:id="1088619528">
      <w:marLeft w:val="0"/>
      <w:marRight w:val="0"/>
      <w:marTop w:val="0"/>
      <w:marBottom w:val="120"/>
      <w:divBdr>
        <w:top w:val="none" w:sz="0" w:space="0" w:color="auto"/>
        <w:left w:val="none" w:sz="0" w:space="0" w:color="auto"/>
        <w:bottom w:val="none" w:sz="0" w:space="0" w:color="auto"/>
        <w:right w:val="none" w:sz="0" w:space="0" w:color="auto"/>
      </w:divBdr>
    </w:div>
    <w:div w:id="1088888267">
      <w:marLeft w:val="0"/>
      <w:marRight w:val="0"/>
      <w:marTop w:val="240"/>
      <w:marBottom w:val="0"/>
      <w:divBdr>
        <w:top w:val="none" w:sz="0" w:space="0" w:color="auto"/>
        <w:left w:val="none" w:sz="0" w:space="0" w:color="auto"/>
        <w:bottom w:val="none" w:sz="0" w:space="0" w:color="auto"/>
        <w:right w:val="none" w:sz="0" w:space="0" w:color="auto"/>
      </w:divBdr>
    </w:div>
    <w:div w:id="1089234621">
      <w:marLeft w:val="0"/>
      <w:marRight w:val="0"/>
      <w:marTop w:val="240"/>
      <w:marBottom w:val="0"/>
      <w:divBdr>
        <w:top w:val="none" w:sz="0" w:space="0" w:color="auto"/>
        <w:left w:val="none" w:sz="0" w:space="0" w:color="auto"/>
        <w:bottom w:val="none" w:sz="0" w:space="0" w:color="auto"/>
        <w:right w:val="none" w:sz="0" w:space="0" w:color="auto"/>
      </w:divBdr>
    </w:div>
    <w:div w:id="1089890950">
      <w:marLeft w:val="0"/>
      <w:marRight w:val="0"/>
      <w:marTop w:val="0"/>
      <w:marBottom w:val="120"/>
      <w:divBdr>
        <w:top w:val="none" w:sz="0" w:space="0" w:color="auto"/>
        <w:left w:val="none" w:sz="0" w:space="0" w:color="auto"/>
        <w:bottom w:val="none" w:sz="0" w:space="0" w:color="auto"/>
        <w:right w:val="none" w:sz="0" w:space="0" w:color="auto"/>
      </w:divBdr>
    </w:div>
    <w:div w:id="1091926318">
      <w:marLeft w:val="0"/>
      <w:marRight w:val="0"/>
      <w:marTop w:val="0"/>
      <w:marBottom w:val="0"/>
      <w:divBdr>
        <w:top w:val="none" w:sz="0" w:space="0" w:color="auto"/>
        <w:left w:val="none" w:sz="0" w:space="0" w:color="auto"/>
        <w:bottom w:val="none" w:sz="0" w:space="0" w:color="auto"/>
        <w:right w:val="none" w:sz="0" w:space="0" w:color="auto"/>
      </w:divBdr>
      <w:divsChild>
        <w:div w:id="1730568644">
          <w:marLeft w:val="0"/>
          <w:marRight w:val="0"/>
          <w:marTop w:val="0"/>
          <w:marBottom w:val="120"/>
          <w:divBdr>
            <w:top w:val="none" w:sz="0" w:space="0" w:color="auto"/>
            <w:left w:val="none" w:sz="0" w:space="0" w:color="auto"/>
            <w:bottom w:val="none" w:sz="0" w:space="0" w:color="auto"/>
            <w:right w:val="none" w:sz="0" w:space="0" w:color="auto"/>
          </w:divBdr>
        </w:div>
      </w:divsChild>
    </w:div>
    <w:div w:id="1092823190">
      <w:marLeft w:val="0"/>
      <w:marRight w:val="0"/>
      <w:marTop w:val="240"/>
      <w:marBottom w:val="0"/>
      <w:divBdr>
        <w:top w:val="none" w:sz="0" w:space="0" w:color="auto"/>
        <w:left w:val="none" w:sz="0" w:space="0" w:color="auto"/>
        <w:bottom w:val="none" w:sz="0" w:space="0" w:color="auto"/>
        <w:right w:val="none" w:sz="0" w:space="0" w:color="auto"/>
      </w:divBdr>
    </w:div>
    <w:div w:id="1098063753">
      <w:marLeft w:val="0"/>
      <w:marRight w:val="0"/>
      <w:marTop w:val="0"/>
      <w:marBottom w:val="0"/>
      <w:divBdr>
        <w:top w:val="none" w:sz="0" w:space="0" w:color="auto"/>
        <w:left w:val="none" w:sz="0" w:space="0" w:color="auto"/>
        <w:bottom w:val="none" w:sz="0" w:space="0" w:color="auto"/>
        <w:right w:val="none" w:sz="0" w:space="0" w:color="auto"/>
      </w:divBdr>
      <w:divsChild>
        <w:div w:id="1542938923">
          <w:marLeft w:val="0"/>
          <w:marRight w:val="0"/>
          <w:marTop w:val="0"/>
          <w:marBottom w:val="0"/>
          <w:divBdr>
            <w:top w:val="none" w:sz="0" w:space="0" w:color="auto"/>
            <w:left w:val="none" w:sz="0" w:space="0" w:color="auto"/>
            <w:bottom w:val="none" w:sz="0" w:space="0" w:color="auto"/>
            <w:right w:val="none" w:sz="0" w:space="0" w:color="auto"/>
          </w:divBdr>
          <w:divsChild>
            <w:div w:id="12727796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03308218">
      <w:marLeft w:val="0"/>
      <w:marRight w:val="0"/>
      <w:marTop w:val="0"/>
      <w:marBottom w:val="120"/>
      <w:divBdr>
        <w:top w:val="none" w:sz="0" w:space="0" w:color="auto"/>
        <w:left w:val="none" w:sz="0" w:space="0" w:color="auto"/>
        <w:bottom w:val="none" w:sz="0" w:space="0" w:color="auto"/>
        <w:right w:val="none" w:sz="0" w:space="0" w:color="auto"/>
      </w:divBdr>
    </w:div>
    <w:div w:id="1103768815">
      <w:marLeft w:val="0"/>
      <w:marRight w:val="0"/>
      <w:marTop w:val="0"/>
      <w:marBottom w:val="20"/>
      <w:divBdr>
        <w:top w:val="none" w:sz="0" w:space="0" w:color="auto"/>
        <w:left w:val="none" w:sz="0" w:space="0" w:color="auto"/>
        <w:bottom w:val="none" w:sz="0" w:space="0" w:color="auto"/>
        <w:right w:val="none" w:sz="0" w:space="0" w:color="auto"/>
      </w:divBdr>
      <w:divsChild>
        <w:div w:id="1225987883">
          <w:marLeft w:val="0"/>
          <w:marRight w:val="0"/>
          <w:marTop w:val="0"/>
          <w:marBottom w:val="0"/>
          <w:divBdr>
            <w:top w:val="none" w:sz="0" w:space="0" w:color="auto"/>
            <w:left w:val="none" w:sz="0" w:space="0" w:color="auto"/>
            <w:bottom w:val="none" w:sz="0" w:space="0" w:color="auto"/>
            <w:right w:val="none" w:sz="0" w:space="0" w:color="auto"/>
          </w:divBdr>
        </w:div>
      </w:divsChild>
    </w:div>
    <w:div w:id="1107770129">
      <w:marLeft w:val="0"/>
      <w:marRight w:val="0"/>
      <w:marTop w:val="0"/>
      <w:marBottom w:val="0"/>
      <w:divBdr>
        <w:top w:val="none" w:sz="0" w:space="0" w:color="auto"/>
        <w:left w:val="none" w:sz="0" w:space="0" w:color="auto"/>
        <w:bottom w:val="none" w:sz="0" w:space="0" w:color="auto"/>
        <w:right w:val="none" w:sz="0" w:space="0" w:color="auto"/>
      </w:divBdr>
    </w:div>
    <w:div w:id="1107847503">
      <w:marLeft w:val="0"/>
      <w:marRight w:val="0"/>
      <w:marTop w:val="240"/>
      <w:marBottom w:val="240"/>
      <w:divBdr>
        <w:top w:val="none" w:sz="0" w:space="0" w:color="auto"/>
        <w:left w:val="none" w:sz="0" w:space="0" w:color="auto"/>
        <w:bottom w:val="none" w:sz="0" w:space="0" w:color="auto"/>
        <w:right w:val="none" w:sz="0" w:space="0" w:color="auto"/>
      </w:divBdr>
    </w:div>
    <w:div w:id="1111054316">
      <w:marLeft w:val="0"/>
      <w:marRight w:val="0"/>
      <w:marTop w:val="0"/>
      <w:marBottom w:val="120"/>
      <w:divBdr>
        <w:top w:val="none" w:sz="0" w:space="0" w:color="auto"/>
        <w:left w:val="none" w:sz="0" w:space="0" w:color="auto"/>
        <w:bottom w:val="none" w:sz="0" w:space="0" w:color="auto"/>
        <w:right w:val="none" w:sz="0" w:space="0" w:color="auto"/>
      </w:divBdr>
    </w:div>
    <w:div w:id="1111128874">
      <w:marLeft w:val="0"/>
      <w:marRight w:val="0"/>
      <w:marTop w:val="0"/>
      <w:marBottom w:val="0"/>
      <w:divBdr>
        <w:top w:val="none" w:sz="0" w:space="0" w:color="auto"/>
        <w:left w:val="none" w:sz="0" w:space="0" w:color="auto"/>
        <w:bottom w:val="none" w:sz="0" w:space="0" w:color="auto"/>
        <w:right w:val="none" w:sz="0" w:space="0" w:color="auto"/>
      </w:divBdr>
      <w:divsChild>
        <w:div w:id="2051760997">
          <w:marLeft w:val="0"/>
          <w:marRight w:val="0"/>
          <w:marTop w:val="0"/>
          <w:marBottom w:val="120"/>
          <w:divBdr>
            <w:top w:val="none" w:sz="0" w:space="0" w:color="auto"/>
            <w:left w:val="none" w:sz="0" w:space="0" w:color="auto"/>
            <w:bottom w:val="none" w:sz="0" w:space="0" w:color="auto"/>
            <w:right w:val="none" w:sz="0" w:space="0" w:color="auto"/>
          </w:divBdr>
        </w:div>
      </w:divsChild>
    </w:div>
    <w:div w:id="1115826774">
      <w:marLeft w:val="0"/>
      <w:marRight w:val="0"/>
      <w:marTop w:val="0"/>
      <w:marBottom w:val="120"/>
      <w:divBdr>
        <w:top w:val="none" w:sz="0" w:space="0" w:color="auto"/>
        <w:left w:val="none" w:sz="0" w:space="0" w:color="auto"/>
        <w:bottom w:val="none" w:sz="0" w:space="0" w:color="auto"/>
        <w:right w:val="none" w:sz="0" w:space="0" w:color="auto"/>
      </w:divBdr>
    </w:div>
    <w:div w:id="1116213727">
      <w:marLeft w:val="0"/>
      <w:marRight w:val="0"/>
      <w:marTop w:val="0"/>
      <w:marBottom w:val="120"/>
      <w:divBdr>
        <w:top w:val="none" w:sz="0" w:space="0" w:color="auto"/>
        <w:left w:val="none" w:sz="0" w:space="0" w:color="auto"/>
        <w:bottom w:val="none" w:sz="0" w:space="0" w:color="auto"/>
        <w:right w:val="none" w:sz="0" w:space="0" w:color="auto"/>
      </w:divBdr>
    </w:div>
    <w:div w:id="1116367793">
      <w:marLeft w:val="0"/>
      <w:marRight w:val="0"/>
      <w:marTop w:val="0"/>
      <w:marBottom w:val="120"/>
      <w:divBdr>
        <w:top w:val="none" w:sz="0" w:space="0" w:color="auto"/>
        <w:left w:val="none" w:sz="0" w:space="0" w:color="auto"/>
        <w:bottom w:val="none" w:sz="0" w:space="0" w:color="auto"/>
        <w:right w:val="none" w:sz="0" w:space="0" w:color="auto"/>
      </w:divBdr>
    </w:div>
    <w:div w:id="1116368853">
      <w:marLeft w:val="0"/>
      <w:marRight w:val="0"/>
      <w:marTop w:val="0"/>
      <w:marBottom w:val="120"/>
      <w:divBdr>
        <w:top w:val="none" w:sz="0" w:space="0" w:color="auto"/>
        <w:left w:val="none" w:sz="0" w:space="0" w:color="auto"/>
        <w:bottom w:val="none" w:sz="0" w:space="0" w:color="auto"/>
        <w:right w:val="none" w:sz="0" w:space="0" w:color="auto"/>
      </w:divBdr>
    </w:div>
    <w:div w:id="1117455210">
      <w:marLeft w:val="0"/>
      <w:marRight w:val="0"/>
      <w:marTop w:val="0"/>
      <w:marBottom w:val="120"/>
      <w:divBdr>
        <w:top w:val="none" w:sz="0" w:space="0" w:color="auto"/>
        <w:left w:val="none" w:sz="0" w:space="0" w:color="auto"/>
        <w:bottom w:val="none" w:sz="0" w:space="0" w:color="auto"/>
        <w:right w:val="none" w:sz="0" w:space="0" w:color="auto"/>
      </w:divBdr>
    </w:div>
    <w:div w:id="1117524470">
      <w:marLeft w:val="0"/>
      <w:marRight w:val="0"/>
      <w:marTop w:val="0"/>
      <w:marBottom w:val="120"/>
      <w:divBdr>
        <w:top w:val="none" w:sz="0" w:space="0" w:color="auto"/>
        <w:left w:val="none" w:sz="0" w:space="0" w:color="auto"/>
        <w:bottom w:val="none" w:sz="0" w:space="0" w:color="auto"/>
        <w:right w:val="none" w:sz="0" w:space="0" w:color="auto"/>
      </w:divBdr>
    </w:div>
    <w:div w:id="1119834317">
      <w:marLeft w:val="0"/>
      <w:marRight w:val="0"/>
      <w:marTop w:val="0"/>
      <w:marBottom w:val="120"/>
      <w:divBdr>
        <w:top w:val="none" w:sz="0" w:space="0" w:color="auto"/>
        <w:left w:val="none" w:sz="0" w:space="0" w:color="auto"/>
        <w:bottom w:val="none" w:sz="0" w:space="0" w:color="auto"/>
        <w:right w:val="none" w:sz="0" w:space="0" w:color="auto"/>
      </w:divBdr>
    </w:div>
    <w:div w:id="1120733116">
      <w:marLeft w:val="0"/>
      <w:marRight w:val="0"/>
      <w:marTop w:val="0"/>
      <w:marBottom w:val="120"/>
      <w:divBdr>
        <w:top w:val="none" w:sz="0" w:space="0" w:color="auto"/>
        <w:left w:val="none" w:sz="0" w:space="0" w:color="auto"/>
        <w:bottom w:val="none" w:sz="0" w:space="0" w:color="auto"/>
        <w:right w:val="none" w:sz="0" w:space="0" w:color="auto"/>
      </w:divBdr>
    </w:div>
    <w:div w:id="1124348135">
      <w:marLeft w:val="0"/>
      <w:marRight w:val="0"/>
      <w:marTop w:val="0"/>
      <w:marBottom w:val="120"/>
      <w:divBdr>
        <w:top w:val="none" w:sz="0" w:space="0" w:color="auto"/>
        <w:left w:val="none" w:sz="0" w:space="0" w:color="auto"/>
        <w:bottom w:val="none" w:sz="0" w:space="0" w:color="auto"/>
        <w:right w:val="none" w:sz="0" w:space="0" w:color="auto"/>
      </w:divBdr>
    </w:div>
    <w:div w:id="1125267672">
      <w:marLeft w:val="0"/>
      <w:marRight w:val="0"/>
      <w:marTop w:val="240"/>
      <w:marBottom w:val="0"/>
      <w:divBdr>
        <w:top w:val="none" w:sz="0" w:space="0" w:color="auto"/>
        <w:left w:val="none" w:sz="0" w:space="0" w:color="auto"/>
        <w:bottom w:val="none" w:sz="0" w:space="0" w:color="auto"/>
        <w:right w:val="none" w:sz="0" w:space="0" w:color="auto"/>
      </w:divBdr>
    </w:div>
    <w:div w:id="1128012731">
      <w:marLeft w:val="0"/>
      <w:marRight w:val="0"/>
      <w:marTop w:val="0"/>
      <w:marBottom w:val="0"/>
      <w:divBdr>
        <w:top w:val="none" w:sz="0" w:space="0" w:color="auto"/>
        <w:left w:val="none" w:sz="0" w:space="0" w:color="auto"/>
        <w:bottom w:val="none" w:sz="0" w:space="0" w:color="auto"/>
        <w:right w:val="none" w:sz="0" w:space="0" w:color="auto"/>
      </w:divBdr>
      <w:divsChild>
        <w:div w:id="256906790">
          <w:marLeft w:val="0"/>
          <w:marRight w:val="0"/>
          <w:marTop w:val="0"/>
          <w:marBottom w:val="120"/>
          <w:divBdr>
            <w:top w:val="none" w:sz="0" w:space="0" w:color="auto"/>
            <w:left w:val="none" w:sz="0" w:space="0" w:color="auto"/>
            <w:bottom w:val="none" w:sz="0" w:space="0" w:color="auto"/>
            <w:right w:val="none" w:sz="0" w:space="0" w:color="auto"/>
          </w:divBdr>
        </w:div>
      </w:divsChild>
    </w:div>
    <w:div w:id="1128089640">
      <w:marLeft w:val="0"/>
      <w:marRight w:val="0"/>
      <w:marTop w:val="0"/>
      <w:marBottom w:val="120"/>
      <w:divBdr>
        <w:top w:val="none" w:sz="0" w:space="0" w:color="auto"/>
        <w:left w:val="none" w:sz="0" w:space="0" w:color="auto"/>
        <w:bottom w:val="none" w:sz="0" w:space="0" w:color="auto"/>
        <w:right w:val="none" w:sz="0" w:space="0" w:color="auto"/>
      </w:divBdr>
    </w:div>
    <w:div w:id="1131749748">
      <w:marLeft w:val="0"/>
      <w:marRight w:val="0"/>
      <w:marTop w:val="0"/>
      <w:marBottom w:val="120"/>
      <w:divBdr>
        <w:top w:val="none" w:sz="0" w:space="0" w:color="auto"/>
        <w:left w:val="none" w:sz="0" w:space="0" w:color="auto"/>
        <w:bottom w:val="none" w:sz="0" w:space="0" w:color="auto"/>
        <w:right w:val="none" w:sz="0" w:space="0" w:color="auto"/>
      </w:divBdr>
    </w:div>
    <w:div w:id="1132556821">
      <w:marLeft w:val="0"/>
      <w:marRight w:val="0"/>
      <w:marTop w:val="0"/>
      <w:marBottom w:val="120"/>
      <w:divBdr>
        <w:top w:val="none" w:sz="0" w:space="0" w:color="auto"/>
        <w:left w:val="none" w:sz="0" w:space="0" w:color="auto"/>
        <w:bottom w:val="none" w:sz="0" w:space="0" w:color="auto"/>
        <w:right w:val="none" w:sz="0" w:space="0" w:color="auto"/>
      </w:divBdr>
    </w:div>
    <w:div w:id="1135685934">
      <w:marLeft w:val="0"/>
      <w:marRight w:val="0"/>
      <w:marTop w:val="240"/>
      <w:marBottom w:val="0"/>
      <w:divBdr>
        <w:top w:val="none" w:sz="0" w:space="0" w:color="auto"/>
        <w:left w:val="none" w:sz="0" w:space="0" w:color="auto"/>
        <w:bottom w:val="none" w:sz="0" w:space="0" w:color="auto"/>
        <w:right w:val="none" w:sz="0" w:space="0" w:color="auto"/>
      </w:divBdr>
    </w:div>
    <w:div w:id="1140269090">
      <w:marLeft w:val="0"/>
      <w:marRight w:val="0"/>
      <w:marTop w:val="240"/>
      <w:marBottom w:val="0"/>
      <w:divBdr>
        <w:top w:val="none" w:sz="0" w:space="0" w:color="auto"/>
        <w:left w:val="none" w:sz="0" w:space="0" w:color="auto"/>
        <w:bottom w:val="none" w:sz="0" w:space="0" w:color="auto"/>
        <w:right w:val="none" w:sz="0" w:space="0" w:color="auto"/>
      </w:divBdr>
    </w:div>
    <w:div w:id="1142573994">
      <w:marLeft w:val="0"/>
      <w:marRight w:val="0"/>
      <w:marTop w:val="0"/>
      <w:marBottom w:val="0"/>
      <w:divBdr>
        <w:top w:val="none" w:sz="0" w:space="0" w:color="auto"/>
        <w:left w:val="none" w:sz="0" w:space="0" w:color="auto"/>
        <w:bottom w:val="none" w:sz="0" w:space="0" w:color="auto"/>
        <w:right w:val="none" w:sz="0" w:space="0" w:color="auto"/>
      </w:divBdr>
    </w:div>
    <w:div w:id="1142968124">
      <w:marLeft w:val="0"/>
      <w:marRight w:val="0"/>
      <w:marTop w:val="0"/>
      <w:marBottom w:val="0"/>
      <w:divBdr>
        <w:top w:val="none" w:sz="0" w:space="0" w:color="auto"/>
        <w:left w:val="none" w:sz="0" w:space="0" w:color="auto"/>
        <w:bottom w:val="none" w:sz="0" w:space="0" w:color="auto"/>
        <w:right w:val="none" w:sz="0" w:space="0" w:color="auto"/>
      </w:divBdr>
    </w:div>
    <w:div w:id="1143307522">
      <w:marLeft w:val="0"/>
      <w:marRight w:val="0"/>
      <w:marTop w:val="0"/>
      <w:marBottom w:val="120"/>
      <w:divBdr>
        <w:top w:val="none" w:sz="0" w:space="0" w:color="auto"/>
        <w:left w:val="none" w:sz="0" w:space="0" w:color="auto"/>
        <w:bottom w:val="none" w:sz="0" w:space="0" w:color="auto"/>
        <w:right w:val="none" w:sz="0" w:space="0" w:color="auto"/>
      </w:divBdr>
    </w:div>
    <w:div w:id="1144467506">
      <w:marLeft w:val="0"/>
      <w:marRight w:val="0"/>
      <w:marTop w:val="240"/>
      <w:marBottom w:val="0"/>
      <w:divBdr>
        <w:top w:val="none" w:sz="0" w:space="0" w:color="auto"/>
        <w:left w:val="none" w:sz="0" w:space="0" w:color="auto"/>
        <w:bottom w:val="none" w:sz="0" w:space="0" w:color="auto"/>
        <w:right w:val="none" w:sz="0" w:space="0" w:color="auto"/>
      </w:divBdr>
    </w:div>
    <w:div w:id="1148716116">
      <w:marLeft w:val="0"/>
      <w:marRight w:val="0"/>
      <w:marTop w:val="0"/>
      <w:marBottom w:val="120"/>
      <w:divBdr>
        <w:top w:val="none" w:sz="0" w:space="0" w:color="auto"/>
        <w:left w:val="none" w:sz="0" w:space="0" w:color="auto"/>
        <w:bottom w:val="none" w:sz="0" w:space="0" w:color="auto"/>
        <w:right w:val="none" w:sz="0" w:space="0" w:color="auto"/>
      </w:divBdr>
    </w:div>
    <w:div w:id="1150559477">
      <w:marLeft w:val="0"/>
      <w:marRight w:val="0"/>
      <w:marTop w:val="140"/>
      <w:marBottom w:val="120"/>
      <w:divBdr>
        <w:top w:val="none" w:sz="0" w:space="0" w:color="auto"/>
        <w:left w:val="none" w:sz="0" w:space="0" w:color="auto"/>
        <w:bottom w:val="none" w:sz="0" w:space="0" w:color="auto"/>
        <w:right w:val="none" w:sz="0" w:space="0" w:color="auto"/>
      </w:divBdr>
    </w:div>
    <w:div w:id="1151865707">
      <w:marLeft w:val="0"/>
      <w:marRight w:val="0"/>
      <w:marTop w:val="0"/>
      <w:marBottom w:val="0"/>
      <w:divBdr>
        <w:top w:val="none" w:sz="0" w:space="0" w:color="auto"/>
        <w:left w:val="none" w:sz="0" w:space="0" w:color="auto"/>
        <w:bottom w:val="none" w:sz="0" w:space="0" w:color="auto"/>
        <w:right w:val="none" w:sz="0" w:space="0" w:color="auto"/>
      </w:divBdr>
      <w:divsChild>
        <w:div w:id="1728456909">
          <w:marLeft w:val="0"/>
          <w:marRight w:val="0"/>
          <w:marTop w:val="0"/>
          <w:marBottom w:val="0"/>
          <w:divBdr>
            <w:top w:val="none" w:sz="0" w:space="0" w:color="auto"/>
            <w:left w:val="none" w:sz="0" w:space="0" w:color="auto"/>
            <w:bottom w:val="none" w:sz="0" w:space="0" w:color="auto"/>
            <w:right w:val="none" w:sz="0" w:space="0" w:color="auto"/>
          </w:divBdr>
          <w:divsChild>
            <w:div w:id="13971222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53569912">
      <w:marLeft w:val="0"/>
      <w:marRight w:val="0"/>
      <w:marTop w:val="0"/>
      <w:marBottom w:val="120"/>
      <w:divBdr>
        <w:top w:val="none" w:sz="0" w:space="0" w:color="auto"/>
        <w:left w:val="none" w:sz="0" w:space="0" w:color="auto"/>
        <w:bottom w:val="none" w:sz="0" w:space="0" w:color="auto"/>
        <w:right w:val="none" w:sz="0" w:space="0" w:color="auto"/>
      </w:divBdr>
    </w:div>
    <w:div w:id="1156263702">
      <w:marLeft w:val="0"/>
      <w:marRight w:val="0"/>
      <w:marTop w:val="0"/>
      <w:marBottom w:val="120"/>
      <w:divBdr>
        <w:top w:val="none" w:sz="0" w:space="0" w:color="auto"/>
        <w:left w:val="none" w:sz="0" w:space="0" w:color="auto"/>
        <w:bottom w:val="none" w:sz="0" w:space="0" w:color="auto"/>
        <w:right w:val="none" w:sz="0" w:space="0" w:color="auto"/>
      </w:divBdr>
    </w:div>
    <w:div w:id="1156336051">
      <w:marLeft w:val="0"/>
      <w:marRight w:val="0"/>
      <w:marTop w:val="0"/>
      <w:marBottom w:val="120"/>
      <w:divBdr>
        <w:top w:val="none" w:sz="0" w:space="0" w:color="auto"/>
        <w:left w:val="none" w:sz="0" w:space="0" w:color="auto"/>
        <w:bottom w:val="none" w:sz="0" w:space="0" w:color="auto"/>
        <w:right w:val="none" w:sz="0" w:space="0" w:color="auto"/>
      </w:divBdr>
    </w:div>
    <w:div w:id="1156454651">
      <w:marLeft w:val="0"/>
      <w:marRight w:val="0"/>
      <w:marTop w:val="0"/>
      <w:marBottom w:val="120"/>
      <w:divBdr>
        <w:top w:val="none" w:sz="0" w:space="0" w:color="auto"/>
        <w:left w:val="none" w:sz="0" w:space="0" w:color="auto"/>
        <w:bottom w:val="none" w:sz="0" w:space="0" w:color="auto"/>
        <w:right w:val="none" w:sz="0" w:space="0" w:color="auto"/>
      </w:divBdr>
    </w:div>
    <w:div w:id="1159035523">
      <w:marLeft w:val="0"/>
      <w:marRight w:val="0"/>
      <w:marTop w:val="0"/>
      <w:marBottom w:val="120"/>
      <w:divBdr>
        <w:top w:val="none" w:sz="0" w:space="0" w:color="auto"/>
        <w:left w:val="none" w:sz="0" w:space="0" w:color="auto"/>
        <w:bottom w:val="none" w:sz="0" w:space="0" w:color="auto"/>
        <w:right w:val="none" w:sz="0" w:space="0" w:color="auto"/>
      </w:divBdr>
    </w:div>
    <w:div w:id="1161628377">
      <w:marLeft w:val="0"/>
      <w:marRight w:val="0"/>
      <w:marTop w:val="0"/>
      <w:marBottom w:val="120"/>
      <w:divBdr>
        <w:top w:val="none" w:sz="0" w:space="0" w:color="auto"/>
        <w:left w:val="none" w:sz="0" w:space="0" w:color="auto"/>
        <w:bottom w:val="none" w:sz="0" w:space="0" w:color="auto"/>
        <w:right w:val="none" w:sz="0" w:space="0" w:color="auto"/>
      </w:divBdr>
    </w:div>
    <w:div w:id="1161894162">
      <w:marLeft w:val="0"/>
      <w:marRight w:val="0"/>
      <w:marTop w:val="0"/>
      <w:marBottom w:val="120"/>
      <w:divBdr>
        <w:top w:val="none" w:sz="0" w:space="0" w:color="auto"/>
        <w:left w:val="none" w:sz="0" w:space="0" w:color="auto"/>
        <w:bottom w:val="none" w:sz="0" w:space="0" w:color="auto"/>
        <w:right w:val="none" w:sz="0" w:space="0" w:color="auto"/>
      </w:divBdr>
    </w:div>
    <w:div w:id="1163622155">
      <w:marLeft w:val="0"/>
      <w:marRight w:val="0"/>
      <w:marTop w:val="0"/>
      <w:marBottom w:val="120"/>
      <w:divBdr>
        <w:top w:val="none" w:sz="0" w:space="0" w:color="auto"/>
        <w:left w:val="none" w:sz="0" w:space="0" w:color="auto"/>
        <w:bottom w:val="none" w:sz="0" w:space="0" w:color="auto"/>
        <w:right w:val="none" w:sz="0" w:space="0" w:color="auto"/>
      </w:divBdr>
    </w:div>
    <w:div w:id="1167787386">
      <w:marLeft w:val="0"/>
      <w:marRight w:val="0"/>
      <w:marTop w:val="0"/>
      <w:marBottom w:val="120"/>
      <w:divBdr>
        <w:top w:val="none" w:sz="0" w:space="0" w:color="auto"/>
        <w:left w:val="none" w:sz="0" w:space="0" w:color="auto"/>
        <w:bottom w:val="none" w:sz="0" w:space="0" w:color="auto"/>
        <w:right w:val="none" w:sz="0" w:space="0" w:color="auto"/>
      </w:divBdr>
    </w:div>
    <w:div w:id="1169715582">
      <w:marLeft w:val="0"/>
      <w:marRight w:val="0"/>
      <w:marTop w:val="0"/>
      <w:marBottom w:val="0"/>
      <w:divBdr>
        <w:top w:val="none" w:sz="0" w:space="0" w:color="auto"/>
        <w:left w:val="none" w:sz="0" w:space="0" w:color="auto"/>
        <w:bottom w:val="none" w:sz="0" w:space="0" w:color="auto"/>
        <w:right w:val="none" w:sz="0" w:space="0" w:color="auto"/>
      </w:divBdr>
      <w:divsChild>
        <w:div w:id="255525553">
          <w:marLeft w:val="0"/>
          <w:marRight w:val="0"/>
          <w:marTop w:val="0"/>
          <w:marBottom w:val="0"/>
          <w:divBdr>
            <w:top w:val="none" w:sz="0" w:space="0" w:color="auto"/>
            <w:left w:val="none" w:sz="0" w:space="0" w:color="auto"/>
            <w:bottom w:val="none" w:sz="0" w:space="0" w:color="auto"/>
            <w:right w:val="none" w:sz="0" w:space="0" w:color="auto"/>
          </w:divBdr>
          <w:divsChild>
            <w:div w:id="3772404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4687172">
      <w:marLeft w:val="0"/>
      <w:marRight w:val="0"/>
      <w:marTop w:val="0"/>
      <w:marBottom w:val="120"/>
      <w:divBdr>
        <w:top w:val="none" w:sz="0" w:space="0" w:color="auto"/>
        <w:left w:val="none" w:sz="0" w:space="0" w:color="auto"/>
        <w:bottom w:val="none" w:sz="0" w:space="0" w:color="auto"/>
        <w:right w:val="none" w:sz="0" w:space="0" w:color="auto"/>
      </w:divBdr>
    </w:div>
    <w:div w:id="1175533627">
      <w:marLeft w:val="0"/>
      <w:marRight w:val="0"/>
      <w:marTop w:val="0"/>
      <w:marBottom w:val="120"/>
      <w:divBdr>
        <w:top w:val="none" w:sz="0" w:space="0" w:color="auto"/>
        <w:left w:val="none" w:sz="0" w:space="0" w:color="auto"/>
        <w:bottom w:val="none" w:sz="0" w:space="0" w:color="auto"/>
        <w:right w:val="none" w:sz="0" w:space="0" w:color="auto"/>
      </w:divBdr>
    </w:div>
    <w:div w:id="1175729350">
      <w:marLeft w:val="0"/>
      <w:marRight w:val="0"/>
      <w:marTop w:val="0"/>
      <w:marBottom w:val="120"/>
      <w:divBdr>
        <w:top w:val="none" w:sz="0" w:space="0" w:color="auto"/>
        <w:left w:val="none" w:sz="0" w:space="0" w:color="auto"/>
        <w:bottom w:val="none" w:sz="0" w:space="0" w:color="auto"/>
        <w:right w:val="none" w:sz="0" w:space="0" w:color="auto"/>
      </w:divBdr>
      <w:divsChild>
        <w:div w:id="1641426286">
          <w:marLeft w:val="0"/>
          <w:marRight w:val="0"/>
          <w:marTop w:val="0"/>
          <w:marBottom w:val="0"/>
          <w:divBdr>
            <w:top w:val="none" w:sz="0" w:space="0" w:color="auto"/>
            <w:left w:val="none" w:sz="0" w:space="0" w:color="auto"/>
            <w:bottom w:val="none" w:sz="0" w:space="0" w:color="auto"/>
            <w:right w:val="none" w:sz="0" w:space="0" w:color="auto"/>
          </w:divBdr>
        </w:div>
        <w:div w:id="1580361652">
          <w:marLeft w:val="0"/>
          <w:marRight w:val="0"/>
          <w:marTop w:val="0"/>
          <w:marBottom w:val="0"/>
          <w:divBdr>
            <w:top w:val="none" w:sz="0" w:space="0" w:color="auto"/>
            <w:left w:val="none" w:sz="0" w:space="0" w:color="auto"/>
            <w:bottom w:val="none" w:sz="0" w:space="0" w:color="auto"/>
            <w:right w:val="none" w:sz="0" w:space="0" w:color="auto"/>
          </w:divBdr>
        </w:div>
        <w:div w:id="2093550276">
          <w:marLeft w:val="0"/>
          <w:marRight w:val="0"/>
          <w:marTop w:val="0"/>
          <w:marBottom w:val="0"/>
          <w:divBdr>
            <w:top w:val="none" w:sz="0" w:space="0" w:color="auto"/>
            <w:left w:val="none" w:sz="0" w:space="0" w:color="auto"/>
            <w:bottom w:val="none" w:sz="0" w:space="0" w:color="auto"/>
            <w:right w:val="none" w:sz="0" w:space="0" w:color="auto"/>
          </w:divBdr>
        </w:div>
        <w:div w:id="360783086">
          <w:marLeft w:val="0"/>
          <w:marRight w:val="0"/>
          <w:marTop w:val="0"/>
          <w:marBottom w:val="0"/>
          <w:divBdr>
            <w:top w:val="none" w:sz="0" w:space="0" w:color="auto"/>
            <w:left w:val="none" w:sz="0" w:space="0" w:color="auto"/>
            <w:bottom w:val="none" w:sz="0" w:space="0" w:color="auto"/>
            <w:right w:val="none" w:sz="0" w:space="0" w:color="auto"/>
          </w:divBdr>
        </w:div>
        <w:div w:id="1802770821">
          <w:marLeft w:val="0"/>
          <w:marRight w:val="0"/>
          <w:marTop w:val="0"/>
          <w:marBottom w:val="0"/>
          <w:divBdr>
            <w:top w:val="none" w:sz="0" w:space="0" w:color="auto"/>
            <w:left w:val="none" w:sz="0" w:space="0" w:color="auto"/>
            <w:bottom w:val="none" w:sz="0" w:space="0" w:color="auto"/>
            <w:right w:val="none" w:sz="0" w:space="0" w:color="auto"/>
          </w:divBdr>
        </w:div>
        <w:div w:id="427384512">
          <w:marLeft w:val="0"/>
          <w:marRight w:val="0"/>
          <w:marTop w:val="0"/>
          <w:marBottom w:val="0"/>
          <w:divBdr>
            <w:top w:val="none" w:sz="0" w:space="0" w:color="auto"/>
            <w:left w:val="none" w:sz="0" w:space="0" w:color="auto"/>
            <w:bottom w:val="none" w:sz="0" w:space="0" w:color="auto"/>
            <w:right w:val="none" w:sz="0" w:space="0" w:color="auto"/>
          </w:divBdr>
        </w:div>
      </w:divsChild>
    </w:div>
    <w:div w:id="1176261851">
      <w:marLeft w:val="0"/>
      <w:marRight w:val="0"/>
      <w:marTop w:val="0"/>
      <w:marBottom w:val="0"/>
      <w:divBdr>
        <w:top w:val="none" w:sz="0" w:space="0" w:color="auto"/>
        <w:left w:val="none" w:sz="0" w:space="0" w:color="auto"/>
        <w:bottom w:val="none" w:sz="0" w:space="0" w:color="auto"/>
        <w:right w:val="none" w:sz="0" w:space="0" w:color="auto"/>
      </w:divBdr>
      <w:divsChild>
        <w:div w:id="1218399843">
          <w:marLeft w:val="0"/>
          <w:marRight w:val="0"/>
          <w:marTop w:val="0"/>
          <w:marBottom w:val="0"/>
          <w:divBdr>
            <w:top w:val="none" w:sz="0" w:space="0" w:color="auto"/>
            <w:left w:val="none" w:sz="0" w:space="0" w:color="auto"/>
            <w:bottom w:val="none" w:sz="0" w:space="0" w:color="auto"/>
            <w:right w:val="none" w:sz="0" w:space="0" w:color="auto"/>
          </w:divBdr>
          <w:divsChild>
            <w:div w:id="4164824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6503226">
      <w:marLeft w:val="0"/>
      <w:marRight w:val="0"/>
      <w:marTop w:val="0"/>
      <w:marBottom w:val="120"/>
      <w:divBdr>
        <w:top w:val="none" w:sz="0" w:space="0" w:color="auto"/>
        <w:left w:val="none" w:sz="0" w:space="0" w:color="auto"/>
        <w:bottom w:val="none" w:sz="0" w:space="0" w:color="auto"/>
        <w:right w:val="none" w:sz="0" w:space="0" w:color="auto"/>
      </w:divBdr>
    </w:div>
    <w:div w:id="1183398259">
      <w:marLeft w:val="0"/>
      <w:marRight w:val="0"/>
      <w:marTop w:val="0"/>
      <w:marBottom w:val="0"/>
      <w:divBdr>
        <w:top w:val="none" w:sz="0" w:space="0" w:color="auto"/>
        <w:left w:val="none" w:sz="0" w:space="0" w:color="auto"/>
        <w:bottom w:val="none" w:sz="0" w:space="0" w:color="auto"/>
        <w:right w:val="none" w:sz="0" w:space="0" w:color="auto"/>
      </w:divBdr>
      <w:divsChild>
        <w:div w:id="133986184">
          <w:marLeft w:val="0"/>
          <w:marRight w:val="0"/>
          <w:marTop w:val="0"/>
          <w:marBottom w:val="120"/>
          <w:divBdr>
            <w:top w:val="none" w:sz="0" w:space="0" w:color="auto"/>
            <w:left w:val="none" w:sz="0" w:space="0" w:color="auto"/>
            <w:bottom w:val="none" w:sz="0" w:space="0" w:color="auto"/>
            <w:right w:val="none" w:sz="0" w:space="0" w:color="auto"/>
          </w:divBdr>
        </w:div>
      </w:divsChild>
    </w:div>
    <w:div w:id="1184171318">
      <w:marLeft w:val="0"/>
      <w:marRight w:val="0"/>
      <w:marTop w:val="0"/>
      <w:marBottom w:val="120"/>
      <w:divBdr>
        <w:top w:val="none" w:sz="0" w:space="0" w:color="auto"/>
        <w:left w:val="none" w:sz="0" w:space="0" w:color="auto"/>
        <w:bottom w:val="none" w:sz="0" w:space="0" w:color="auto"/>
        <w:right w:val="none" w:sz="0" w:space="0" w:color="auto"/>
      </w:divBdr>
    </w:div>
    <w:div w:id="1186207940">
      <w:marLeft w:val="0"/>
      <w:marRight w:val="0"/>
      <w:marTop w:val="0"/>
      <w:marBottom w:val="120"/>
      <w:divBdr>
        <w:top w:val="none" w:sz="0" w:space="0" w:color="auto"/>
        <w:left w:val="none" w:sz="0" w:space="0" w:color="auto"/>
        <w:bottom w:val="none" w:sz="0" w:space="0" w:color="auto"/>
        <w:right w:val="none" w:sz="0" w:space="0" w:color="auto"/>
      </w:divBdr>
    </w:div>
    <w:div w:id="1187326723">
      <w:marLeft w:val="0"/>
      <w:marRight w:val="0"/>
      <w:marTop w:val="0"/>
      <w:marBottom w:val="120"/>
      <w:divBdr>
        <w:top w:val="none" w:sz="0" w:space="0" w:color="auto"/>
        <w:left w:val="none" w:sz="0" w:space="0" w:color="auto"/>
        <w:bottom w:val="none" w:sz="0" w:space="0" w:color="auto"/>
        <w:right w:val="none" w:sz="0" w:space="0" w:color="auto"/>
      </w:divBdr>
    </w:div>
    <w:div w:id="1193422446">
      <w:marLeft w:val="0"/>
      <w:marRight w:val="0"/>
      <w:marTop w:val="0"/>
      <w:marBottom w:val="0"/>
      <w:divBdr>
        <w:top w:val="none" w:sz="0" w:space="0" w:color="auto"/>
        <w:left w:val="none" w:sz="0" w:space="0" w:color="auto"/>
        <w:bottom w:val="none" w:sz="0" w:space="0" w:color="auto"/>
        <w:right w:val="none" w:sz="0" w:space="0" w:color="auto"/>
      </w:divBdr>
      <w:divsChild>
        <w:div w:id="1656300321">
          <w:marLeft w:val="0"/>
          <w:marRight w:val="0"/>
          <w:marTop w:val="0"/>
          <w:marBottom w:val="120"/>
          <w:divBdr>
            <w:top w:val="none" w:sz="0" w:space="0" w:color="auto"/>
            <w:left w:val="none" w:sz="0" w:space="0" w:color="auto"/>
            <w:bottom w:val="none" w:sz="0" w:space="0" w:color="auto"/>
            <w:right w:val="none" w:sz="0" w:space="0" w:color="auto"/>
          </w:divBdr>
        </w:div>
      </w:divsChild>
    </w:div>
    <w:div w:id="1194271851">
      <w:marLeft w:val="0"/>
      <w:marRight w:val="0"/>
      <w:marTop w:val="0"/>
      <w:marBottom w:val="120"/>
      <w:divBdr>
        <w:top w:val="none" w:sz="0" w:space="0" w:color="auto"/>
        <w:left w:val="none" w:sz="0" w:space="0" w:color="auto"/>
        <w:bottom w:val="none" w:sz="0" w:space="0" w:color="auto"/>
        <w:right w:val="none" w:sz="0" w:space="0" w:color="auto"/>
      </w:divBdr>
    </w:div>
    <w:div w:id="1196236171">
      <w:marLeft w:val="0"/>
      <w:marRight w:val="0"/>
      <w:marTop w:val="0"/>
      <w:marBottom w:val="0"/>
      <w:divBdr>
        <w:top w:val="none" w:sz="0" w:space="0" w:color="auto"/>
        <w:left w:val="none" w:sz="0" w:space="0" w:color="auto"/>
        <w:bottom w:val="none" w:sz="0" w:space="0" w:color="auto"/>
        <w:right w:val="none" w:sz="0" w:space="0" w:color="auto"/>
      </w:divBdr>
      <w:divsChild>
        <w:div w:id="1101221915">
          <w:marLeft w:val="0"/>
          <w:marRight w:val="0"/>
          <w:marTop w:val="0"/>
          <w:marBottom w:val="120"/>
          <w:divBdr>
            <w:top w:val="none" w:sz="0" w:space="0" w:color="auto"/>
            <w:left w:val="none" w:sz="0" w:space="0" w:color="auto"/>
            <w:bottom w:val="none" w:sz="0" w:space="0" w:color="auto"/>
            <w:right w:val="none" w:sz="0" w:space="0" w:color="auto"/>
          </w:divBdr>
        </w:div>
      </w:divsChild>
    </w:div>
    <w:div w:id="1198853011">
      <w:marLeft w:val="0"/>
      <w:marRight w:val="0"/>
      <w:marTop w:val="0"/>
      <w:marBottom w:val="120"/>
      <w:divBdr>
        <w:top w:val="none" w:sz="0" w:space="0" w:color="auto"/>
        <w:left w:val="none" w:sz="0" w:space="0" w:color="auto"/>
        <w:bottom w:val="none" w:sz="0" w:space="0" w:color="auto"/>
        <w:right w:val="none" w:sz="0" w:space="0" w:color="auto"/>
      </w:divBdr>
    </w:div>
    <w:div w:id="1199008266">
      <w:marLeft w:val="0"/>
      <w:marRight w:val="0"/>
      <w:marTop w:val="0"/>
      <w:marBottom w:val="120"/>
      <w:divBdr>
        <w:top w:val="none" w:sz="0" w:space="0" w:color="auto"/>
        <w:left w:val="none" w:sz="0" w:space="0" w:color="auto"/>
        <w:bottom w:val="none" w:sz="0" w:space="0" w:color="auto"/>
        <w:right w:val="none" w:sz="0" w:space="0" w:color="auto"/>
      </w:divBdr>
    </w:div>
    <w:div w:id="1203909378">
      <w:marLeft w:val="0"/>
      <w:marRight w:val="0"/>
      <w:marTop w:val="0"/>
      <w:marBottom w:val="120"/>
      <w:divBdr>
        <w:top w:val="none" w:sz="0" w:space="0" w:color="auto"/>
        <w:left w:val="none" w:sz="0" w:space="0" w:color="auto"/>
        <w:bottom w:val="none" w:sz="0" w:space="0" w:color="auto"/>
        <w:right w:val="none" w:sz="0" w:space="0" w:color="auto"/>
      </w:divBdr>
    </w:div>
    <w:div w:id="1204245727">
      <w:marLeft w:val="0"/>
      <w:marRight w:val="0"/>
      <w:marTop w:val="0"/>
      <w:marBottom w:val="0"/>
      <w:divBdr>
        <w:top w:val="none" w:sz="0" w:space="0" w:color="auto"/>
        <w:left w:val="none" w:sz="0" w:space="0" w:color="auto"/>
        <w:bottom w:val="none" w:sz="0" w:space="0" w:color="auto"/>
        <w:right w:val="none" w:sz="0" w:space="0" w:color="auto"/>
      </w:divBdr>
      <w:divsChild>
        <w:div w:id="1343387358">
          <w:marLeft w:val="0"/>
          <w:marRight w:val="0"/>
          <w:marTop w:val="0"/>
          <w:marBottom w:val="120"/>
          <w:divBdr>
            <w:top w:val="none" w:sz="0" w:space="0" w:color="auto"/>
            <w:left w:val="none" w:sz="0" w:space="0" w:color="auto"/>
            <w:bottom w:val="none" w:sz="0" w:space="0" w:color="auto"/>
            <w:right w:val="none" w:sz="0" w:space="0" w:color="auto"/>
          </w:divBdr>
        </w:div>
      </w:divsChild>
    </w:div>
    <w:div w:id="1211187412">
      <w:marLeft w:val="0"/>
      <w:marRight w:val="0"/>
      <w:marTop w:val="0"/>
      <w:marBottom w:val="120"/>
      <w:divBdr>
        <w:top w:val="none" w:sz="0" w:space="0" w:color="auto"/>
        <w:left w:val="none" w:sz="0" w:space="0" w:color="auto"/>
        <w:bottom w:val="none" w:sz="0" w:space="0" w:color="auto"/>
        <w:right w:val="none" w:sz="0" w:space="0" w:color="auto"/>
      </w:divBdr>
    </w:div>
    <w:div w:id="1211720569">
      <w:marLeft w:val="0"/>
      <w:marRight w:val="0"/>
      <w:marTop w:val="240"/>
      <w:marBottom w:val="0"/>
      <w:divBdr>
        <w:top w:val="none" w:sz="0" w:space="0" w:color="auto"/>
        <w:left w:val="none" w:sz="0" w:space="0" w:color="auto"/>
        <w:bottom w:val="none" w:sz="0" w:space="0" w:color="auto"/>
        <w:right w:val="none" w:sz="0" w:space="0" w:color="auto"/>
      </w:divBdr>
    </w:div>
    <w:div w:id="1212572206">
      <w:marLeft w:val="0"/>
      <w:marRight w:val="0"/>
      <w:marTop w:val="0"/>
      <w:marBottom w:val="120"/>
      <w:divBdr>
        <w:top w:val="none" w:sz="0" w:space="0" w:color="auto"/>
        <w:left w:val="none" w:sz="0" w:space="0" w:color="auto"/>
        <w:bottom w:val="none" w:sz="0" w:space="0" w:color="auto"/>
        <w:right w:val="none" w:sz="0" w:space="0" w:color="auto"/>
      </w:divBdr>
    </w:div>
    <w:div w:id="1216312623">
      <w:marLeft w:val="0"/>
      <w:marRight w:val="0"/>
      <w:marTop w:val="0"/>
      <w:marBottom w:val="0"/>
      <w:divBdr>
        <w:top w:val="none" w:sz="0" w:space="0" w:color="auto"/>
        <w:left w:val="none" w:sz="0" w:space="0" w:color="auto"/>
        <w:bottom w:val="none" w:sz="0" w:space="0" w:color="auto"/>
        <w:right w:val="none" w:sz="0" w:space="0" w:color="auto"/>
      </w:divBdr>
      <w:divsChild>
        <w:div w:id="1365599037">
          <w:marLeft w:val="0"/>
          <w:marRight w:val="0"/>
          <w:marTop w:val="0"/>
          <w:marBottom w:val="0"/>
          <w:divBdr>
            <w:top w:val="none" w:sz="0" w:space="0" w:color="auto"/>
            <w:left w:val="none" w:sz="0" w:space="0" w:color="auto"/>
            <w:bottom w:val="none" w:sz="0" w:space="0" w:color="auto"/>
            <w:right w:val="none" w:sz="0" w:space="0" w:color="auto"/>
          </w:divBdr>
          <w:divsChild>
            <w:div w:id="10360848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16895245">
      <w:marLeft w:val="0"/>
      <w:marRight w:val="0"/>
      <w:marTop w:val="0"/>
      <w:marBottom w:val="120"/>
      <w:divBdr>
        <w:top w:val="none" w:sz="0" w:space="0" w:color="auto"/>
        <w:left w:val="none" w:sz="0" w:space="0" w:color="auto"/>
        <w:bottom w:val="none" w:sz="0" w:space="0" w:color="auto"/>
        <w:right w:val="none" w:sz="0" w:space="0" w:color="auto"/>
      </w:divBdr>
    </w:div>
    <w:div w:id="1220364957">
      <w:marLeft w:val="0"/>
      <w:marRight w:val="0"/>
      <w:marTop w:val="0"/>
      <w:marBottom w:val="0"/>
      <w:divBdr>
        <w:top w:val="none" w:sz="0" w:space="0" w:color="auto"/>
        <w:left w:val="none" w:sz="0" w:space="0" w:color="auto"/>
        <w:bottom w:val="none" w:sz="0" w:space="0" w:color="auto"/>
        <w:right w:val="none" w:sz="0" w:space="0" w:color="auto"/>
      </w:divBdr>
      <w:divsChild>
        <w:div w:id="4525999">
          <w:marLeft w:val="0"/>
          <w:marRight w:val="0"/>
          <w:marTop w:val="0"/>
          <w:marBottom w:val="0"/>
          <w:divBdr>
            <w:top w:val="none" w:sz="0" w:space="0" w:color="auto"/>
            <w:left w:val="none" w:sz="0" w:space="0" w:color="auto"/>
            <w:bottom w:val="none" w:sz="0" w:space="0" w:color="auto"/>
            <w:right w:val="none" w:sz="0" w:space="0" w:color="auto"/>
          </w:divBdr>
          <w:divsChild>
            <w:div w:id="16559892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21594876">
      <w:marLeft w:val="0"/>
      <w:marRight w:val="0"/>
      <w:marTop w:val="0"/>
      <w:marBottom w:val="120"/>
      <w:divBdr>
        <w:top w:val="none" w:sz="0" w:space="0" w:color="auto"/>
        <w:left w:val="none" w:sz="0" w:space="0" w:color="auto"/>
        <w:bottom w:val="none" w:sz="0" w:space="0" w:color="auto"/>
        <w:right w:val="none" w:sz="0" w:space="0" w:color="auto"/>
      </w:divBdr>
    </w:div>
    <w:div w:id="1224489509">
      <w:marLeft w:val="0"/>
      <w:marRight w:val="0"/>
      <w:marTop w:val="240"/>
      <w:marBottom w:val="0"/>
      <w:divBdr>
        <w:top w:val="none" w:sz="0" w:space="0" w:color="auto"/>
        <w:left w:val="none" w:sz="0" w:space="0" w:color="auto"/>
        <w:bottom w:val="none" w:sz="0" w:space="0" w:color="auto"/>
        <w:right w:val="none" w:sz="0" w:space="0" w:color="auto"/>
      </w:divBdr>
    </w:div>
    <w:div w:id="1227109021">
      <w:marLeft w:val="0"/>
      <w:marRight w:val="0"/>
      <w:marTop w:val="0"/>
      <w:marBottom w:val="120"/>
      <w:divBdr>
        <w:top w:val="none" w:sz="0" w:space="0" w:color="auto"/>
        <w:left w:val="none" w:sz="0" w:space="0" w:color="auto"/>
        <w:bottom w:val="none" w:sz="0" w:space="0" w:color="auto"/>
        <w:right w:val="none" w:sz="0" w:space="0" w:color="auto"/>
      </w:divBdr>
      <w:divsChild>
        <w:div w:id="1892039484">
          <w:marLeft w:val="0"/>
          <w:marRight w:val="0"/>
          <w:marTop w:val="0"/>
          <w:marBottom w:val="0"/>
          <w:divBdr>
            <w:top w:val="none" w:sz="0" w:space="0" w:color="auto"/>
            <w:left w:val="none" w:sz="0" w:space="0" w:color="auto"/>
            <w:bottom w:val="none" w:sz="0" w:space="0" w:color="auto"/>
            <w:right w:val="none" w:sz="0" w:space="0" w:color="auto"/>
          </w:divBdr>
        </w:div>
        <w:div w:id="2072925131">
          <w:marLeft w:val="0"/>
          <w:marRight w:val="0"/>
          <w:marTop w:val="0"/>
          <w:marBottom w:val="0"/>
          <w:divBdr>
            <w:top w:val="none" w:sz="0" w:space="0" w:color="auto"/>
            <w:left w:val="none" w:sz="0" w:space="0" w:color="auto"/>
            <w:bottom w:val="none" w:sz="0" w:space="0" w:color="auto"/>
            <w:right w:val="none" w:sz="0" w:space="0" w:color="auto"/>
          </w:divBdr>
        </w:div>
        <w:div w:id="989483384">
          <w:marLeft w:val="0"/>
          <w:marRight w:val="0"/>
          <w:marTop w:val="0"/>
          <w:marBottom w:val="0"/>
          <w:divBdr>
            <w:top w:val="none" w:sz="0" w:space="0" w:color="auto"/>
            <w:left w:val="none" w:sz="0" w:space="0" w:color="auto"/>
            <w:bottom w:val="none" w:sz="0" w:space="0" w:color="auto"/>
            <w:right w:val="none" w:sz="0" w:space="0" w:color="auto"/>
          </w:divBdr>
        </w:div>
      </w:divsChild>
    </w:div>
    <w:div w:id="1246115598">
      <w:marLeft w:val="0"/>
      <w:marRight w:val="0"/>
      <w:marTop w:val="0"/>
      <w:marBottom w:val="120"/>
      <w:divBdr>
        <w:top w:val="none" w:sz="0" w:space="0" w:color="auto"/>
        <w:left w:val="none" w:sz="0" w:space="0" w:color="auto"/>
        <w:bottom w:val="none" w:sz="0" w:space="0" w:color="auto"/>
        <w:right w:val="none" w:sz="0" w:space="0" w:color="auto"/>
      </w:divBdr>
    </w:div>
    <w:div w:id="1246842799">
      <w:marLeft w:val="0"/>
      <w:marRight w:val="0"/>
      <w:marTop w:val="0"/>
      <w:marBottom w:val="120"/>
      <w:divBdr>
        <w:top w:val="none" w:sz="0" w:space="0" w:color="auto"/>
        <w:left w:val="none" w:sz="0" w:space="0" w:color="auto"/>
        <w:bottom w:val="none" w:sz="0" w:space="0" w:color="auto"/>
        <w:right w:val="none" w:sz="0" w:space="0" w:color="auto"/>
      </w:divBdr>
    </w:div>
    <w:div w:id="1248032366">
      <w:marLeft w:val="0"/>
      <w:marRight w:val="0"/>
      <w:marTop w:val="240"/>
      <w:marBottom w:val="240"/>
      <w:divBdr>
        <w:top w:val="none" w:sz="0" w:space="0" w:color="auto"/>
        <w:left w:val="none" w:sz="0" w:space="0" w:color="auto"/>
        <w:bottom w:val="none" w:sz="0" w:space="0" w:color="auto"/>
        <w:right w:val="none" w:sz="0" w:space="0" w:color="auto"/>
      </w:divBdr>
    </w:div>
    <w:div w:id="1249121539">
      <w:marLeft w:val="0"/>
      <w:marRight w:val="0"/>
      <w:marTop w:val="0"/>
      <w:marBottom w:val="0"/>
      <w:divBdr>
        <w:top w:val="none" w:sz="0" w:space="0" w:color="auto"/>
        <w:left w:val="none" w:sz="0" w:space="0" w:color="auto"/>
        <w:bottom w:val="none" w:sz="0" w:space="0" w:color="auto"/>
        <w:right w:val="none" w:sz="0" w:space="0" w:color="auto"/>
      </w:divBdr>
      <w:divsChild>
        <w:div w:id="1196504116">
          <w:marLeft w:val="0"/>
          <w:marRight w:val="0"/>
          <w:marTop w:val="0"/>
          <w:marBottom w:val="120"/>
          <w:divBdr>
            <w:top w:val="none" w:sz="0" w:space="0" w:color="auto"/>
            <w:left w:val="none" w:sz="0" w:space="0" w:color="auto"/>
            <w:bottom w:val="none" w:sz="0" w:space="0" w:color="auto"/>
            <w:right w:val="none" w:sz="0" w:space="0" w:color="auto"/>
          </w:divBdr>
        </w:div>
      </w:divsChild>
    </w:div>
    <w:div w:id="1250307279">
      <w:marLeft w:val="0"/>
      <w:marRight w:val="0"/>
      <w:marTop w:val="0"/>
      <w:marBottom w:val="120"/>
      <w:divBdr>
        <w:top w:val="none" w:sz="0" w:space="0" w:color="auto"/>
        <w:left w:val="none" w:sz="0" w:space="0" w:color="auto"/>
        <w:bottom w:val="none" w:sz="0" w:space="0" w:color="auto"/>
        <w:right w:val="none" w:sz="0" w:space="0" w:color="auto"/>
      </w:divBdr>
    </w:div>
    <w:div w:id="1252156190">
      <w:marLeft w:val="0"/>
      <w:marRight w:val="0"/>
      <w:marTop w:val="0"/>
      <w:marBottom w:val="120"/>
      <w:divBdr>
        <w:top w:val="none" w:sz="0" w:space="0" w:color="auto"/>
        <w:left w:val="none" w:sz="0" w:space="0" w:color="auto"/>
        <w:bottom w:val="none" w:sz="0" w:space="0" w:color="auto"/>
        <w:right w:val="none" w:sz="0" w:space="0" w:color="auto"/>
      </w:divBdr>
    </w:div>
    <w:div w:id="1254781701">
      <w:marLeft w:val="0"/>
      <w:marRight w:val="0"/>
      <w:marTop w:val="240"/>
      <w:marBottom w:val="240"/>
      <w:divBdr>
        <w:top w:val="none" w:sz="0" w:space="0" w:color="auto"/>
        <w:left w:val="none" w:sz="0" w:space="0" w:color="auto"/>
        <w:bottom w:val="none" w:sz="0" w:space="0" w:color="auto"/>
        <w:right w:val="none" w:sz="0" w:space="0" w:color="auto"/>
      </w:divBdr>
    </w:div>
    <w:div w:id="1259829532">
      <w:marLeft w:val="0"/>
      <w:marRight w:val="0"/>
      <w:marTop w:val="0"/>
      <w:marBottom w:val="120"/>
      <w:divBdr>
        <w:top w:val="none" w:sz="0" w:space="0" w:color="auto"/>
        <w:left w:val="none" w:sz="0" w:space="0" w:color="auto"/>
        <w:bottom w:val="none" w:sz="0" w:space="0" w:color="auto"/>
        <w:right w:val="none" w:sz="0" w:space="0" w:color="auto"/>
      </w:divBdr>
      <w:divsChild>
        <w:div w:id="840464990">
          <w:marLeft w:val="0"/>
          <w:marRight w:val="0"/>
          <w:marTop w:val="0"/>
          <w:marBottom w:val="0"/>
          <w:divBdr>
            <w:top w:val="none" w:sz="0" w:space="0" w:color="auto"/>
            <w:left w:val="none" w:sz="0" w:space="0" w:color="auto"/>
            <w:bottom w:val="none" w:sz="0" w:space="0" w:color="auto"/>
            <w:right w:val="none" w:sz="0" w:space="0" w:color="auto"/>
          </w:divBdr>
        </w:div>
        <w:div w:id="255870037">
          <w:marLeft w:val="0"/>
          <w:marRight w:val="0"/>
          <w:marTop w:val="0"/>
          <w:marBottom w:val="0"/>
          <w:divBdr>
            <w:top w:val="none" w:sz="0" w:space="0" w:color="auto"/>
            <w:left w:val="none" w:sz="0" w:space="0" w:color="auto"/>
            <w:bottom w:val="none" w:sz="0" w:space="0" w:color="auto"/>
            <w:right w:val="none" w:sz="0" w:space="0" w:color="auto"/>
          </w:divBdr>
        </w:div>
        <w:div w:id="133304259">
          <w:marLeft w:val="0"/>
          <w:marRight w:val="0"/>
          <w:marTop w:val="0"/>
          <w:marBottom w:val="0"/>
          <w:divBdr>
            <w:top w:val="none" w:sz="0" w:space="0" w:color="auto"/>
            <w:left w:val="none" w:sz="0" w:space="0" w:color="auto"/>
            <w:bottom w:val="none" w:sz="0" w:space="0" w:color="auto"/>
            <w:right w:val="none" w:sz="0" w:space="0" w:color="auto"/>
          </w:divBdr>
        </w:div>
        <w:div w:id="901406288">
          <w:marLeft w:val="0"/>
          <w:marRight w:val="0"/>
          <w:marTop w:val="0"/>
          <w:marBottom w:val="0"/>
          <w:divBdr>
            <w:top w:val="none" w:sz="0" w:space="0" w:color="auto"/>
            <w:left w:val="none" w:sz="0" w:space="0" w:color="auto"/>
            <w:bottom w:val="none" w:sz="0" w:space="0" w:color="auto"/>
            <w:right w:val="none" w:sz="0" w:space="0" w:color="auto"/>
          </w:divBdr>
        </w:div>
        <w:div w:id="1010182699">
          <w:marLeft w:val="0"/>
          <w:marRight w:val="0"/>
          <w:marTop w:val="0"/>
          <w:marBottom w:val="0"/>
          <w:divBdr>
            <w:top w:val="none" w:sz="0" w:space="0" w:color="auto"/>
            <w:left w:val="none" w:sz="0" w:space="0" w:color="auto"/>
            <w:bottom w:val="none" w:sz="0" w:space="0" w:color="auto"/>
            <w:right w:val="none" w:sz="0" w:space="0" w:color="auto"/>
          </w:divBdr>
        </w:div>
        <w:div w:id="1217202402">
          <w:marLeft w:val="0"/>
          <w:marRight w:val="0"/>
          <w:marTop w:val="0"/>
          <w:marBottom w:val="0"/>
          <w:divBdr>
            <w:top w:val="none" w:sz="0" w:space="0" w:color="auto"/>
            <w:left w:val="none" w:sz="0" w:space="0" w:color="auto"/>
            <w:bottom w:val="none" w:sz="0" w:space="0" w:color="auto"/>
            <w:right w:val="none" w:sz="0" w:space="0" w:color="auto"/>
          </w:divBdr>
        </w:div>
      </w:divsChild>
    </w:div>
    <w:div w:id="1261720744">
      <w:marLeft w:val="0"/>
      <w:marRight w:val="0"/>
      <w:marTop w:val="0"/>
      <w:marBottom w:val="0"/>
      <w:divBdr>
        <w:top w:val="none" w:sz="0" w:space="0" w:color="auto"/>
        <w:left w:val="none" w:sz="0" w:space="0" w:color="auto"/>
        <w:bottom w:val="none" w:sz="0" w:space="0" w:color="auto"/>
        <w:right w:val="none" w:sz="0" w:space="0" w:color="auto"/>
      </w:divBdr>
    </w:div>
    <w:div w:id="1264267956">
      <w:marLeft w:val="0"/>
      <w:marRight w:val="0"/>
      <w:marTop w:val="0"/>
      <w:marBottom w:val="120"/>
      <w:divBdr>
        <w:top w:val="none" w:sz="0" w:space="0" w:color="auto"/>
        <w:left w:val="none" w:sz="0" w:space="0" w:color="auto"/>
        <w:bottom w:val="none" w:sz="0" w:space="0" w:color="auto"/>
        <w:right w:val="none" w:sz="0" w:space="0" w:color="auto"/>
      </w:divBdr>
    </w:div>
    <w:div w:id="1265571057">
      <w:marLeft w:val="0"/>
      <w:marRight w:val="0"/>
      <w:marTop w:val="0"/>
      <w:marBottom w:val="120"/>
      <w:divBdr>
        <w:top w:val="none" w:sz="0" w:space="0" w:color="auto"/>
        <w:left w:val="none" w:sz="0" w:space="0" w:color="auto"/>
        <w:bottom w:val="none" w:sz="0" w:space="0" w:color="auto"/>
        <w:right w:val="none" w:sz="0" w:space="0" w:color="auto"/>
      </w:divBdr>
    </w:div>
    <w:div w:id="1266812646">
      <w:marLeft w:val="0"/>
      <w:marRight w:val="0"/>
      <w:marTop w:val="240"/>
      <w:marBottom w:val="0"/>
      <w:divBdr>
        <w:top w:val="none" w:sz="0" w:space="0" w:color="auto"/>
        <w:left w:val="none" w:sz="0" w:space="0" w:color="auto"/>
        <w:bottom w:val="none" w:sz="0" w:space="0" w:color="auto"/>
        <w:right w:val="none" w:sz="0" w:space="0" w:color="auto"/>
      </w:divBdr>
    </w:div>
    <w:div w:id="1267544226">
      <w:marLeft w:val="0"/>
      <w:marRight w:val="0"/>
      <w:marTop w:val="0"/>
      <w:marBottom w:val="0"/>
      <w:divBdr>
        <w:top w:val="none" w:sz="0" w:space="0" w:color="auto"/>
        <w:left w:val="none" w:sz="0" w:space="0" w:color="auto"/>
        <w:bottom w:val="none" w:sz="0" w:space="0" w:color="auto"/>
        <w:right w:val="none" w:sz="0" w:space="0" w:color="auto"/>
      </w:divBdr>
      <w:divsChild>
        <w:div w:id="335226935">
          <w:marLeft w:val="0"/>
          <w:marRight w:val="0"/>
          <w:marTop w:val="0"/>
          <w:marBottom w:val="120"/>
          <w:divBdr>
            <w:top w:val="none" w:sz="0" w:space="0" w:color="auto"/>
            <w:left w:val="none" w:sz="0" w:space="0" w:color="auto"/>
            <w:bottom w:val="none" w:sz="0" w:space="0" w:color="auto"/>
            <w:right w:val="none" w:sz="0" w:space="0" w:color="auto"/>
          </w:divBdr>
        </w:div>
      </w:divsChild>
    </w:div>
    <w:div w:id="1268545450">
      <w:marLeft w:val="0"/>
      <w:marRight w:val="0"/>
      <w:marTop w:val="0"/>
      <w:marBottom w:val="120"/>
      <w:divBdr>
        <w:top w:val="none" w:sz="0" w:space="0" w:color="auto"/>
        <w:left w:val="none" w:sz="0" w:space="0" w:color="auto"/>
        <w:bottom w:val="none" w:sz="0" w:space="0" w:color="auto"/>
        <w:right w:val="none" w:sz="0" w:space="0" w:color="auto"/>
      </w:divBdr>
    </w:div>
    <w:div w:id="1271358469">
      <w:marLeft w:val="0"/>
      <w:marRight w:val="0"/>
      <w:marTop w:val="0"/>
      <w:marBottom w:val="120"/>
      <w:divBdr>
        <w:top w:val="none" w:sz="0" w:space="0" w:color="auto"/>
        <w:left w:val="none" w:sz="0" w:space="0" w:color="auto"/>
        <w:bottom w:val="none" w:sz="0" w:space="0" w:color="auto"/>
        <w:right w:val="none" w:sz="0" w:space="0" w:color="auto"/>
      </w:divBdr>
    </w:div>
    <w:div w:id="1272669319">
      <w:marLeft w:val="0"/>
      <w:marRight w:val="0"/>
      <w:marTop w:val="40"/>
      <w:marBottom w:val="40"/>
      <w:divBdr>
        <w:top w:val="none" w:sz="0" w:space="0" w:color="auto"/>
        <w:left w:val="none" w:sz="0" w:space="0" w:color="auto"/>
        <w:bottom w:val="none" w:sz="0" w:space="0" w:color="auto"/>
        <w:right w:val="none" w:sz="0" w:space="0" w:color="auto"/>
      </w:divBdr>
    </w:div>
    <w:div w:id="1272854837">
      <w:marLeft w:val="0"/>
      <w:marRight w:val="0"/>
      <w:marTop w:val="240"/>
      <w:marBottom w:val="0"/>
      <w:divBdr>
        <w:top w:val="none" w:sz="0" w:space="0" w:color="auto"/>
        <w:left w:val="none" w:sz="0" w:space="0" w:color="auto"/>
        <w:bottom w:val="none" w:sz="0" w:space="0" w:color="auto"/>
        <w:right w:val="none" w:sz="0" w:space="0" w:color="auto"/>
      </w:divBdr>
    </w:div>
    <w:div w:id="1278487057">
      <w:marLeft w:val="0"/>
      <w:marRight w:val="0"/>
      <w:marTop w:val="0"/>
      <w:marBottom w:val="120"/>
      <w:divBdr>
        <w:top w:val="none" w:sz="0" w:space="0" w:color="auto"/>
        <w:left w:val="none" w:sz="0" w:space="0" w:color="auto"/>
        <w:bottom w:val="none" w:sz="0" w:space="0" w:color="auto"/>
        <w:right w:val="none" w:sz="0" w:space="0" w:color="auto"/>
      </w:divBdr>
    </w:div>
    <w:div w:id="1280331861">
      <w:marLeft w:val="0"/>
      <w:marRight w:val="0"/>
      <w:marTop w:val="0"/>
      <w:marBottom w:val="120"/>
      <w:divBdr>
        <w:top w:val="none" w:sz="0" w:space="0" w:color="auto"/>
        <w:left w:val="none" w:sz="0" w:space="0" w:color="auto"/>
        <w:bottom w:val="none" w:sz="0" w:space="0" w:color="auto"/>
        <w:right w:val="none" w:sz="0" w:space="0" w:color="auto"/>
      </w:divBdr>
    </w:div>
    <w:div w:id="1281914414">
      <w:marLeft w:val="0"/>
      <w:marRight w:val="0"/>
      <w:marTop w:val="0"/>
      <w:marBottom w:val="120"/>
      <w:divBdr>
        <w:top w:val="none" w:sz="0" w:space="0" w:color="auto"/>
        <w:left w:val="none" w:sz="0" w:space="0" w:color="auto"/>
        <w:bottom w:val="none" w:sz="0" w:space="0" w:color="auto"/>
        <w:right w:val="none" w:sz="0" w:space="0" w:color="auto"/>
      </w:divBdr>
    </w:div>
    <w:div w:id="1283072484">
      <w:marLeft w:val="0"/>
      <w:marRight w:val="0"/>
      <w:marTop w:val="0"/>
      <w:marBottom w:val="120"/>
      <w:divBdr>
        <w:top w:val="none" w:sz="0" w:space="0" w:color="auto"/>
        <w:left w:val="none" w:sz="0" w:space="0" w:color="auto"/>
        <w:bottom w:val="none" w:sz="0" w:space="0" w:color="auto"/>
        <w:right w:val="none" w:sz="0" w:space="0" w:color="auto"/>
      </w:divBdr>
    </w:div>
    <w:div w:id="1288312351">
      <w:marLeft w:val="0"/>
      <w:marRight w:val="0"/>
      <w:marTop w:val="0"/>
      <w:marBottom w:val="120"/>
      <w:divBdr>
        <w:top w:val="none" w:sz="0" w:space="0" w:color="auto"/>
        <w:left w:val="none" w:sz="0" w:space="0" w:color="auto"/>
        <w:bottom w:val="none" w:sz="0" w:space="0" w:color="auto"/>
        <w:right w:val="none" w:sz="0" w:space="0" w:color="auto"/>
      </w:divBdr>
    </w:div>
    <w:div w:id="1293486701">
      <w:marLeft w:val="0"/>
      <w:marRight w:val="0"/>
      <w:marTop w:val="0"/>
      <w:marBottom w:val="0"/>
      <w:divBdr>
        <w:top w:val="none" w:sz="0" w:space="0" w:color="auto"/>
        <w:left w:val="none" w:sz="0" w:space="0" w:color="auto"/>
        <w:bottom w:val="none" w:sz="0" w:space="0" w:color="auto"/>
        <w:right w:val="none" w:sz="0" w:space="0" w:color="auto"/>
      </w:divBdr>
      <w:divsChild>
        <w:div w:id="985817527">
          <w:marLeft w:val="0"/>
          <w:marRight w:val="0"/>
          <w:marTop w:val="0"/>
          <w:marBottom w:val="0"/>
          <w:divBdr>
            <w:top w:val="none" w:sz="0" w:space="0" w:color="auto"/>
            <w:left w:val="none" w:sz="0" w:space="0" w:color="auto"/>
            <w:bottom w:val="none" w:sz="0" w:space="0" w:color="auto"/>
            <w:right w:val="none" w:sz="0" w:space="0" w:color="auto"/>
          </w:divBdr>
          <w:divsChild>
            <w:div w:id="4193767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97183283">
      <w:marLeft w:val="0"/>
      <w:marRight w:val="0"/>
      <w:marTop w:val="240"/>
      <w:marBottom w:val="0"/>
      <w:divBdr>
        <w:top w:val="none" w:sz="0" w:space="0" w:color="auto"/>
        <w:left w:val="none" w:sz="0" w:space="0" w:color="auto"/>
        <w:bottom w:val="none" w:sz="0" w:space="0" w:color="auto"/>
        <w:right w:val="none" w:sz="0" w:space="0" w:color="auto"/>
      </w:divBdr>
    </w:div>
    <w:div w:id="1300723416">
      <w:marLeft w:val="0"/>
      <w:marRight w:val="0"/>
      <w:marTop w:val="0"/>
      <w:marBottom w:val="120"/>
      <w:divBdr>
        <w:top w:val="none" w:sz="0" w:space="0" w:color="auto"/>
        <w:left w:val="none" w:sz="0" w:space="0" w:color="auto"/>
        <w:bottom w:val="none" w:sz="0" w:space="0" w:color="auto"/>
        <w:right w:val="none" w:sz="0" w:space="0" w:color="auto"/>
      </w:divBdr>
    </w:div>
    <w:div w:id="1301423349">
      <w:marLeft w:val="0"/>
      <w:marRight w:val="0"/>
      <w:marTop w:val="0"/>
      <w:marBottom w:val="120"/>
      <w:divBdr>
        <w:top w:val="none" w:sz="0" w:space="0" w:color="auto"/>
        <w:left w:val="none" w:sz="0" w:space="0" w:color="auto"/>
        <w:bottom w:val="none" w:sz="0" w:space="0" w:color="auto"/>
        <w:right w:val="none" w:sz="0" w:space="0" w:color="auto"/>
      </w:divBdr>
    </w:div>
    <w:div w:id="1301810255">
      <w:marLeft w:val="0"/>
      <w:marRight w:val="0"/>
      <w:marTop w:val="240"/>
      <w:marBottom w:val="0"/>
      <w:divBdr>
        <w:top w:val="none" w:sz="0" w:space="0" w:color="auto"/>
        <w:left w:val="none" w:sz="0" w:space="0" w:color="auto"/>
        <w:bottom w:val="none" w:sz="0" w:space="0" w:color="auto"/>
        <w:right w:val="none" w:sz="0" w:space="0" w:color="auto"/>
      </w:divBdr>
    </w:div>
    <w:div w:id="1302660525">
      <w:marLeft w:val="0"/>
      <w:marRight w:val="0"/>
      <w:marTop w:val="0"/>
      <w:marBottom w:val="120"/>
      <w:divBdr>
        <w:top w:val="none" w:sz="0" w:space="0" w:color="auto"/>
        <w:left w:val="none" w:sz="0" w:space="0" w:color="auto"/>
        <w:bottom w:val="none" w:sz="0" w:space="0" w:color="auto"/>
        <w:right w:val="none" w:sz="0" w:space="0" w:color="auto"/>
      </w:divBdr>
    </w:div>
    <w:div w:id="1304197007">
      <w:marLeft w:val="0"/>
      <w:marRight w:val="0"/>
      <w:marTop w:val="0"/>
      <w:marBottom w:val="0"/>
      <w:divBdr>
        <w:top w:val="none" w:sz="0" w:space="0" w:color="auto"/>
        <w:left w:val="none" w:sz="0" w:space="0" w:color="auto"/>
        <w:bottom w:val="none" w:sz="0" w:space="0" w:color="auto"/>
        <w:right w:val="none" w:sz="0" w:space="0" w:color="auto"/>
      </w:divBdr>
      <w:divsChild>
        <w:div w:id="1387412116">
          <w:marLeft w:val="0"/>
          <w:marRight w:val="0"/>
          <w:marTop w:val="0"/>
          <w:marBottom w:val="0"/>
          <w:divBdr>
            <w:top w:val="none" w:sz="0" w:space="0" w:color="auto"/>
            <w:left w:val="none" w:sz="0" w:space="0" w:color="auto"/>
            <w:bottom w:val="none" w:sz="0" w:space="0" w:color="auto"/>
            <w:right w:val="none" w:sz="0" w:space="0" w:color="auto"/>
          </w:divBdr>
          <w:divsChild>
            <w:div w:id="5115348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04584343">
      <w:marLeft w:val="0"/>
      <w:marRight w:val="0"/>
      <w:marTop w:val="0"/>
      <w:marBottom w:val="120"/>
      <w:divBdr>
        <w:top w:val="none" w:sz="0" w:space="0" w:color="auto"/>
        <w:left w:val="none" w:sz="0" w:space="0" w:color="auto"/>
        <w:bottom w:val="none" w:sz="0" w:space="0" w:color="auto"/>
        <w:right w:val="none" w:sz="0" w:space="0" w:color="auto"/>
      </w:divBdr>
    </w:div>
    <w:div w:id="1304775458">
      <w:marLeft w:val="0"/>
      <w:marRight w:val="0"/>
      <w:marTop w:val="0"/>
      <w:marBottom w:val="120"/>
      <w:divBdr>
        <w:top w:val="none" w:sz="0" w:space="0" w:color="auto"/>
        <w:left w:val="none" w:sz="0" w:space="0" w:color="auto"/>
        <w:bottom w:val="none" w:sz="0" w:space="0" w:color="auto"/>
        <w:right w:val="none" w:sz="0" w:space="0" w:color="auto"/>
      </w:divBdr>
    </w:div>
    <w:div w:id="1305427412">
      <w:marLeft w:val="0"/>
      <w:marRight w:val="0"/>
      <w:marTop w:val="0"/>
      <w:marBottom w:val="120"/>
      <w:divBdr>
        <w:top w:val="none" w:sz="0" w:space="0" w:color="auto"/>
        <w:left w:val="none" w:sz="0" w:space="0" w:color="auto"/>
        <w:bottom w:val="none" w:sz="0" w:space="0" w:color="auto"/>
        <w:right w:val="none" w:sz="0" w:space="0" w:color="auto"/>
      </w:divBdr>
    </w:div>
    <w:div w:id="1307318762">
      <w:marLeft w:val="0"/>
      <w:marRight w:val="0"/>
      <w:marTop w:val="140"/>
      <w:marBottom w:val="120"/>
      <w:divBdr>
        <w:top w:val="none" w:sz="0" w:space="0" w:color="auto"/>
        <w:left w:val="none" w:sz="0" w:space="0" w:color="auto"/>
        <w:bottom w:val="none" w:sz="0" w:space="0" w:color="auto"/>
        <w:right w:val="none" w:sz="0" w:space="0" w:color="auto"/>
      </w:divBdr>
    </w:div>
    <w:div w:id="1308048147">
      <w:marLeft w:val="0"/>
      <w:marRight w:val="0"/>
      <w:marTop w:val="0"/>
      <w:marBottom w:val="120"/>
      <w:divBdr>
        <w:top w:val="none" w:sz="0" w:space="0" w:color="auto"/>
        <w:left w:val="none" w:sz="0" w:space="0" w:color="auto"/>
        <w:bottom w:val="none" w:sz="0" w:space="0" w:color="auto"/>
        <w:right w:val="none" w:sz="0" w:space="0" w:color="auto"/>
      </w:divBdr>
    </w:div>
    <w:div w:id="1310675212">
      <w:marLeft w:val="0"/>
      <w:marRight w:val="0"/>
      <w:marTop w:val="0"/>
      <w:marBottom w:val="120"/>
      <w:divBdr>
        <w:top w:val="none" w:sz="0" w:space="0" w:color="auto"/>
        <w:left w:val="none" w:sz="0" w:space="0" w:color="auto"/>
        <w:bottom w:val="none" w:sz="0" w:space="0" w:color="auto"/>
        <w:right w:val="none" w:sz="0" w:space="0" w:color="auto"/>
      </w:divBdr>
    </w:div>
    <w:div w:id="1311599855">
      <w:marLeft w:val="0"/>
      <w:marRight w:val="0"/>
      <w:marTop w:val="0"/>
      <w:marBottom w:val="120"/>
      <w:divBdr>
        <w:top w:val="none" w:sz="0" w:space="0" w:color="auto"/>
        <w:left w:val="none" w:sz="0" w:space="0" w:color="auto"/>
        <w:bottom w:val="none" w:sz="0" w:space="0" w:color="auto"/>
        <w:right w:val="none" w:sz="0" w:space="0" w:color="auto"/>
      </w:divBdr>
    </w:div>
    <w:div w:id="1312783379">
      <w:marLeft w:val="0"/>
      <w:marRight w:val="0"/>
      <w:marTop w:val="240"/>
      <w:marBottom w:val="240"/>
      <w:divBdr>
        <w:top w:val="none" w:sz="0" w:space="0" w:color="auto"/>
        <w:left w:val="none" w:sz="0" w:space="0" w:color="auto"/>
        <w:bottom w:val="none" w:sz="0" w:space="0" w:color="auto"/>
        <w:right w:val="none" w:sz="0" w:space="0" w:color="auto"/>
      </w:divBdr>
    </w:div>
    <w:div w:id="1313022189">
      <w:marLeft w:val="0"/>
      <w:marRight w:val="0"/>
      <w:marTop w:val="0"/>
      <w:marBottom w:val="120"/>
      <w:divBdr>
        <w:top w:val="none" w:sz="0" w:space="0" w:color="auto"/>
        <w:left w:val="none" w:sz="0" w:space="0" w:color="auto"/>
        <w:bottom w:val="none" w:sz="0" w:space="0" w:color="auto"/>
        <w:right w:val="none" w:sz="0" w:space="0" w:color="auto"/>
      </w:divBdr>
    </w:div>
    <w:div w:id="1313367411">
      <w:marLeft w:val="0"/>
      <w:marRight w:val="0"/>
      <w:marTop w:val="240"/>
      <w:marBottom w:val="0"/>
      <w:divBdr>
        <w:top w:val="none" w:sz="0" w:space="0" w:color="auto"/>
        <w:left w:val="none" w:sz="0" w:space="0" w:color="auto"/>
        <w:bottom w:val="none" w:sz="0" w:space="0" w:color="auto"/>
        <w:right w:val="none" w:sz="0" w:space="0" w:color="auto"/>
      </w:divBdr>
    </w:div>
    <w:div w:id="1314874595">
      <w:marLeft w:val="0"/>
      <w:marRight w:val="0"/>
      <w:marTop w:val="0"/>
      <w:marBottom w:val="120"/>
      <w:divBdr>
        <w:top w:val="none" w:sz="0" w:space="0" w:color="auto"/>
        <w:left w:val="none" w:sz="0" w:space="0" w:color="auto"/>
        <w:bottom w:val="none" w:sz="0" w:space="0" w:color="auto"/>
        <w:right w:val="none" w:sz="0" w:space="0" w:color="auto"/>
      </w:divBdr>
    </w:div>
    <w:div w:id="1315186264">
      <w:marLeft w:val="0"/>
      <w:marRight w:val="0"/>
      <w:marTop w:val="0"/>
      <w:marBottom w:val="120"/>
      <w:divBdr>
        <w:top w:val="none" w:sz="0" w:space="0" w:color="auto"/>
        <w:left w:val="none" w:sz="0" w:space="0" w:color="auto"/>
        <w:bottom w:val="none" w:sz="0" w:space="0" w:color="auto"/>
        <w:right w:val="none" w:sz="0" w:space="0" w:color="auto"/>
      </w:divBdr>
    </w:div>
    <w:div w:id="1316908595">
      <w:marLeft w:val="0"/>
      <w:marRight w:val="0"/>
      <w:marTop w:val="240"/>
      <w:marBottom w:val="240"/>
      <w:divBdr>
        <w:top w:val="none" w:sz="0" w:space="0" w:color="auto"/>
        <w:left w:val="none" w:sz="0" w:space="0" w:color="auto"/>
        <w:bottom w:val="none" w:sz="0" w:space="0" w:color="auto"/>
        <w:right w:val="none" w:sz="0" w:space="0" w:color="auto"/>
      </w:divBdr>
    </w:div>
    <w:div w:id="1317298886">
      <w:marLeft w:val="0"/>
      <w:marRight w:val="0"/>
      <w:marTop w:val="0"/>
      <w:marBottom w:val="120"/>
      <w:divBdr>
        <w:top w:val="none" w:sz="0" w:space="0" w:color="auto"/>
        <w:left w:val="none" w:sz="0" w:space="0" w:color="auto"/>
        <w:bottom w:val="none" w:sz="0" w:space="0" w:color="auto"/>
        <w:right w:val="none" w:sz="0" w:space="0" w:color="auto"/>
      </w:divBdr>
    </w:div>
    <w:div w:id="1317539607">
      <w:marLeft w:val="0"/>
      <w:marRight w:val="0"/>
      <w:marTop w:val="0"/>
      <w:marBottom w:val="0"/>
      <w:divBdr>
        <w:top w:val="none" w:sz="0" w:space="0" w:color="auto"/>
        <w:left w:val="none" w:sz="0" w:space="0" w:color="auto"/>
        <w:bottom w:val="none" w:sz="0" w:space="0" w:color="auto"/>
        <w:right w:val="none" w:sz="0" w:space="0" w:color="auto"/>
      </w:divBdr>
      <w:divsChild>
        <w:div w:id="910850242">
          <w:marLeft w:val="0"/>
          <w:marRight w:val="0"/>
          <w:marTop w:val="0"/>
          <w:marBottom w:val="0"/>
          <w:divBdr>
            <w:top w:val="none" w:sz="0" w:space="0" w:color="auto"/>
            <w:left w:val="none" w:sz="0" w:space="0" w:color="auto"/>
            <w:bottom w:val="none" w:sz="0" w:space="0" w:color="auto"/>
            <w:right w:val="none" w:sz="0" w:space="0" w:color="auto"/>
          </w:divBdr>
          <w:divsChild>
            <w:div w:id="6624696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21346736">
      <w:marLeft w:val="0"/>
      <w:marRight w:val="0"/>
      <w:marTop w:val="240"/>
      <w:marBottom w:val="240"/>
      <w:divBdr>
        <w:top w:val="none" w:sz="0" w:space="0" w:color="auto"/>
        <w:left w:val="none" w:sz="0" w:space="0" w:color="auto"/>
        <w:bottom w:val="none" w:sz="0" w:space="0" w:color="auto"/>
        <w:right w:val="none" w:sz="0" w:space="0" w:color="auto"/>
      </w:divBdr>
    </w:div>
    <w:div w:id="1326015023">
      <w:marLeft w:val="0"/>
      <w:marRight w:val="0"/>
      <w:marTop w:val="0"/>
      <w:marBottom w:val="120"/>
      <w:divBdr>
        <w:top w:val="none" w:sz="0" w:space="0" w:color="auto"/>
        <w:left w:val="none" w:sz="0" w:space="0" w:color="auto"/>
        <w:bottom w:val="none" w:sz="0" w:space="0" w:color="auto"/>
        <w:right w:val="none" w:sz="0" w:space="0" w:color="auto"/>
      </w:divBdr>
    </w:div>
    <w:div w:id="1333794426">
      <w:marLeft w:val="0"/>
      <w:marRight w:val="0"/>
      <w:marTop w:val="0"/>
      <w:marBottom w:val="120"/>
      <w:divBdr>
        <w:top w:val="none" w:sz="0" w:space="0" w:color="auto"/>
        <w:left w:val="none" w:sz="0" w:space="0" w:color="auto"/>
        <w:bottom w:val="none" w:sz="0" w:space="0" w:color="auto"/>
        <w:right w:val="none" w:sz="0" w:space="0" w:color="auto"/>
      </w:divBdr>
    </w:div>
    <w:div w:id="1335378228">
      <w:marLeft w:val="0"/>
      <w:marRight w:val="0"/>
      <w:marTop w:val="0"/>
      <w:marBottom w:val="240"/>
      <w:divBdr>
        <w:top w:val="none" w:sz="0" w:space="0" w:color="auto"/>
        <w:left w:val="none" w:sz="0" w:space="0" w:color="auto"/>
        <w:bottom w:val="none" w:sz="0" w:space="0" w:color="auto"/>
        <w:right w:val="none" w:sz="0" w:space="0" w:color="auto"/>
      </w:divBdr>
    </w:div>
    <w:div w:id="1336229914">
      <w:marLeft w:val="0"/>
      <w:marRight w:val="0"/>
      <w:marTop w:val="0"/>
      <w:marBottom w:val="120"/>
      <w:divBdr>
        <w:top w:val="none" w:sz="0" w:space="0" w:color="auto"/>
        <w:left w:val="none" w:sz="0" w:space="0" w:color="auto"/>
        <w:bottom w:val="none" w:sz="0" w:space="0" w:color="auto"/>
        <w:right w:val="none" w:sz="0" w:space="0" w:color="auto"/>
      </w:divBdr>
    </w:div>
    <w:div w:id="1337460859">
      <w:marLeft w:val="0"/>
      <w:marRight w:val="0"/>
      <w:marTop w:val="0"/>
      <w:marBottom w:val="120"/>
      <w:divBdr>
        <w:top w:val="none" w:sz="0" w:space="0" w:color="auto"/>
        <w:left w:val="none" w:sz="0" w:space="0" w:color="auto"/>
        <w:bottom w:val="none" w:sz="0" w:space="0" w:color="auto"/>
        <w:right w:val="none" w:sz="0" w:space="0" w:color="auto"/>
      </w:divBdr>
    </w:div>
    <w:div w:id="1342124464">
      <w:marLeft w:val="0"/>
      <w:marRight w:val="0"/>
      <w:marTop w:val="0"/>
      <w:marBottom w:val="120"/>
      <w:divBdr>
        <w:top w:val="none" w:sz="0" w:space="0" w:color="auto"/>
        <w:left w:val="none" w:sz="0" w:space="0" w:color="auto"/>
        <w:bottom w:val="none" w:sz="0" w:space="0" w:color="auto"/>
        <w:right w:val="none" w:sz="0" w:space="0" w:color="auto"/>
      </w:divBdr>
    </w:div>
    <w:div w:id="1342588233">
      <w:marLeft w:val="0"/>
      <w:marRight w:val="0"/>
      <w:marTop w:val="0"/>
      <w:marBottom w:val="0"/>
      <w:divBdr>
        <w:top w:val="none" w:sz="0" w:space="0" w:color="auto"/>
        <w:left w:val="none" w:sz="0" w:space="0" w:color="auto"/>
        <w:bottom w:val="none" w:sz="0" w:space="0" w:color="auto"/>
        <w:right w:val="none" w:sz="0" w:space="0" w:color="auto"/>
      </w:divBdr>
      <w:divsChild>
        <w:div w:id="1854680403">
          <w:marLeft w:val="0"/>
          <w:marRight w:val="0"/>
          <w:marTop w:val="0"/>
          <w:marBottom w:val="120"/>
          <w:divBdr>
            <w:top w:val="none" w:sz="0" w:space="0" w:color="auto"/>
            <w:left w:val="none" w:sz="0" w:space="0" w:color="auto"/>
            <w:bottom w:val="none" w:sz="0" w:space="0" w:color="auto"/>
            <w:right w:val="none" w:sz="0" w:space="0" w:color="auto"/>
          </w:divBdr>
        </w:div>
      </w:divsChild>
    </w:div>
    <w:div w:id="1344085126">
      <w:marLeft w:val="0"/>
      <w:marRight w:val="0"/>
      <w:marTop w:val="0"/>
      <w:marBottom w:val="120"/>
      <w:divBdr>
        <w:top w:val="none" w:sz="0" w:space="0" w:color="auto"/>
        <w:left w:val="none" w:sz="0" w:space="0" w:color="auto"/>
        <w:bottom w:val="none" w:sz="0" w:space="0" w:color="auto"/>
        <w:right w:val="none" w:sz="0" w:space="0" w:color="auto"/>
      </w:divBdr>
    </w:div>
    <w:div w:id="1348212778">
      <w:marLeft w:val="0"/>
      <w:marRight w:val="0"/>
      <w:marTop w:val="100"/>
      <w:marBottom w:val="120"/>
      <w:divBdr>
        <w:top w:val="none" w:sz="0" w:space="0" w:color="auto"/>
        <w:left w:val="none" w:sz="0" w:space="0" w:color="auto"/>
        <w:bottom w:val="none" w:sz="0" w:space="0" w:color="auto"/>
        <w:right w:val="none" w:sz="0" w:space="0" w:color="auto"/>
      </w:divBdr>
    </w:div>
    <w:div w:id="1350335916">
      <w:marLeft w:val="0"/>
      <w:marRight w:val="0"/>
      <w:marTop w:val="240"/>
      <w:marBottom w:val="0"/>
      <w:divBdr>
        <w:top w:val="none" w:sz="0" w:space="0" w:color="auto"/>
        <w:left w:val="none" w:sz="0" w:space="0" w:color="auto"/>
        <w:bottom w:val="none" w:sz="0" w:space="0" w:color="auto"/>
        <w:right w:val="none" w:sz="0" w:space="0" w:color="auto"/>
      </w:divBdr>
    </w:div>
    <w:div w:id="1351957659">
      <w:marLeft w:val="0"/>
      <w:marRight w:val="0"/>
      <w:marTop w:val="0"/>
      <w:marBottom w:val="0"/>
      <w:divBdr>
        <w:top w:val="none" w:sz="0" w:space="0" w:color="auto"/>
        <w:left w:val="none" w:sz="0" w:space="0" w:color="auto"/>
        <w:bottom w:val="none" w:sz="0" w:space="0" w:color="auto"/>
        <w:right w:val="none" w:sz="0" w:space="0" w:color="auto"/>
      </w:divBdr>
      <w:divsChild>
        <w:div w:id="1988896085">
          <w:marLeft w:val="0"/>
          <w:marRight w:val="0"/>
          <w:marTop w:val="0"/>
          <w:marBottom w:val="120"/>
          <w:divBdr>
            <w:top w:val="none" w:sz="0" w:space="0" w:color="auto"/>
            <w:left w:val="none" w:sz="0" w:space="0" w:color="auto"/>
            <w:bottom w:val="none" w:sz="0" w:space="0" w:color="auto"/>
            <w:right w:val="none" w:sz="0" w:space="0" w:color="auto"/>
          </w:divBdr>
        </w:div>
      </w:divsChild>
    </w:div>
    <w:div w:id="1353143537">
      <w:marLeft w:val="0"/>
      <w:marRight w:val="0"/>
      <w:marTop w:val="0"/>
      <w:marBottom w:val="0"/>
      <w:divBdr>
        <w:top w:val="none" w:sz="0" w:space="0" w:color="auto"/>
        <w:left w:val="none" w:sz="0" w:space="0" w:color="auto"/>
        <w:bottom w:val="none" w:sz="0" w:space="0" w:color="auto"/>
        <w:right w:val="none" w:sz="0" w:space="0" w:color="auto"/>
      </w:divBdr>
      <w:divsChild>
        <w:div w:id="2099516433">
          <w:marLeft w:val="0"/>
          <w:marRight w:val="0"/>
          <w:marTop w:val="0"/>
          <w:marBottom w:val="0"/>
          <w:divBdr>
            <w:top w:val="none" w:sz="0" w:space="0" w:color="auto"/>
            <w:left w:val="none" w:sz="0" w:space="0" w:color="auto"/>
            <w:bottom w:val="none" w:sz="0" w:space="0" w:color="auto"/>
            <w:right w:val="none" w:sz="0" w:space="0" w:color="auto"/>
          </w:divBdr>
          <w:divsChild>
            <w:div w:id="13077108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54263090">
      <w:marLeft w:val="0"/>
      <w:marRight w:val="0"/>
      <w:marTop w:val="0"/>
      <w:marBottom w:val="120"/>
      <w:divBdr>
        <w:top w:val="none" w:sz="0" w:space="0" w:color="auto"/>
        <w:left w:val="none" w:sz="0" w:space="0" w:color="auto"/>
        <w:bottom w:val="none" w:sz="0" w:space="0" w:color="auto"/>
        <w:right w:val="none" w:sz="0" w:space="0" w:color="auto"/>
      </w:divBdr>
    </w:div>
    <w:div w:id="1354575198">
      <w:marLeft w:val="0"/>
      <w:marRight w:val="0"/>
      <w:marTop w:val="0"/>
      <w:marBottom w:val="120"/>
      <w:divBdr>
        <w:top w:val="none" w:sz="0" w:space="0" w:color="auto"/>
        <w:left w:val="none" w:sz="0" w:space="0" w:color="auto"/>
        <w:bottom w:val="none" w:sz="0" w:space="0" w:color="auto"/>
        <w:right w:val="none" w:sz="0" w:space="0" w:color="auto"/>
      </w:divBdr>
    </w:div>
    <w:div w:id="1356074041">
      <w:marLeft w:val="0"/>
      <w:marRight w:val="0"/>
      <w:marTop w:val="0"/>
      <w:marBottom w:val="120"/>
      <w:divBdr>
        <w:top w:val="none" w:sz="0" w:space="0" w:color="auto"/>
        <w:left w:val="none" w:sz="0" w:space="0" w:color="auto"/>
        <w:bottom w:val="none" w:sz="0" w:space="0" w:color="auto"/>
        <w:right w:val="none" w:sz="0" w:space="0" w:color="auto"/>
      </w:divBdr>
    </w:div>
    <w:div w:id="1357655394">
      <w:marLeft w:val="0"/>
      <w:marRight w:val="0"/>
      <w:marTop w:val="0"/>
      <w:marBottom w:val="0"/>
      <w:divBdr>
        <w:top w:val="none" w:sz="0" w:space="0" w:color="auto"/>
        <w:left w:val="none" w:sz="0" w:space="0" w:color="auto"/>
        <w:bottom w:val="none" w:sz="0" w:space="0" w:color="auto"/>
        <w:right w:val="none" w:sz="0" w:space="0" w:color="auto"/>
      </w:divBdr>
    </w:div>
    <w:div w:id="1358392168">
      <w:marLeft w:val="0"/>
      <w:marRight w:val="0"/>
      <w:marTop w:val="0"/>
      <w:marBottom w:val="120"/>
      <w:divBdr>
        <w:top w:val="none" w:sz="0" w:space="0" w:color="auto"/>
        <w:left w:val="none" w:sz="0" w:space="0" w:color="auto"/>
        <w:bottom w:val="none" w:sz="0" w:space="0" w:color="auto"/>
        <w:right w:val="none" w:sz="0" w:space="0" w:color="auto"/>
      </w:divBdr>
    </w:div>
    <w:div w:id="1358968828">
      <w:marLeft w:val="0"/>
      <w:marRight w:val="0"/>
      <w:marTop w:val="0"/>
      <w:marBottom w:val="120"/>
      <w:divBdr>
        <w:top w:val="none" w:sz="0" w:space="0" w:color="auto"/>
        <w:left w:val="none" w:sz="0" w:space="0" w:color="auto"/>
        <w:bottom w:val="none" w:sz="0" w:space="0" w:color="auto"/>
        <w:right w:val="none" w:sz="0" w:space="0" w:color="auto"/>
      </w:divBdr>
    </w:div>
    <w:div w:id="1362391376">
      <w:marLeft w:val="0"/>
      <w:marRight w:val="0"/>
      <w:marTop w:val="180"/>
      <w:marBottom w:val="120"/>
      <w:divBdr>
        <w:top w:val="none" w:sz="0" w:space="0" w:color="auto"/>
        <w:left w:val="none" w:sz="0" w:space="0" w:color="auto"/>
        <w:bottom w:val="none" w:sz="0" w:space="0" w:color="auto"/>
        <w:right w:val="none" w:sz="0" w:space="0" w:color="auto"/>
      </w:divBdr>
    </w:div>
    <w:div w:id="1365210421">
      <w:marLeft w:val="0"/>
      <w:marRight w:val="0"/>
      <w:marTop w:val="0"/>
      <w:marBottom w:val="0"/>
      <w:divBdr>
        <w:top w:val="none" w:sz="0" w:space="0" w:color="auto"/>
        <w:left w:val="none" w:sz="0" w:space="0" w:color="auto"/>
        <w:bottom w:val="none" w:sz="0" w:space="0" w:color="auto"/>
        <w:right w:val="none" w:sz="0" w:space="0" w:color="auto"/>
      </w:divBdr>
      <w:divsChild>
        <w:div w:id="1394086024">
          <w:marLeft w:val="0"/>
          <w:marRight w:val="0"/>
          <w:marTop w:val="0"/>
          <w:marBottom w:val="120"/>
          <w:divBdr>
            <w:top w:val="none" w:sz="0" w:space="0" w:color="auto"/>
            <w:left w:val="none" w:sz="0" w:space="0" w:color="auto"/>
            <w:bottom w:val="none" w:sz="0" w:space="0" w:color="auto"/>
            <w:right w:val="none" w:sz="0" w:space="0" w:color="auto"/>
          </w:divBdr>
        </w:div>
      </w:divsChild>
    </w:div>
    <w:div w:id="1368606305">
      <w:marLeft w:val="0"/>
      <w:marRight w:val="0"/>
      <w:marTop w:val="0"/>
      <w:marBottom w:val="120"/>
      <w:divBdr>
        <w:top w:val="none" w:sz="0" w:space="0" w:color="auto"/>
        <w:left w:val="none" w:sz="0" w:space="0" w:color="auto"/>
        <w:bottom w:val="none" w:sz="0" w:space="0" w:color="auto"/>
        <w:right w:val="none" w:sz="0" w:space="0" w:color="auto"/>
      </w:divBdr>
    </w:div>
    <w:div w:id="1368990209">
      <w:marLeft w:val="0"/>
      <w:marRight w:val="0"/>
      <w:marTop w:val="0"/>
      <w:marBottom w:val="120"/>
      <w:divBdr>
        <w:top w:val="none" w:sz="0" w:space="0" w:color="auto"/>
        <w:left w:val="none" w:sz="0" w:space="0" w:color="auto"/>
        <w:bottom w:val="none" w:sz="0" w:space="0" w:color="auto"/>
        <w:right w:val="none" w:sz="0" w:space="0" w:color="auto"/>
      </w:divBdr>
    </w:div>
    <w:div w:id="1379742233">
      <w:marLeft w:val="0"/>
      <w:marRight w:val="0"/>
      <w:marTop w:val="0"/>
      <w:marBottom w:val="120"/>
      <w:divBdr>
        <w:top w:val="none" w:sz="0" w:space="0" w:color="auto"/>
        <w:left w:val="none" w:sz="0" w:space="0" w:color="auto"/>
        <w:bottom w:val="none" w:sz="0" w:space="0" w:color="auto"/>
        <w:right w:val="none" w:sz="0" w:space="0" w:color="auto"/>
      </w:divBdr>
    </w:div>
    <w:div w:id="1382293335">
      <w:marLeft w:val="0"/>
      <w:marRight w:val="0"/>
      <w:marTop w:val="0"/>
      <w:marBottom w:val="120"/>
      <w:divBdr>
        <w:top w:val="none" w:sz="0" w:space="0" w:color="auto"/>
        <w:left w:val="none" w:sz="0" w:space="0" w:color="auto"/>
        <w:bottom w:val="none" w:sz="0" w:space="0" w:color="auto"/>
        <w:right w:val="none" w:sz="0" w:space="0" w:color="auto"/>
      </w:divBdr>
    </w:div>
    <w:div w:id="1382896572">
      <w:marLeft w:val="0"/>
      <w:marRight w:val="0"/>
      <w:marTop w:val="240"/>
      <w:marBottom w:val="0"/>
      <w:divBdr>
        <w:top w:val="none" w:sz="0" w:space="0" w:color="auto"/>
        <w:left w:val="none" w:sz="0" w:space="0" w:color="auto"/>
        <w:bottom w:val="none" w:sz="0" w:space="0" w:color="auto"/>
        <w:right w:val="none" w:sz="0" w:space="0" w:color="auto"/>
      </w:divBdr>
    </w:div>
    <w:div w:id="1384282757">
      <w:marLeft w:val="0"/>
      <w:marRight w:val="0"/>
      <w:marTop w:val="0"/>
      <w:marBottom w:val="120"/>
      <w:divBdr>
        <w:top w:val="none" w:sz="0" w:space="0" w:color="auto"/>
        <w:left w:val="none" w:sz="0" w:space="0" w:color="auto"/>
        <w:bottom w:val="none" w:sz="0" w:space="0" w:color="auto"/>
        <w:right w:val="none" w:sz="0" w:space="0" w:color="auto"/>
      </w:divBdr>
    </w:div>
    <w:div w:id="1389839630">
      <w:marLeft w:val="0"/>
      <w:marRight w:val="0"/>
      <w:marTop w:val="0"/>
      <w:marBottom w:val="120"/>
      <w:divBdr>
        <w:top w:val="none" w:sz="0" w:space="0" w:color="auto"/>
        <w:left w:val="none" w:sz="0" w:space="0" w:color="auto"/>
        <w:bottom w:val="none" w:sz="0" w:space="0" w:color="auto"/>
        <w:right w:val="none" w:sz="0" w:space="0" w:color="auto"/>
      </w:divBdr>
    </w:div>
    <w:div w:id="1389961826">
      <w:marLeft w:val="0"/>
      <w:marRight w:val="0"/>
      <w:marTop w:val="0"/>
      <w:marBottom w:val="120"/>
      <w:divBdr>
        <w:top w:val="none" w:sz="0" w:space="0" w:color="auto"/>
        <w:left w:val="none" w:sz="0" w:space="0" w:color="auto"/>
        <w:bottom w:val="none" w:sz="0" w:space="0" w:color="auto"/>
        <w:right w:val="none" w:sz="0" w:space="0" w:color="auto"/>
      </w:divBdr>
    </w:div>
    <w:div w:id="1390149788">
      <w:marLeft w:val="0"/>
      <w:marRight w:val="0"/>
      <w:marTop w:val="0"/>
      <w:marBottom w:val="0"/>
      <w:divBdr>
        <w:top w:val="none" w:sz="0" w:space="0" w:color="auto"/>
        <w:left w:val="none" w:sz="0" w:space="0" w:color="auto"/>
        <w:bottom w:val="none" w:sz="0" w:space="0" w:color="auto"/>
        <w:right w:val="none" w:sz="0" w:space="0" w:color="auto"/>
      </w:divBdr>
      <w:divsChild>
        <w:div w:id="1783963255">
          <w:marLeft w:val="0"/>
          <w:marRight w:val="0"/>
          <w:marTop w:val="0"/>
          <w:marBottom w:val="120"/>
          <w:divBdr>
            <w:top w:val="none" w:sz="0" w:space="0" w:color="auto"/>
            <w:left w:val="none" w:sz="0" w:space="0" w:color="auto"/>
            <w:bottom w:val="none" w:sz="0" w:space="0" w:color="auto"/>
            <w:right w:val="none" w:sz="0" w:space="0" w:color="auto"/>
          </w:divBdr>
        </w:div>
      </w:divsChild>
    </w:div>
    <w:div w:id="1391226791">
      <w:marLeft w:val="0"/>
      <w:marRight w:val="0"/>
      <w:marTop w:val="0"/>
      <w:marBottom w:val="0"/>
      <w:divBdr>
        <w:top w:val="none" w:sz="0" w:space="0" w:color="auto"/>
        <w:left w:val="none" w:sz="0" w:space="0" w:color="auto"/>
        <w:bottom w:val="none" w:sz="0" w:space="0" w:color="auto"/>
        <w:right w:val="none" w:sz="0" w:space="0" w:color="auto"/>
      </w:divBdr>
    </w:div>
    <w:div w:id="1391535557">
      <w:marLeft w:val="0"/>
      <w:marRight w:val="0"/>
      <w:marTop w:val="0"/>
      <w:marBottom w:val="0"/>
      <w:divBdr>
        <w:top w:val="none" w:sz="0" w:space="0" w:color="auto"/>
        <w:left w:val="none" w:sz="0" w:space="0" w:color="auto"/>
        <w:bottom w:val="none" w:sz="0" w:space="0" w:color="auto"/>
        <w:right w:val="none" w:sz="0" w:space="0" w:color="auto"/>
      </w:divBdr>
    </w:div>
    <w:div w:id="1391919834">
      <w:marLeft w:val="0"/>
      <w:marRight w:val="0"/>
      <w:marTop w:val="240"/>
      <w:marBottom w:val="0"/>
      <w:divBdr>
        <w:top w:val="none" w:sz="0" w:space="0" w:color="auto"/>
        <w:left w:val="none" w:sz="0" w:space="0" w:color="auto"/>
        <w:bottom w:val="none" w:sz="0" w:space="0" w:color="auto"/>
        <w:right w:val="none" w:sz="0" w:space="0" w:color="auto"/>
      </w:divBdr>
    </w:div>
    <w:div w:id="1393500950">
      <w:marLeft w:val="0"/>
      <w:marRight w:val="0"/>
      <w:marTop w:val="0"/>
      <w:marBottom w:val="120"/>
      <w:divBdr>
        <w:top w:val="none" w:sz="0" w:space="0" w:color="auto"/>
        <w:left w:val="none" w:sz="0" w:space="0" w:color="auto"/>
        <w:bottom w:val="none" w:sz="0" w:space="0" w:color="auto"/>
        <w:right w:val="none" w:sz="0" w:space="0" w:color="auto"/>
      </w:divBdr>
    </w:div>
    <w:div w:id="1394352233">
      <w:marLeft w:val="0"/>
      <w:marRight w:val="0"/>
      <w:marTop w:val="0"/>
      <w:marBottom w:val="120"/>
      <w:divBdr>
        <w:top w:val="none" w:sz="0" w:space="0" w:color="auto"/>
        <w:left w:val="none" w:sz="0" w:space="0" w:color="auto"/>
        <w:bottom w:val="none" w:sz="0" w:space="0" w:color="auto"/>
        <w:right w:val="none" w:sz="0" w:space="0" w:color="auto"/>
      </w:divBdr>
    </w:div>
    <w:div w:id="1397360306">
      <w:marLeft w:val="0"/>
      <w:marRight w:val="0"/>
      <w:marTop w:val="0"/>
      <w:marBottom w:val="120"/>
      <w:divBdr>
        <w:top w:val="none" w:sz="0" w:space="0" w:color="auto"/>
        <w:left w:val="none" w:sz="0" w:space="0" w:color="auto"/>
        <w:bottom w:val="none" w:sz="0" w:space="0" w:color="auto"/>
        <w:right w:val="none" w:sz="0" w:space="0" w:color="auto"/>
      </w:divBdr>
    </w:div>
    <w:div w:id="1400589797">
      <w:marLeft w:val="0"/>
      <w:marRight w:val="0"/>
      <w:marTop w:val="0"/>
      <w:marBottom w:val="120"/>
      <w:divBdr>
        <w:top w:val="none" w:sz="0" w:space="0" w:color="auto"/>
        <w:left w:val="none" w:sz="0" w:space="0" w:color="auto"/>
        <w:bottom w:val="none" w:sz="0" w:space="0" w:color="auto"/>
        <w:right w:val="none" w:sz="0" w:space="0" w:color="auto"/>
      </w:divBdr>
    </w:div>
    <w:div w:id="1402950847">
      <w:marLeft w:val="0"/>
      <w:marRight w:val="0"/>
      <w:marTop w:val="0"/>
      <w:marBottom w:val="120"/>
      <w:divBdr>
        <w:top w:val="none" w:sz="0" w:space="0" w:color="auto"/>
        <w:left w:val="none" w:sz="0" w:space="0" w:color="auto"/>
        <w:bottom w:val="none" w:sz="0" w:space="0" w:color="auto"/>
        <w:right w:val="none" w:sz="0" w:space="0" w:color="auto"/>
      </w:divBdr>
    </w:div>
    <w:div w:id="1406074882">
      <w:marLeft w:val="0"/>
      <w:marRight w:val="0"/>
      <w:marTop w:val="0"/>
      <w:marBottom w:val="0"/>
      <w:divBdr>
        <w:top w:val="none" w:sz="0" w:space="0" w:color="auto"/>
        <w:left w:val="none" w:sz="0" w:space="0" w:color="auto"/>
        <w:bottom w:val="none" w:sz="0" w:space="0" w:color="auto"/>
        <w:right w:val="none" w:sz="0" w:space="0" w:color="auto"/>
      </w:divBdr>
      <w:divsChild>
        <w:div w:id="443354332">
          <w:marLeft w:val="0"/>
          <w:marRight w:val="0"/>
          <w:marTop w:val="0"/>
          <w:marBottom w:val="0"/>
          <w:divBdr>
            <w:top w:val="none" w:sz="0" w:space="0" w:color="auto"/>
            <w:left w:val="none" w:sz="0" w:space="0" w:color="auto"/>
            <w:bottom w:val="none" w:sz="0" w:space="0" w:color="auto"/>
            <w:right w:val="none" w:sz="0" w:space="0" w:color="auto"/>
          </w:divBdr>
          <w:divsChild>
            <w:div w:id="6439678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06536593">
      <w:marLeft w:val="0"/>
      <w:marRight w:val="0"/>
      <w:marTop w:val="0"/>
      <w:marBottom w:val="0"/>
      <w:divBdr>
        <w:top w:val="none" w:sz="0" w:space="0" w:color="auto"/>
        <w:left w:val="none" w:sz="0" w:space="0" w:color="auto"/>
        <w:bottom w:val="none" w:sz="0" w:space="0" w:color="auto"/>
        <w:right w:val="none" w:sz="0" w:space="0" w:color="auto"/>
      </w:divBdr>
      <w:divsChild>
        <w:div w:id="1007437988">
          <w:marLeft w:val="0"/>
          <w:marRight w:val="0"/>
          <w:marTop w:val="0"/>
          <w:marBottom w:val="0"/>
          <w:divBdr>
            <w:top w:val="none" w:sz="0" w:space="0" w:color="auto"/>
            <w:left w:val="none" w:sz="0" w:space="0" w:color="auto"/>
            <w:bottom w:val="none" w:sz="0" w:space="0" w:color="auto"/>
            <w:right w:val="none" w:sz="0" w:space="0" w:color="auto"/>
          </w:divBdr>
          <w:divsChild>
            <w:div w:id="17182374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09229561">
      <w:marLeft w:val="0"/>
      <w:marRight w:val="0"/>
      <w:marTop w:val="0"/>
      <w:marBottom w:val="120"/>
      <w:divBdr>
        <w:top w:val="none" w:sz="0" w:space="0" w:color="auto"/>
        <w:left w:val="none" w:sz="0" w:space="0" w:color="auto"/>
        <w:bottom w:val="none" w:sz="0" w:space="0" w:color="auto"/>
        <w:right w:val="none" w:sz="0" w:space="0" w:color="auto"/>
      </w:divBdr>
    </w:div>
    <w:div w:id="1409839480">
      <w:marLeft w:val="0"/>
      <w:marRight w:val="0"/>
      <w:marTop w:val="0"/>
      <w:marBottom w:val="120"/>
      <w:divBdr>
        <w:top w:val="none" w:sz="0" w:space="0" w:color="auto"/>
        <w:left w:val="none" w:sz="0" w:space="0" w:color="auto"/>
        <w:bottom w:val="none" w:sz="0" w:space="0" w:color="auto"/>
        <w:right w:val="none" w:sz="0" w:space="0" w:color="auto"/>
      </w:divBdr>
    </w:div>
    <w:div w:id="1415973333">
      <w:marLeft w:val="0"/>
      <w:marRight w:val="0"/>
      <w:marTop w:val="240"/>
      <w:marBottom w:val="0"/>
      <w:divBdr>
        <w:top w:val="none" w:sz="0" w:space="0" w:color="auto"/>
        <w:left w:val="none" w:sz="0" w:space="0" w:color="auto"/>
        <w:bottom w:val="none" w:sz="0" w:space="0" w:color="auto"/>
        <w:right w:val="none" w:sz="0" w:space="0" w:color="auto"/>
      </w:divBdr>
    </w:div>
    <w:div w:id="1416173837">
      <w:marLeft w:val="0"/>
      <w:marRight w:val="0"/>
      <w:marTop w:val="0"/>
      <w:marBottom w:val="0"/>
      <w:divBdr>
        <w:top w:val="none" w:sz="0" w:space="0" w:color="auto"/>
        <w:left w:val="none" w:sz="0" w:space="0" w:color="auto"/>
        <w:bottom w:val="none" w:sz="0" w:space="0" w:color="auto"/>
        <w:right w:val="none" w:sz="0" w:space="0" w:color="auto"/>
      </w:divBdr>
      <w:divsChild>
        <w:div w:id="206140907">
          <w:marLeft w:val="0"/>
          <w:marRight w:val="0"/>
          <w:marTop w:val="0"/>
          <w:marBottom w:val="0"/>
          <w:divBdr>
            <w:top w:val="none" w:sz="0" w:space="0" w:color="auto"/>
            <w:left w:val="none" w:sz="0" w:space="0" w:color="auto"/>
            <w:bottom w:val="none" w:sz="0" w:space="0" w:color="auto"/>
            <w:right w:val="none" w:sz="0" w:space="0" w:color="auto"/>
          </w:divBdr>
          <w:divsChild>
            <w:div w:id="8990945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16392015">
      <w:marLeft w:val="0"/>
      <w:marRight w:val="0"/>
      <w:marTop w:val="0"/>
      <w:marBottom w:val="120"/>
      <w:divBdr>
        <w:top w:val="none" w:sz="0" w:space="0" w:color="auto"/>
        <w:left w:val="none" w:sz="0" w:space="0" w:color="auto"/>
        <w:bottom w:val="none" w:sz="0" w:space="0" w:color="auto"/>
        <w:right w:val="none" w:sz="0" w:space="0" w:color="auto"/>
      </w:divBdr>
    </w:div>
    <w:div w:id="1419860826">
      <w:marLeft w:val="0"/>
      <w:marRight w:val="0"/>
      <w:marTop w:val="0"/>
      <w:marBottom w:val="0"/>
      <w:divBdr>
        <w:top w:val="none" w:sz="0" w:space="0" w:color="auto"/>
        <w:left w:val="none" w:sz="0" w:space="0" w:color="auto"/>
        <w:bottom w:val="none" w:sz="0" w:space="0" w:color="auto"/>
        <w:right w:val="none" w:sz="0" w:space="0" w:color="auto"/>
      </w:divBdr>
      <w:divsChild>
        <w:div w:id="1193883884">
          <w:marLeft w:val="0"/>
          <w:marRight w:val="0"/>
          <w:marTop w:val="0"/>
          <w:marBottom w:val="120"/>
          <w:divBdr>
            <w:top w:val="none" w:sz="0" w:space="0" w:color="auto"/>
            <w:left w:val="none" w:sz="0" w:space="0" w:color="auto"/>
            <w:bottom w:val="none" w:sz="0" w:space="0" w:color="auto"/>
            <w:right w:val="none" w:sz="0" w:space="0" w:color="auto"/>
          </w:divBdr>
        </w:div>
      </w:divsChild>
    </w:div>
    <w:div w:id="1420058703">
      <w:marLeft w:val="0"/>
      <w:marRight w:val="0"/>
      <w:marTop w:val="0"/>
      <w:marBottom w:val="120"/>
      <w:divBdr>
        <w:top w:val="none" w:sz="0" w:space="0" w:color="auto"/>
        <w:left w:val="none" w:sz="0" w:space="0" w:color="auto"/>
        <w:bottom w:val="none" w:sz="0" w:space="0" w:color="auto"/>
        <w:right w:val="none" w:sz="0" w:space="0" w:color="auto"/>
      </w:divBdr>
    </w:div>
    <w:div w:id="1425489840">
      <w:marLeft w:val="0"/>
      <w:marRight w:val="0"/>
      <w:marTop w:val="240"/>
      <w:marBottom w:val="0"/>
      <w:divBdr>
        <w:top w:val="none" w:sz="0" w:space="0" w:color="auto"/>
        <w:left w:val="none" w:sz="0" w:space="0" w:color="auto"/>
        <w:bottom w:val="none" w:sz="0" w:space="0" w:color="auto"/>
        <w:right w:val="none" w:sz="0" w:space="0" w:color="auto"/>
      </w:divBdr>
    </w:div>
    <w:div w:id="1426609197">
      <w:marLeft w:val="0"/>
      <w:marRight w:val="0"/>
      <w:marTop w:val="0"/>
      <w:marBottom w:val="120"/>
      <w:divBdr>
        <w:top w:val="none" w:sz="0" w:space="0" w:color="auto"/>
        <w:left w:val="none" w:sz="0" w:space="0" w:color="auto"/>
        <w:bottom w:val="none" w:sz="0" w:space="0" w:color="auto"/>
        <w:right w:val="none" w:sz="0" w:space="0" w:color="auto"/>
      </w:divBdr>
    </w:div>
    <w:div w:id="1431774838">
      <w:marLeft w:val="0"/>
      <w:marRight w:val="0"/>
      <w:marTop w:val="240"/>
      <w:marBottom w:val="0"/>
      <w:divBdr>
        <w:top w:val="none" w:sz="0" w:space="0" w:color="auto"/>
        <w:left w:val="none" w:sz="0" w:space="0" w:color="auto"/>
        <w:bottom w:val="none" w:sz="0" w:space="0" w:color="auto"/>
        <w:right w:val="none" w:sz="0" w:space="0" w:color="auto"/>
      </w:divBdr>
    </w:div>
    <w:div w:id="1431779318">
      <w:marLeft w:val="0"/>
      <w:marRight w:val="0"/>
      <w:marTop w:val="0"/>
      <w:marBottom w:val="0"/>
      <w:divBdr>
        <w:top w:val="none" w:sz="0" w:space="0" w:color="auto"/>
        <w:left w:val="none" w:sz="0" w:space="0" w:color="auto"/>
        <w:bottom w:val="none" w:sz="0" w:space="0" w:color="auto"/>
        <w:right w:val="none" w:sz="0" w:space="0" w:color="auto"/>
      </w:divBdr>
      <w:divsChild>
        <w:div w:id="623390495">
          <w:marLeft w:val="0"/>
          <w:marRight w:val="0"/>
          <w:marTop w:val="0"/>
          <w:marBottom w:val="0"/>
          <w:divBdr>
            <w:top w:val="none" w:sz="0" w:space="0" w:color="auto"/>
            <w:left w:val="none" w:sz="0" w:space="0" w:color="auto"/>
            <w:bottom w:val="none" w:sz="0" w:space="0" w:color="auto"/>
            <w:right w:val="none" w:sz="0" w:space="0" w:color="auto"/>
          </w:divBdr>
          <w:divsChild>
            <w:div w:id="4123157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3429633">
      <w:marLeft w:val="0"/>
      <w:marRight w:val="0"/>
      <w:marTop w:val="0"/>
      <w:marBottom w:val="120"/>
      <w:divBdr>
        <w:top w:val="none" w:sz="0" w:space="0" w:color="auto"/>
        <w:left w:val="none" w:sz="0" w:space="0" w:color="auto"/>
        <w:bottom w:val="none" w:sz="0" w:space="0" w:color="auto"/>
        <w:right w:val="none" w:sz="0" w:space="0" w:color="auto"/>
      </w:divBdr>
    </w:div>
    <w:div w:id="1434011535">
      <w:marLeft w:val="0"/>
      <w:marRight w:val="0"/>
      <w:marTop w:val="0"/>
      <w:marBottom w:val="120"/>
      <w:divBdr>
        <w:top w:val="none" w:sz="0" w:space="0" w:color="auto"/>
        <w:left w:val="none" w:sz="0" w:space="0" w:color="auto"/>
        <w:bottom w:val="none" w:sz="0" w:space="0" w:color="auto"/>
        <w:right w:val="none" w:sz="0" w:space="0" w:color="auto"/>
      </w:divBdr>
    </w:div>
    <w:div w:id="1436289629">
      <w:marLeft w:val="0"/>
      <w:marRight w:val="0"/>
      <w:marTop w:val="0"/>
      <w:marBottom w:val="120"/>
      <w:divBdr>
        <w:top w:val="none" w:sz="0" w:space="0" w:color="auto"/>
        <w:left w:val="none" w:sz="0" w:space="0" w:color="auto"/>
        <w:bottom w:val="none" w:sz="0" w:space="0" w:color="auto"/>
        <w:right w:val="none" w:sz="0" w:space="0" w:color="auto"/>
      </w:divBdr>
    </w:div>
    <w:div w:id="1442602383">
      <w:marLeft w:val="0"/>
      <w:marRight w:val="0"/>
      <w:marTop w:val="0"/>
      <w:marBottom w:val="120"/>
      <w:divBdr>
        <w:top w:val="none" w:sz="0" w:space="0" w:color="auto"/>
        <w:left w:val="none" w:sz="0" w:space="0" w:color="auto"/>
        <w:bottom w:val="none" w:sz="0" w:space="0" w:color="auto"/>
        <w:right w:val="none" w:sz="0" w:space="0" w:color="auto"/>
      </w:divBdr>
    </w:div>
    <w:div w:id="1444038284">
      <w:marLeft w:val="0"/>
      <w:marRight w:val="0"/>
      <w:marTop w:val="240"/>
      <w:marBottom w:val="0"/>
      <w:divBdr>
        <w:top w:val="none" w:sz="0" w:space="0" w:color="auto"/>
        <w:left w:val="none" w:sz="0" w:space="0" w:color="auto"/>
        <w:bottom w:val="none" w:sz="0" w:space="0" w:color="auto"/>
        <w:right w:val="none" w:sz="0" w:space="0" w:color="auto"/>
      </w:divBdr>
    </w:div>
    <w:div w:id="1453284077">
      <w:marLeft w:val="0"/>
      <w:marRight w:val="0"/>
      <w:marTop w:val="0"/>
      <w:marBottom w:val="120"/>
      <w:divBdr>
        <w:top w:val="none" w:sz="0" w:space="0" w:color="auto"/>
        <w:left w:val="none" w:sz="0" w:space="0" w:color="auto"/>
        <w:bottom w:val="none" w:sz="0" w:space="0" w:color="auto"/>
        <w:right w:val="none" w:sz="0" w:space="0" w:color="auto"/>
      </w:divBdr>
    </w:div>
    <w:div w:id="1456294134">
      <w:marLeft w:val="0"/>
      <w:marRight w:val="0"/>
      <w:marTop w:val="0"/>
      <w:marBottom w:val="0"/>
      <w:divBdr>
        <w:top w:val="none" w:sz="0" w:space="0" w:color="auto"/>
        <w:left w:val="none" w:sz="0" w:space="0" w:color="auto"/>
        <w:bottom w:val="none" w:sz="0" w:space="0" w:color="auto"/>
        <w:right w:val="none" w:sz="0" w:space="0" w:color="auto"/>
      </w:divBdr>
      <w:divsChild>
        <w:div w:id="721563917">
          <w:marLeft w:val="0"/>
          <w:marRight w:val="0"/>
          <w:marTop w:val="0"/>
          <w:marBottom w:val="0"/>
          <w:divBdr>
            <w:top w:val="none" w:sz="0" w:space="0" w:color="auto"/>
            <w:left w:val="none" w:sz="0" w:space="0" w:color="auto"/>
            <w:bottom w:val="none" w:sz="0" w:space="0" w:color="auto"/>
            <w:right w:val="none" w:sz="0" w:space="0" w:color="auto"/>
          </w:divBdr>
          <w:divsChild>
            <w:div w:id="2383652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57480097">
      <w:marLeft w:val="0"/>
      <w:marRight w:val="0"/>
      <w:marTop w:val="240"/>
      <w:marBottom w:val="0"/>
      <w:divBdr>
        <w:top w:val="none" w:sz="0" w:space="0" w:color="auto"/>
        <w:left w:val="none" w:sz="0" w:space="0" w:color="auto"/>
        <w:bottom w:val="none" w:sz="0" w:space="0" w:color="auto"/>
        <w:right w:val="none" w:sz="0" w:space="0" w:color="auto"/>
      </w:divBdr>
    </w:div>
    <w:div w:id="1458404459">
      <w:marLeft w:val="0"/>
      <w:marRight w:val="0"/>
      <w:marTop w:val="0"/>
      <w:marBottom w:val="120"/>
      <w:divBdr>
        <w:top w:val="none" w:sz="0" w:space="0" w:color="auto"/>
        <w:left w:val="none" w:sz="0" w:space="0" w:color="auto"/>
        <w:bottom w:val="none" w:sz="0" w:space="0" w:color="auto"/>
        <w:right w:val="none" w:sz="0" w:space="0" w:color="auto"/>
      </w:divBdr>
    </w:div>
    <w:div w:id="1464926940">
      <w:marLeft w:val="0"/>
      <w:marRight w:val="0"/>
      <w:marTop w:val="240"/>
      <w:marBottom w:val="0"/>
      <w:divBdr>
        <w:top w:val="none" w:sz="0" w:space="0" w:color="auto"/>
        <w:left w:val="none" w:sz="0" w:space="0" w:color="auto"/>
        <w:bottom w:val="none" w:sz="0" w:space="0" w:color="auto"/>
        <w:right w:val="none" w:sz="0" w:space="0" w:color="auto"/>
      </w:divBdr>
    </w:div>
    <w:div w:id="1465151174">
      <w:marLeft w:val="0"/>
      <w:marRight w:val="0"/>
      <w:marTop w:val="0"/>
      <w:marBottom w:val="20"/>
      <w:divBdr>
        <w:top w:val="none" w:sz="0" w:space="0" w:color="auto"/>
        <w:left w:val="none" w:sz="0" w:space="0" w:color="auto"/>
        <w:bottom w:val="none" w:sz="0" w:space="0" w:color="auto"/>
        <w:right w:val="none" w:sz="0" w:space="0" w:color="auto"/>
      </w:divBdr>
    </w:div>
    <w:div w:id="1468936975">
      <w:marLeft w:val="0"/>
      <w:marRight w:val="0"/>
      <w:marTop w:val="0"/>
      <w:marBottom w:val="20"/>
      <w:divBdr>
        <w:top w:val="none" w:sz="0" w:space="0" w:color="auto"/>
        <w:left w:val="none" w:sz="0" w:space="0" w:color="auto"/>
        <w:bottom w:val="none" w:sz="0" w:space="0" w:color="auto"/>
        <w:right w:val="none" w:sz="0" w:space="0" w:color="auto"/>
      </w:divBdr>
    </w:div>
    <w:div w:id="1469131636">
      <w:marLeft w:val="0"/>
      <w:marRight w:val="0"/>
      <w:marTop w:val="0"/>
      <w:marBottom w:val="120"/>
      <w:divBdr>
        <w:top w:val="none" w:sz="0" w:space="0" w:color="auto"/>
        <w:left w:val="none" w:sz="0" w:space="0" w:color="auto"/>
        <w:bottom w:val="none" w:sz="0" w:space="0" w:color="auto"/>
        <w:right w:val="none" w:sz="0" w:space="0" w:color="auto"/>
      </w:divBdr>
    </w:div>
    <w:div w:id="1469282696">
      <w:marLeft w:val="0"/>
      <w:marRight w:val="0"/>
      <w:marTop w:val="0"/>
      <w:marBottom w:val="0"/>
      <w:divBdr>
        <w:top w:val="none" w:sz="0" w:space="0" w:color="auto"/>
        <w:left w:val="none" w:sz="0" w:space="0" w:color="auto"/>
        <w:bottom w:val="none" w:sz="0" w:space="0" w:color="auto"/>
        <w:right w:val="none" w:sz="0" w:space="0" w:color="auto"/>
      </w:divBdr>
      <w:divsChild>
        <w:div w:id="1723289401">
          <w:marLeft w:val="0"/>
          <w:marRight w:val="0"/>
          <w:marTop w:val="0"/>
          <w:marBottom w:val="120"/>
          <w:divBdr>
            <w:top w:val="none" w:sz="0" w:space="0" w:color="auto"/>
            <w:left w:val="none" w:sz="0" w:space="0" w:color="auto"/>
            <w:bottom w:val="none" w:sz="0" w:space="0" w:color="auto"/>
            <w:right w:val="none" w:sz="0" w:space="0" w:color="auto"/>
          </w:divBdr>
        </w:div>
      </w:divsChild>
    </w:div>
    <w:div w:id="1475024117">
      <w:marLeft w:val="0"/>
      <w:marRight w:val="0"/>
      <w:marTop w:val="240"/>
      <w:marBottom w:val="240"/>
      <w:divBdr>
        <w:top w:val="none" w:sz="0" w:space="0" w:color="auto"/>
        <w:left w:val="none" w:sz="0" w:space="0" w:color="auto"/>
        <w:bottom w:val="none" w:sz="0" w:space="0" w:color="auto"/>
        <w:right w:val="none" w:sz="0" w:space="0" w:color="auto"/>
      </w:divBdr>
    </w:div>
    <w:div w:id="1478571417">
      <w:marLeft w:val="0"/>
      <w:marRight w:val="0"/>
      <w:marTop w:val="0"/>
      <w:marBottom w:val="120"/>
      <w:divBdr>
        <w:top w:val="none" w:sz="0" w:space="0" w:color="auto"/>
        <w:left w:val="none" w:sz="0" w:space="0" w:color="auto"/>
        <w:bottom w:val="none" w:sz="0" w:space="0" w:color="auto"/>
        <w:right w:val="none" w:sz="0" w:space="0" w:color="auto"/>
      </w:divBdr>
    </w:div>
    <w:div w:id="1480610416">
      <w:marLeft w:val="0"/>
      <w:marRight w:val="0"/>
      <w:marTop w:val="100"/>
      <w:marBottom w:val="120"/>
      <w:divBdr>
        <w:top w:val="none" w:sz="0" w:space="0" w:color="auto"/>
        <w:left w:val="none" w:sz="0" w:space="0" w:color="auto"/>
        <w:bottom w:val="none" w:sz="0" w:space="0" w:color="auto"/>
        <w:right w:val="none" w:sz="0" w:space="0" w:color="auto"/>
      </w:divBdr>
    </w:div>
    <w:div w:id="1481340615">
      <w:marLeft w:val="0"/>
      <w:marRight w:val="0"/>
      <w:marTop w:val="240"/>
      <w:marBottom w:val="240"/>
      <w:divBdr>
        <w:top w:val="none" w:sz="0" w:space="0" w:color="auto"/>
        <w:left w:val="none" w:sz="0" w:space="0" w:color="auto"/>
        <w:bottom w:val="none" w:sz="0" w:space="0" w:color="auto"/>
        <w:right w:val="none" w:sz="0" w:space="0" w:color="auto"/>
      </w:divBdr>
    </w:div>
    <w:div w:id="1482651845">
      <w:marLeft w:val="0"/>
      <w:marRight w:val="0"/>
      <w:marTop w:val="0"/>
      <w:marBottom w:val="120"/>
      <w:divBdr>
        <w:top w:val="none" w:sz="0" w:space="0" w:color="auto"/>
        <w:left w:val="none" w:sz="0" w:space="0" w:color="auto"/>
        <w:bottom w:val="none" w:sz="0" w:space="0" w:color="auto"/>
        <w:right w:val="none" w:sz="0" w:space="0" w:color="auto"/>
      </w:divBdr>
    </w:div>
    <w:div w:id="1483932497">
      <w:marLeft w:val="0"/>
      <w:marRight w:val="0"/>
      <w:marTop w:val="240"/>
      <w:marBottom w:val="240"/>
      <w:divBdr>
        <w:top w:val="none" w:sz="0" w:space="0" w:color="auto"/>
        <w:left w:val="none" w:sz="0" w:space="0" w:color="auto"/>
        <w:bottom w:val="none" w:sz="0" w:space="0" w:color="auto"/>
        <w:right w:val="none" w:sz="0" w:space="0" w:color="auto"/>
      </w:divBdr>
    </w:div>
    <w:div w:id="1485664191">
      <w:marLeft w:val="0"/>
      <w:marRight w:val="0"/>
      <w:marTop w:val="0"/>
      <w:marBottom w:val="120"/>
      <w:divBdr>
        <w:top w:val="none" w:sz="0" w:space="0" w:color="auto"/>
        <w:left w:val="none" w:sz="0" w:space="0" w:color="auto"/>
        <w:bottom w:val="none" w:sz="0" w:space="0" w:color="auto"/>
        <w:right w:val="none" w:sz="0" w:space="0" w:color="auto"/>
      </w:divBdr>
    </w:div>
    <w:div w:id="1490360757">
      <w:marLeft w:val="0"/>
      <w:marRight w:val="0"/>
      <w:marTop w:val="240"/>
      <w:marBottom w:val="0"/>
      <w:divBdr>
        <w:top w:val="none" w:sz="0" w:space="0" w:color="auto"/>
        <w:left w:val="none" w:sz="0" w:space="0" w:color="auto"/>
        <w:bottom w:val="none" w:sz="0" w:space="0" w:color="auto"/>
        <w:right w:val="none" w:sz="0" w:space="0" w:color="auto"/>
      </w:divBdr>
    </w:div>
    <w:div w:id="1490947911">
      <w:marLeft w:val="0"/>
      <w:marRight w:val="0"/>
      <w:marTop w:val="0"/>
      <w:marBottom w:val="120"/>
      <w:divBdr>
        <w:top w:val="none" w:sz="0" w:space="0" w:color="auto"/>
        <w:left w:val="none" w:sz="0" w:space="0" w:color="auto"/>
        <w:bottom w:val="none" w:sz="0" w:space="0" w:color="auto"/>
        <w:right w:val="none" w:sz="0" w:space="0" w:color="auto"/>
      </w:divBdr>
    </w:div>
    <w:div w:id="1491630782">
      <w:marLeft w:val="0"/>
      <w:marRight w:val="0"/>
      <w:marTop w:val="0"/>
      <w:marBottom w:val="0"/>
      <w:divBdr>
        <w:top w:val="none" w:sz="0" w:space="0" w:color="auto"/>
        <w:left w:val="none" w:sz="0" w:space="0" w:color="auto"/>
        <w:bottom w:val="none" w:sz="0" w:space="0" w:color="auto"/>
        <w:right w:val="none" w:sz="0" w:space="0" w:color="auto"/>
      </w:divBdr>
      <w:divsChild>
        <w:div w:id="1192576651">
          <w:marLeft w:val="0"/>
          <w:marRight w:val="0"/>
          <w:marTop w:val="0"/>
          <w:marBottom w:val="0"/>
          <w:divBdr>
            <w:top w:val="none" w:sz="0" w:space="0" w:color="auto"/>
            <w:left w:val="none" w:sz="0" w:space="0" w:color="auto"/>
            <w:bottom w:val="none" w:sz="0" w:space="0" w:color="auto"/>
            <w:right w:val="none" w:sz="0" w:space="0" w:color="auto"/>
          </w:divBdr>
          <w:divsChild>
            <w:div w:id="999238728">
              <w:marLeft w:val="0"/>
              <w:marRight w:val="0"/>
              <w:marTop w:val="140"/>
              <w:marBottom w:val="120"/>
              <w:divBdr>
                <w:top w:val="none" w:sz="0" w:space="0" w:color="auto"/>
                <w:left w:val="none" w:sz="0" w:space="0" w:color="auto"/>
                <w:bottom w:val="none" w:sz="0" w:space="0" w:color="auto"/>
                <w:right w:val="none" w:sz="0" w:space="0" w:color="auto"/>
              </w:divBdr>
            </w:div>
            <w:div w:id="14549791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92065466">
      <w:marLeft w:val="0"/>
      <w:marRight w:val="0"/>
      <w:marTop w:val="0"/>
      <w:marBottom w:val="120"/>
      <w:divBdr>
        <w:top w:val="none" w:sz="0" w:space="0" w:color="auto"/>
        <w:left w:val="none" w:sz="0" w:space="0" w:color="auto"/>
        <w:bottom w:val="none" w:sz="0" w:space="0" w:color="auto"/>
        <w:right w:val="none" w:sz="0" w:space="0" w:color="auto"/>
      </w:divBdr>
    </w:div>
    <w:div w:id="1493907575">
      <w:marLeft w:val="0"/>
      <w:marRight w:val="0"/>
      <w:marTop w:val="0"/>
      <w:marBottom w:val="0"/>
      <w:divBdr>
        <w:top w:val="none" w:sz="0" w:space="0" w:color="auto"/>
        <w:left w:val="none" w:sz="0" w:space="0" w:color="auto"/>
        <w:bottom w:val="none" w:sz="0" w:space="0" w:color="auto"/>
        <w:right w:val="none" w:sz="0" w:space="0" w:color="auto"/>
      </w:divBdr>
    </w:div>
    <w:div w:id="1494686602">
      <w:marLeft w:val="0"/>
      <w:marRight w:val="0"/>
      <w:marTop w:val="0"/>
      <w:marBottom w:val="120"/>
      <w:divBdr>
        <w:top w:val="none" w:sz="0" w:space="0" w:color="auto"/>
        <w:left w:val="none" w:sz="0" w:space="0" w:color="auto"/>
        <w:bottom w:val="none" w:sz="0" w:space="0" w:color="auto"/>
        <w:right w:val="none" w:sz="0" w:space="0" w:color="auto"/>
      </w:divBdr>
    </w:div>
    <w:div w:id="1495873550">
      <w:marLeft w:val="0"/>
      <w:marRight w:val="0"/>
      <w:marTop w:val="0"/>
      <w:marBottom w:val="0"/>
      <w:divBdr>
        <w:top w:val="none" w:sz="0" w:space="0" w:color="auto"/>
        <w:left w:val="none" w:sz="0" w:space="0" w:color="auto"/>
        <w:bottom w:val="none" w:sz="0" w:space="0" w:color="auto"/>
        <w:right w:val="none" w:sz="0" w:space="0" w:color="auto"/>
      </w:divBdr>
      <w:divsChild>
        <w:div w:id="233319790">
          <w:marLeft w:val="0"/>
          <w:marRight w:val="0"/>
          <w:marTop w:val="0"/>
          <w:marBottom w:val="0"/>
          <w:divBdr>
            <w:top w:val="none" w:sz="0" w:space="0" w:color="auto"/>
            <w:left w:val="none" w:sz="0" w:space="0" w:color="auto"/>
            <w:bottom w:val="none" w:sz="0" w:space="0" w:color="auto"/>
            <w:right w:val="none" w:sz="0" w:space="0" w:color="auto"/>
          </w:divBdr>
          <w:divsChild>
            <w:div w:id="13914202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97183237">
      <w:marLeft w:val="0"/>
      <w:marRight w:val="0"/>
      <w:marTop w:val="0"/>
      <w:marBottom w:val="120"/>
      <w:divBdr>
        <w:top w:val="none" w:sz="0" w:space="0" w:color="auto"/>
        <w:left w:val="none" w:sz="0" w:space="0" w:color="auto"/>
        <w:bottom w:val="none" w:sz="0" w:space="0" w:color="auto"/>
        <w:right w:val="none" w:sz="0" w:space="0" w:color="auto"/>
      </w:divBdr>
    </w:div>
    <w:div w:id="1498110410">
      <w:marLeft w:val="0"/>
      <w:marRight w:val="0"/>
      <w:marTop w:val="0"/>
      <w:marBottom w:val="120"/>
      <w:divBdr>
        <w:top w:val="none" w:sz="0" w:space="0" w:color="auto"/>
        <w:left w:val="none" w:sz="0" w:space="0" w:color="auto"/>
        <w:bottom w:val="none" w:sz="0" w:space="0" w:color="auto"/>
        <w:right w:val="none" w:sz="0" w:space="0" w:color="auto"/>
      </w:divBdr>
    </w:div>
    <w:div w:id="1498577083">
      <w:marLeft w:val="0"/>
      <w:marRight w:val="0"/>
      <w:marTop w:val="0"/>
      <w:marBottom w:val="120"/>
      <w:divBdr>
        <w:top w:val="none" w:sz="0" w:space="0" w:color="auto"/>
        <w:left w:val="none" w:sz="0" w:space="0" w:color="auto"/>
        <w:bottom w:val="none" w:sz="0" w:space="0" w:color="auto"/>
        <w:right w:val="none" w:sz="0" w:space="0" w:color="auto"/>
      </w:divBdr>
    </w:div>
    <w:div w:id="1509058364">
      <w:marLeft w:val="0"/>
      <w:marRight w:val="0"/>
      <w:marTop w:val="0"/>
      <w:marBottom w:val="120"/>
      <w:divBdr>
        <w:top w:val="none" w:sz="0" w:space="0" w:color="auto"/>
        <w:left w:val="none" w:sz="0" w:space="0" w:color="auto"/>
        <w:bottom w:val="none" w:sz="0" w:space="0" w:color="auto"/>
        <w:right w:val="none" w:sz="0" w:space="0" w:color="auto"/>
      </w:divBdr>
    </w:div>
    <w:div w:id="1509325935">
      <w:marLeft w:val="0"/>
      <w:marRight w:val="0"/>
      <w:marTop w:val="0"/>
      <w:marBottom w:val="0"/>
      <w:divBdr>
        <w:top w:val="none" w:sz="0" w:space="0" w:color="auto"/>
        <w:left w:val="none" w:sz="0" w:space="0" w:color="auto"/>
        <w:bottom w:val="none" w:sz="0" w:space="0" w:color="auto"/>
        <w:right w:val="none" w:sz="0" w:space="0" w:color="auto"/>
      </w:divBdr>
      <w:divsChild>
        <w:div w:id="1534925755">
          <w:marLeft w:val="0"/>
          <w:marRight w:val="0"/>
          <w:marTop w:val="0"/>
          <w:marBottom w:val="120"/>
          <w:divBdr>
            <w:top w:val="none" w:sz="0" w:space="0" w:color="auto"/>
            <w:left w:val="none" w:sz="0" w:space="0" w:color="auto"/>
            <w:bottom w:val="none" w:sz="0" w:space="0" w:color="auto"/>
            <w:right w:val="none" w:sz="0" w:space="0" w:color="auto"/>
          </w:divBdr>
        </w:div>
      </w:divsChild>
    </w:div>
    <w:div w:id="1510634731">
      <w:marLeft w:val="0"/>
      <w:marRight w:val="0"/>
      <w:marTop w:val="0"/>
      <w:marBottom w:val="0"/>
      <w:divBdr>
        <w:top w:val="none" w:sz="0" w:space="0" w:color="auto"/>
        <w:left w:val="none" w:sz="0" w:space="0" w:color="auto"/>
        <w:bottom w:val="none" w:sz="0" w:space="0" w:color="auto"/>
        <w:right w:val="none" w:sz="0" w:space="0" w:color="auto"/>
      </w:divBdr>
      <w:divsChild>
        <w:div w:id="1316759904">
          <w:marLeft w:val="0"/>
          <w:marRight w:val="0"/>
          <w:marTop w:val="0"/>
          <w:marBottom w:val="0"/>
          <w:divBdr>
            <w:top w:val="none" w:sz="0" w:space="0" w:color="auto"/>
            <w:left w:val="none" w:sz="0" w:space="0" w:color="auto"/>
            <w:bottom w:val="none" w:sz="0" w:space="0" w:color="auto"/>
            <w:right w:val="none" w:sz="0" w:space="0" w:color="auto"/>
          </w:divBdr>
          <w:divsChild>
            <w:div w:id="2802641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10826992">
      <w:marLeft w:val="0"/>
      <w:marRight w:val="0"/>
      <w:marTop w:val="0"/>
      <w:marBottom w:val="120"/>
      <w:divBdr>
        <w:top w:val="none" w:sz="0" w:space="0" w:color="auto"/>
        <w:left w:val="none" w:sz="0" w:space="0" w:color="auto"/>
        <w:bottom w:val="none" w:sz="0" w:space="0" w:color="auto"/>
        <w:right w:val="none" w:sz="0" w:space="0" w:color="auto"/>
      </w:divBdr>
    </w:div>
    <w:div w:id="1513035173">
      <w:marLeft w:val="0"/>
      <w:marRight w:val="0"/>
      <w:marTop w:val="0"/>
      <w:marBottom w:val="120"/>
      <w:divBdr>
        <w:top w:val="none" w:sz="0" w:space="0" w:color="auto"/>
        <w:left w:val="none" w:sz="0" w:space="0" w:color="auto"/>
        <w:bottom w:val="none" w:sz="0" w:space="0" w:color="auto"/>
        <w:right w:val="none" w:sz="0" w:space="0" w:color="auto"/>
      </w:divBdr>
    </w:div>
    <w:div w:id="1514566265">
      <w:marLeft w:val="0"/>
      <w:marRight w:val="0"/>
      <w:marTop w:val="180"/>
      <w:marBottom w:val="120"/>
      <w:divBdr>
        <w:top w:val="none" w:sz="0" w:space="0" w:color="auto"/>
        <w:left w:val="none" w:sz="0" w:space="0" w:color="auto"/>
        <w:bottom w:val="none" w:sz="0" w:space="0" w:color="auto"/>
        <w:right w:val="none" w:sz="0" w:space="0" w:color="auto"/>
      </w:divBdr>
    </w:div>
    <w:div w:id="1517233438">
      <w:marLeft w:val="0"/>
      <w:marRight w:val="0"/>
      <w:marTop w:val="0"/>
      <w:marBottom w:val="120"/>
      <w:divBdr>
        <w:top w:val="none" w:sz="0" w:space="0" w:color="auto"/>
        <w:left w:val="none" w:sz="0" w:space="0" w:color="auto"/>
        <w:bottom w:val="none" w:sz="0" w:space="0" w:color="auto"/>
        <w:right w:val="none" w:sz="0" w:space="0" w:color="auto"/>
      </w:divBdr>
    </w:div>
    <w:div w:id="1520318744">
      <w:marLeft w:val="0"/>
      <w:marRight w:val="0"/>
      <w:marTop w:val="0"/>
      <w:marBottom w:val="140"/>
      <w:divBdr>
        <w:top w:val="none" w:sz="0" w:space="0" w:color="auto"/>
        <w:left w:val="none" w:sz="0" w:space="0" w:color="auto"/>
        <w:bottom w:val="none" w:sz="0" w:space="0" w:color="auto"/>
        <w:right w:val="none" w:sz="0" w:space="0" w:color="auto"/>
      </w:divBdr>
    </w:div>
    <w:div w:id="1522862698">
      <w:marLeft w:val="0"/>
      <w:marRight w:val="0"/>
      <w:marTop w:val="0"/>
      <w:marBottom w:val="0"/>
      <w:divBdr>
        <w:top w:val="none" w:sz="0" w:space="0" w:color="auto"/>
        <w:left w:val="none" w:sz="0" w:space="0" w:color="auto"/>
        <w:bottom w:val="none" w:sz="0" w:space="0" w:color="auto"/>
        <w:right w:val="none" w:sz="0" w:space="0" w:color="auto"/>
      </w:divBdr>
      <w:divsChild>
        <w:div w:id="1167746805">
          <w:marLeft w:val="0"/>
          <w:marRight w:val="0"/>
          <w:marTop w:val="0"/>
          <w:marBottom w:val="0"/>
          <w:divBdr>
            <w:top w:val="none" w:sz="0" w:space="0" w:color="auto"/>
            <w:left w:val="none" w:sz="0" w:space="0" w:color="auto"/>
            <w:bottom w:val="none" w:sz="0" w:space="0" w:color="auto"/>
            <w:right w:val="none" w:sz="0" w:space="0" w:color="auto"/>
          </w:divBdr>
          <w:divsChild>
            <w:div w:id="21307064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23669645">
      <w:marLeft w:val="0"/>
      <w:marRight w:val="0"/>
      <w:marTop w:val="0"/>
      <w:marBottom w:val="120"/>
      <w:divBdr>
        <w:top w:val="none" w:sz="0" w:space="0" w:color="auto"/>
        <w:left w:val="none" w:sz="0" w:space="0" w:color="auto"/>
        <w:bottom w:val="none" w:sz="0" w:space="0" w:color="auto"/>
        <w:right w:val="none" w:sz="0" w:space="0" w:color="auto"/>
      </w:divBdr>
    </w:div>
    <w:div w:id="1523738873">
      <w:marLeft w:val="0"/>
      <w:marRight w:val="0"/>
      <w:marTop w:val="0"/>
      <w:marBottom w:val="20"/>
      <w:divBdr>
        <w:top w:val="none" w:sz="0" w:space="0" w:color="auto"/>
        <w:left w:val="none" w:sz="0" w:space="0" w:color="auto"/>
        <w:bottom w:val="none" w:sz="0" w:space="0" w:color="auto"/>
        <w:right w:val="none" w:sz="0" w:space="0" w:color="auto"/>
      </w:divBdr>
      <w:divsChild>
        <w:div w:id="1844078766">
          <w:marLeft w:val="0"/>
          <w:marRight w:val="0"/>
          <w:marTop w:val="0"/>
          <w:marBottom w:val="0"/>
          <w:divBdr>
            <w:top w:val="none" w:sz="0" w:space="0" w:color="auto"/>
            <w:left w:val="none" w:sz="0" w:space="0" w:color="auto"/>
            <w:bottom w:val="none" w:sz="0" w:space="0" w:color="auto"/>
            <w:right w:val="none" w:sz="0" w:space="0" w:color="auto"/>
          </w:divBdr>
        </w:div>
      </w:divsChild>
    </w:div>
    <w:div w:id="1527058484">
      <w:marLeft w:val="0"/>
      <w:marRight w:val="0"/>
      <w:marTop w:val="0"/>
      <w:marBottom w:val="120"/>
      <w:divBdr>
        <w:top w:val="none" w:sz="0" w:space="0" w:color="auto"/>
        <w:left w:val="none" w:sz="0" w:space="0" w:color="auto"/>
        <w:bottom w:val="none" w:sz="0" w:space="0" w:color="auto"/>
        <w:right w:val="none" w:sz="0" w:space="0" w:color="auto"/>
      </w:divBdr>
    </w:div>
    <w:div w:id="1528055343">
      <w:marLeft w:val="0"/>
      <w:marRight w:val="0"/>
      <w:marTop w:val="0"/>
      <w:marBottom w:val="20"/>
      <w:divBdr>
        <w:top w:val="none" w:sz="0" w:space="0" w:color="auto"/>
        <w:left w:val="none" w:sz="0" w:space="0" w:color="auto"/>
        <w:bottom w:val="none" w:sz="0" w:space="0" w:color="auto"/>
        <w:right w:val="none" w:sz="0" w:space="0" w:color="auto"/>
      </w:divBdr>
      <w:divsChild>
        <w:div w:id="1391073226">
          <w:marLeft w:val="0"/>
          <w:marRight w:val="0"/>
          <w:marTop w:val="0"/>
          <w:marBottom w:val="0"/>
          <w:divBdr>
            <w:top w:val="none" w:sz="0" w:space="0" w:color="auto"/>
            <w:left w:val="none" w:sz="0" w:space="0" w:color="auto"/>
            <w:bottom w:val="none" w:sz="0" w:space="0" w:color="auto"/>
            <w:right w:val="none" w:sz="0" w:space="0" w:color="auto"/>
          </w:divBdr>
        </w:div>
      </w:divsChild>
    </w:div>
    <w:div w:id="1534688169">
      <w:marLeft w:val="0"/>
      <w:marRight w:val="0"/>
      <w:marTop w:val="0"/>
      <w:marBottom w:val="120"/>
      <w:divBdr>
        <w:top w:val="none" w:sz="0" w:space="0" w:color="auto"/>
        <w:left w:val="none" w:sz="0" w:space="0" w:color="auto"/>
        <w:bottom w:val="none" w:sz="0" w:space="0" w:color="auto"/>
        <w:right w:val="none" w:sz="0" w:space="0" w:color="auto"/>
      </w:divBdr>
    </w:div>
    <w:div w:id="1536385631">
      <w:marLeft w:val="0"/>
      <w:marRight w:val="0"/>
      <w:marTop w:val="240"/>
      <w:marBottom w:val="240"/>
      <w:divBdr>
        <w:top w:val="none" w:sz="0" w:space="0" w:color="auto"/>
        <w:left w:val="none" w:sz="0" w:space="0" w:color="auto"/>
        <w:bottom w:val="none" w:sz="0" w:space="0" w:color="auto"/>
        <w:right w:val="none" w:sz="0" w:space="0" w:color="auto"/>
      </w:divBdr>
    </w:div>
    <w:div w:id="1541280550">
      <w:marLeft w:val="0"/>
      <w:marRight w:val="0"/>
      <w:marTop w:val="0"/>
      <w:marBottom w:val="120"/>
      <w:divBdr>
        <w:top w:val="none" w:sz="0" w:space="0" w:color="auto"/>
        <w:left w:val="none" w:sz="0" w:space="0" w:color="auto"/>
        <w:bottom w:val="none" w:sz="0" w:space="0" w:color="auto"/>
        <w:right w:val="none" w:sz="0" w:space="0" w:color="auto"/>
      </w:divBdr>
    </w:div>
    <w:div w:id="1542089799">
      <w:marLeft w:val="0"/>
      <w:marRight w:val="0"/>
      <w:marTop w:val="0"/>
      <w:marBottom w:val="0"/>
      <w:divBdr>
        <w:top w:val="none" w:sz="0" w:space="0" w:color="auto"/>
        <w:left w:val="none" w:sz="0" w:space="0" w:color="auto"/>
        <w:bottom w:val="none" w:sz="0" w:space="0" w:color="auto"/>
        <w:right w:val="none" w:sz="0" w:space="0" w:color="auto"/>
      </w:divBdr>
    </w:div>
    <w:div w:id="1543402798">
      <w:marLeft w:val="0"/>
      <w:marRight w:val="0"/>
      <w:marTop w:val="0"/>
      <w:marBottom w:val="120"/>
      <w:divBdr>
        <w:top w:val="none" w:sz="0" w:space="0" w:color="auto"/>
        <w:left w:val="none" w:sz="0" w:space="0" w:color="auto"/>
        <w:bottom w:val="none" w:sz="0" w:space="0" w:color="auto"/>
        <w:right w:val="none" w:sz="0" w:space="0" w:color="auto"/>
      </w:divBdr>
    </w:div>
    <w:div w:id="1544708261">
      <w:marLeft w:val="0"/>
      <w:marRight w:val="0"/>
      <w:marTop w:val="0"/>
      <w:marBottom w:val="120"/>
      <w:divBdr>
        <w:top w:val="none" w:sz="0" w:space="0" w:color="auto"/>
        <w:left w:val="none" w:sz="0" w:space="0" w:color="auto"/>
        <w:bottom w:val="none" w:sz="0" w:space="0" w:color="auto"/>
        <w:right w:val="none" w:sz="0" w:space="0" w:color="auto"/>
      </w:divBdr>
    </w:div>
    <w:div w:id="1547721915">
      <w:marLeft w:val="0"/>
      <w:marRight w:val="0"/>
      <w:marTop w:val="240"/>
      <w:marBottom w:val="240"/>
      <w:divBdr>
        <w:top w:val="none" w:sz="0" w:space="0" w:color="auto"/>
        <w:left w:val="none" w:sz="0" w:space="0" w:color="auto"/>
        <w:bottom w:val="none" w:sz="0" w:space="0" w:color="auto"/>
        <w:right w:val="none" w:sz="0" w:space="0" w:color="auto"/>
      </w:divBdr>
    </w:div>
    <w:div w:id="1548026437">
      <w:marLeft w:val="0"/>
      <w:marRight w:val="0"/>
      <w:marTop w:val="240"/>
      <w:marBottom w:val="0"/>
      <w:divBdr>
        <w:top w:val="none" w:sz="0" w:space="0" w:color="auto"/>
        <w:left w:val="none" w:sz="0" w:space="0" w:color="auto"/>
        <w:bottom w:val="none" w:sz="0" w:space="0" w:color="auto"/>
        <w:right w:val="none" w:sz="0" w:space="0" w:color="auto"/>
      </w:divBdr>
    </w:div>
    <w:div w:id="1550459285">
      <w:marLeft w:val="0"/>
      <w:marRight w:val="0"/>
      <w:marTop w:val="0"/>
      <w:marBottom w:val="120"/>
      <w:divBdr>
        <w:top w:val="none" w:sz="0" w:space="0" w:color="auto"/>
        <w:left w:val="none" w:sz="0" w:space="0" w:color="auto"/>
        <w:bottom w:val="none" w:sz="0" w:space="0" w:color="auto"/>
        <w:right w:val="none" w:sz="0" w:space="0" w:color="auto"/>
      </w:divBdr>
    </w:div>
    <w:div w:id="1550805129">
      <w:marLeft w:val="0"/>
      <w:marRight w:val="0"/>
      <w:marTop w:val="0"/>
      <w:marBottom w:val="0"/>
      <w:divBdr>
        <w:top w:val="none" w:sz="0" w:space="0" w:color="auto"/>
        <w:left w:val="none" w:sz="0" w:space="0" w:color="auto"/>
        <w:bottom w:val="none" w:sz="0" w:space="0" w:color="auto"/>
        <w:right w:val="none" w:sz="0" w:space="0" w:color="auto"/>
      </w:divBdr>
    </w:div>
    <w:div w:id="1558131258">
      <w:marLeft w:val="0"/>
      <w:marRight w:val="0"/>
      <w:marTop w:val="0"/>
      <w:marBottom w:val="120"/>
      <w:divBdr>
        <w:top w:val="none" w:sz="0" w:space="0" w:color="auto"/>
        <w:left w:val="none" w:sz="0" w:space="0" w:color="auto"/>
        <w:bottom w:val="none" w:sz="0" w:space="0" w:color="auto"/>
        <w:right w:val="none" w:sz="0" w:space="0" w:color="auto"/>
      </w:divBdr>
    </w:div>
    <w:div w:id="1562211538">
      <w:marLeft w:val="0"/>
      <w:marRight w:val="0"/>
      <w:marTop w:val="0"/>
      <w:marBottom w:val="120"/>
      <w:divBdr>
        <w:top w:val="none" w:sz="0" w:space="0" w:color="auto"/>
        <w:left w:val="none" w:sz="0" w:space="0" w:color="auto"/>
        <w:bottom w:val="none" w:sz="0" w:space="0" w:color="auto"/>
        <w:right w:val="none" w:sz="0" w:space="0" w:color="auto"/>
      </w:divBdr>
    </w:div>
    <w:div w:id="1569261755">
      <w:marLeft w:val="0"/>
      <w:marRight w:val="0"/>
      <w:marTop w:val="0"/>
      <w:marBottom w:val="0"/>
      <w:divBdr>
        <w:top w:val="none" w:sz="0" w:space="0" w:color="auto"/>
        <w:left w:val="none" w:sz="0" w:space="0" w:color="auto"/>
        <w:bottom w:val="none" w:sz="0" w:space="0" w:color="auto"/>
        <w:right w:val="none" w:sz="0" w:space="0" w:color="auto"/>
      </w:divBdr>
      <w:divsChild>
        <w:div w:id="852576323">
          <w:marLeft w:val="0"/>
          <w:marRight w:val="0"/>
          <w:marTop w:val="0"/>
          <w:marBottom w:val="120"/>
          <w:divBdr>
            <w:top w:val="none" w:sz="0" w:space="0" w:color="auto"/>
            <w:left w:val="none" w:sz="0" w:space="0" w:color="auto"/>
            <w:bottom w:val="none" w:sz="0" w:space="0" w:color="auto"/>
            <w:right w:val="none" w:sz="0" w:space="0" w:color="auto"/>
          </w:divBdr>
        </w:div>
      </w:divsChild>
    </w:div>
    <w:div w:id="1573470599">
      <w:marLeft w:val="0"/>
      <w:marRight w:val="0"/>
      <w:marTop w:val="0"/>
      <w:marBottom w:val="0"/>
      <w:divBdr>
        <w:top w:val="none" w:sz="0" w:space="0" w:color="auto"/>
        <w:left w:val="none" w:sz="0" w:space="0" w:color="auto"/>
        <w:bottom w:val="none" w:sz="0" w:space="0" w:color="auto"/>
        <w:right w:val="none" w:sz="0" w:space="0" w:color="auto"/>
      </w:divBdr>
    </w:div>
    <w:div w:id="1576822888">
      <w:marLeft w:val="0"/>
      <w:marRight w:val="0"/>
      <w:marTop w:val="240"/>
      <w:marBottom w:val="240"/>
      <w:divBdr>
        <w:top w:val="none" w:sz="0" w:space="0" w:color="auto"/>
        <w:left w:val="none" w:sz="0" w:space="0" w:color="auto"/>
        <w:bottom w:val="none" w:sz="0" w:space="0" w:color="auto"/>
        <w:right w:val="none" w:sz="0" w:space="0" w:color="auto"/>
      </w:divBdr>
    </w:div>
    <w:div w:id="1577546587">
      <w:marLeft w:val="0"/>
      <w:marRight w:val="0"/>
      <w:marTop w:val="0"/>
      <w:marBottom w:val="120"/>
      <w:divBdr>
        <w:top w:val="none" w:sz="0" w:space="0" w:color="auto"/>
        <w:left w:val="none" w:sz="0" w:space="0" w:color="auto"/>
        <w:bottom w:val="none" w:sz="0" w:space="0" w:color="auto"/>
        <w:right w:val="none" w:sz="0" w:space="0" w:color="auto"/>
      </w:divBdr>
    </w:div>
    <w:div w:id="1577858870">
      <w:marLeft w:val="0"/>
      <w:marRight w:val="0"/>
      <w:marTop w:val="0"/>
      <w:marBottom w:val="0"/>
      <w:divBdr>
        <w:top w:val="none" w:sz="0" w:space="0" w:color="auto"/>
        <w:left w:val="none" w:sz="0" w:space="0" w:color="auto"/>
        <w:bottom w:val="none" w:sz="0" w:space="0" w:color="auto"/>
        <w:right w:val="none" w:sz="0" w:space="0" w:color="auto"/>
      </w:divBdr>
      <w:divsChild>
        <w:div w:id="771633508">
          <w:marLeft w:val="0"/>
          <w:marRight w:val="0"/>
          <w:marTop w:val="0"/>
          <w:marBottom w:val="0"/>
          <w:divBdr>
            <w:top w:val="none" w:sz="0" w:space="0" w:color="auto"/>
            <w:left w:val="none" w:sz="0" w:space="0" w:color="auto"/>
            <w:bottom w:val="none" w:sz="0" w:space="0" w:color="auto"/>
            <w:right w:val="none" w:sz="0" w:space="0" w:color="auto"/>
          </w:divBdr>
          <w:divsChild>
            <w:div w:id="21060286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84484865">
      <w:marLeft w:val="0"/>
      <w:marRight w:val="0"/>
      <w:marTop w:val="0"/>
      <w:marBottom w:val="120"/>
      <w:divBdr>
        <w:top w:val="none" w:sz="0" w:space="0" w:color="auto"/>
        <w:left w:val="none" w:sz="0" w:space="0" w:color="auto"/>
        <w:bottom w:val="none" w:sz="0" w:space="0" w:color="auto"/>
        <w:right w:val="none" w:sz="0" w:space="0" w:color="auto"/>
      </w:divBdr>
    </w:div>
    <w:div w:id="1584677587">
      <w:marLeft w:val="0"/>
      <w:marRight w:val="0"/>
      <w:marTop w:val="0"/>
      <w:marBottom w:val="120"/>
      <w:divBdr>
        <w:top w:val="none" w:sz="0" w:space="0" w:color="auto"/>
        <w:left w:val="none" w:sz="0" w:space="0" w:color="auto"/>
        <w:bottom w:val="none" w:sz="0" w:space="0" w:color="auto"/>
        <w:right w:val="none" w:sz="0" w:space="0" w:color="auto"/>
      </w:divBdr>
    </w:div>
    <w:div w:id="1588265443">
      <w:marLeft w:val="0"/>
      <w:marRight w:val="0"/>
      <w:marTop w:val="0"/>
      <w:marBottom w:val="120"/>
      <w:divBdr>
        <w:top w:val="none" w:sz="0" w:space="0" w:color="auto"/>
        <w:left w:val="none" w:sz="0" w:space="0" w:color="auto"/>
        <w:bottom w:val="none" w:sz="0" w:space="0" w:color="auto"/>
        <w:right w:val="none" w:sz="0" w:space="0" w:color="auto"/>
      </w:divBdr>
    </w:div>
    <w:div w:id="1588271956">
      <w:marLeft w:val="0"/>
      <w:marRight w:val="0"/>
      <w:marTop w:val="0"/>
      <w:marBottom w:val="120"/>
      <w:divBdr>
        <w:top w:val="none" w:sz="0" w:space="0" w:color="auto"/>
        <w:left w:val="none" w:sz="0" w:space="0" w:color="auto"/>
        <w:bottom w:val="none" w:sz="0" w:space="0" w:color="auto"/>
        <w:right w:val="none" w:sz="0" w:space="0" w:color="auto"/>
      </w:divBdr>
    </w:div>
    <w:div w:id="1588735751">
      <w:marLeft w:val="0"/>
      <w:marRight w:val="0"/>
      <w:marTop w:val="0"/>
      <w:marBottom w:val="120"/>
      <w:divBdr>
        <w:top w:val="none" w:sz="0" w:space="0" w:color="auto"/>
        <w:left w:val="none" w:sz="0" w:space="0" w:color="auto"/>
        <w:bottom w:val="none" w:sz="0" w:space="0" w:color="auto"/>
        <w:right w:val="none" w:sz="0" w:space="0" w:color="auto"/>
      </w:divBdr>
    </w:div>
    <w:div w:id="1593852184">
      <w:marLeft w:val="0"/>
      <w:marRight w:val="0"/>
      <w:marTop w:val="0"/>
      <w:marBottom w:val="120"/>
      <w:divBdr>
        <w:top w:val="none" w:sz="0" w:space="0" w:color="auto"/>
        <w:left w:val="none" w:sz="0" w:space="0" w:color="auto"/>
        <w:bottom w:val="none" w:sz="0" w:space="0" w:color="auto"/>
        <w:right w:val="none" w:sz="0" w:space="0" w:color="auto"/>
      </w:divBdr>
    </w:div>
    <w:div w:id="1596550325">
      <w:marLeft w:val="0"/>
      <w:marRight w:val="0"/>
      <w:marTop w:val="0"/>
      <w:marBottom w:val="240"/>
      <w:divBdr>
        <w:top w:val="none" w:sz="0" w:space="0" w:color="auto"/>
        <w:left w:val="none" w:sz="0" w:space="0" w:color="auto"/>
        <w:bottom w:val="none" w:sz="0" w:space="0" w:color="auto"/>
        <w:right w:val="none" w:sz="0" w:space="0" w:color="auto"/>
      </w:divBdr>
    </w:div>
    <w:div w:id="1596866810">
      <w:marLeft w:val="0"/>
      <w:marRight w:val="0"/>
      <w:marTop w:val="0"/>
      <w:marBottom w:val="20"/>
      <w:divBdr>
        <w:top w:val="none" w:sz="0" w:space="0" w:color="auto"/>
        <w:left w:val="none" w:sz="0" w:space="0" w:color="auto"/>
        <w:bottom w:val="none" w:sz="0" w:space="0" w:color="auto"/>
        <w:right w:val="none" w:sz="0" w:space="0" w:color="auto"/>
      </w:divBdr>
    </w:div>
    <w:div w:id="1598244849">
      <w:marLeft w:val="0"/>
      <w:marRight w:val="0"/>
      <w:marTop w:val="0"/>
      <w:marBottom w:val="120"/>
      <w:divBdr>
        <w:top w:val="none" w:sz="0" w:space="0" w:color="auto"/>
        <w:left w:val="none" w:sz="0" w:space="0" w:color="auto"/>
        <w:bottom w:val="none" w:sz="0" w:space="0" w:color="auto"/>
        <w:right w:val="none" w:sz="0" w:space="0" w:color="auto"/>
      </w:divBdr>
    </w:div>
    <w:div w:id="1604070988">
      <w:marLeft w:val="0"/>
      <w:marRight w:val="0"/>
      <w:marTop w:val="0"/>
      <w:marBottom w:val="0"/>
      <w:divBdr>
        <w:top w:val="none" w:sz="0" w:space="0" w:color="auto"/>
        <w:left w:val="none" w:sz="0" w:space="0" w:color="auto"/>
        <w:bottom w:val="none" w:sz="0" w:space="0" w:color="auto"/>
        <w:right w:val="none" w:sz="0" w:space="0" w:color="auto"/>
      </w:divBdr>
      <w:divsChild>
        <w:div w:id="49109701">
          <w:marLeft w:val="0"/>
          <w:marRight w:val="0"/>
          <w:marTop w:val="0"/>
          <w:marBottom w:val="120"/>
          <w:divBdr>
            <w:top w:val="none" w:sz="0" w:space="0" w:color="auto"/>
            <w:left w:val="none" w:sz="0" w:space="0" w:color="auto"/>
            <w:bottom w:val="none" w:sz="0" w:space="0" w:color="auto"/>
            <w:right w:val="none" w:sz="0" w:space="0" w:color="auto"/>
          </w:divBdr>
        </w:div>
      </w:divsChild>
    </w:div>
    <w:div w:id="1606958080">
      <w:marLeft w:val="0"/>
      <w:marRight w:val="0"/>
      <w:marTop w:val="0"/>
      <w:marBottom w:val="0"/>
      <w:divBdr>
        <w:top w:val="none" w:sz="0" w:space="0" w:color="auto"/>
        <w:left w:val="none" w:sz="0" w:space="0" w:color="auto"/>
        <w:bottom w:val="none" w:sz="0" w:space="0" w:color="auto"/>
        <w:right w:val="none" w:sz="0" w:space="0" w:color="auto"/>
      </w:divBdr>
    </w:div>
    <w:div w:id="1607275529">
      <w:marLeft w:val="0"/>
      <w:marRight w:val="0"/>
      <w:marTop w:val="0"/>
      <w:marBottom w:val="120"/>
      <w:divBdr>
        <w:top w:val="none" w:sz="0" w:space="0" w:color="auto"/>
        <w:left w:val="none" w:sz="0" w:space="0" w:color="auto"/>
        <w:bottom w:val="none" w:sz="0" w:space="0" w:color="auto"/>
        <w:right w:val="none" w:sz="0" w:space="0" w:color="auto"/>
      </w:divBdr>
    </w:div>
    <w:div w:id="1609579838">
      <w:marLeft w:val="0"/>
      <w:marRight w:val="0"/>
      <w:marTop w:val="0"/>
      <w:marBottom w:val="0"/>
      <w:divBdr>
        <w:top w:val="none" w:sz="0" w:space="0" w:color="auto"/>
        <w:left w:val="none" w:sz="0" w:space="0" w:color="auto"/>
        <w:bottom w:val="none" w:sz="0" w:space="0" w:color="auto"/>
        <w:right w:val="none" w:sz="0" w:space="0" w:color="auto"/>
      </w:divBdr>
      <w:divsChild>
        <w:div w:id="1324312999">
          <w:marLeft w:val="0"/>
          <w:marRight w:val="0"/>
          <w:marTop w:val="0"/>
          <w:marBottom w:val="120"/>
          <w:divBdr>
            <w:top w:val="none" w:sz="0" w:space="0" w:color="auto"/>
            <w:left w:val="none" w:sz="0" w:space="0" w:color="auto"/>
            <w:bottom w:val="none" w:sz="0" w:space="0" w:color="auto"/>
            <w:right w:val="none" w:sz="0" w:space="0" w:color="auto"/>
          </w:divBdr>
        </w:div>
      </w:divsChild>
    </w:div>
    <w:div w:id="1610118976">
      <w:marLeft w:val="0"/>
      <w:marRight w:val="0"/>
      <w:marTop w:val="0"/>
      <w:marBottom w:val="120"/>
      <w:divBdr>
        <w:top w:val="none" w:sz="0" w:space="0" w:color="auto"/>
        <w:left w:val="none" w:sz="0" w:space="0" w:color="auto"/>
        <w:bottom w:val="none" w:sz="0" w:space="0" w:color="auto"/>
        <w:right w:val="none" w:sz="0" w:space="0" w:color="auto"/>
      </w:divBdr>
    </w:div>
    <w:div w:id="1615164118">
      <w:marLeft w:val="0"/>
      <w:marRight w:val="0"/>
      <w:marTop w:val="0"/>
      <w:marBottom w:val="120"/>
      <w:divBdr>
        <w:top w:val="none" w:sz="0" w:space="0" w:color="auto"/>
        <w:left w:val="none" w:sz="0" w:space="0" w:color="auto"/>
        <w:bottom w:val="none" w:sz="0" w:space="0" w:color="auto"/>
        <w:right w:val="none" w:sz="0" w:space="0" w:color="auto"/>
      </w:divBdr>
    </w:div>
    <w:div w:id="1615556381">
      <w:marLeft w:val="0"/>
      <w:marRight w:val="0"/>
      <w:marTop w:val="0"/>
      <w:marBottom w:val="120"/>
      <w:divBdr>
        <w:top w:val="none" w:sz="0" w:space="0" w:color="auto"/>
        <w:left w:val="none" w:sz="0" w:space="0" w:color="auto"/>
        <w:bottom w:val="none" w:sz="0" w:space="0" w:color="auto"/>
        <w:right w:val="none" w:sz="0" w:space="0" w:color="auto"/>
      </w:divBdr>
    </w:div>
    <w:div w:id="1620721687">
      <w:marLeft w:val="0"/>
      <w:marRight w:val="0"/>
      <w:marTop w:val="0"/>
      <w:marBottom w:val="120"/>
      <w:divBdr>
        <w:top w:val="none" w:sz="0" w:space="0" w:color="auto"/>
        <w:left w:val="none" w:sz="0" w:space="0" w:color="auto"/>
        <w:bottom w:val="none" w:sz="0" w:space="0" w:color="auto"/>
        <w:right w:val="none" w:sz="0" w:space="0" w:color="auto"/>
      </w:divBdr>
      <w:divsChild>
        <w:div w:id="1427388942">
          <w:marLeft w:val="0"/>
          <w:marRight w:val="0"/>
          <w:marTop w:val="0"/>
          <w:marBottom w:val="0"/>
          <w:divBdr>
            <w:top w:val="none" w:sz="0" w:space="0" w:color="auto"/>
            <w:left w:val="none" w:sz="0" w:space="0" w:color="auto"/>
            <w:bottom w:val="none" w:sz="0" w:space="0" w:color="auto"/>
            <w:right w:val="none" w:sz="0" w:space="0" w:color="auto"/>
          </w:divBdr>
        </w:div>
        <w:div w:id="922641536">
          <w:marLeft w:val="0"/>
          <w:marRight w:val="0"/>
          <w:marTop w:val="0"/>
          <w:marBottom w:val="0"/>
          <w:divBdr>
            <w:top w:val="none" w:sz="0" w:space="0" w:color="auto"/>
            <w:left w:val="none" w:sz="0" w:space="0" w:color="auto"/>
            <w:bottom w:val="none" w:sz="0" w:space="0" w:color="auto"/>
            <w:right w:val="none" w:sz="0" w:space="0" w:color="auto"/>
          </w:divBdr>
        </w:div>
      </w:divsChild>
    </w:div>
    <w:div w:id="1628510100">
      <w:marLeft w:val="0"/>
      <w:marRight w:val="0"/>
      <w:marTop w:val="0"/>
      <w:marBottom w:val="120"/>
      <w:divBdr>
        <w:top w:val="none" w:sz="0" w:space="0" w:color="auto"/>
        <w:left w:val="none" w:sz="0" w:space="0" w:color="auto"/>
        <w:bottom w:val="none" w:sz="0" w:space="0" w:color="auto"/>
        <w:right w:val="none" w:sz="0" w:space="0" w:color="auto"/>
      </w:divBdr>
    </w:div>
    <w:div w:id="1631935816">
      <w:marLeft w:val="0"/>
      <w:marRight w:val="0"/>
      <w:marTop w:val="0"/>
      <w:marBottom w:val="0"/>
      <w:divBdr>
        <w:top w:val="none" w:sz="0" w:space="0" w:color="auto"/>
        <w:left w:val="none" w:sz="0" w:space="0" w:color="auto"/>
        <w:bottom w:val="none" w:sz="0" w:space="0" w:color="auto"/>
        <w:right w:val="none" w:sz="0" w:space="0" w:color="auto"/>
      </w:divBdr>
    </w:div>
    <w:div w:id="1637098586">
      <w:marLeft w:val="0"/>
      <w:marRight w:val="0"/>
      <w:marTop w:val="240"/>
      <w:marBottom w:val="240"/>
      <w:divBdr>
        <w:top w:val="none" w:sz="0" w:space="0" w:color="auto"/>
        <w:left w:val="none" w:sz="0" w:space="0" w:color="auto"/>
        <w:bottom w:val="none" w:sz="0" w:space="0" w:color="auto"/>
        <w:right w:val="none" w:sz="0" w:space="0" w:color="auto"/>
      </w:divBdr>
    </w:div>
    <w:div w:id="1639802241">
      <w:marLeft w:val="0"/>
      <w:marRight w:val="0"/>
      <w:marTop w:val="0"/>
      <w:marBottom w:val="120"/>
      <w:divBdr>
        <w:top w:val="none" w:sz="0" w:space="0" w:color="auto"/>
        <w:left w:val="none" w:sz="0" w:space="0" w:color="auto"/>
        <w:bottom w:val="none" w:sz="0" w:space="0" w:color="auto"/>
        <w:right w:val="none" w:sz="0" w:space="0" w:color="auto"/>
      </w:divBdr>
    </w:div>
    <w:div w:id="1641184456">
      <w:marLeft w:val="0"/>
      <w:marRight w:val="0"/>
      <w:marTop w:val="240"/>
      <w:marBottom w:val="0"/>
      <w:divBdr>
        <w:top w:val="none" w:sz="0" w:space="0" w:color="auto"/>
        <w:left w:val="none" w:sz="0" w:space="0" w:color="auto"/>
        <w:bottom w:val="none" w:sz="0" w:space="0" w:color="auto"/>
        <w:right w:val="none" w:sz="0" w:space="0" w:color="auto"/>
      </w:divBdr>
    </w:div>
    <w:div w:id="1642156494">
      <w:marLeft w:val="0"/>
      <w:marRight w:val="0"/>
      <w:marTop w:val="0"/>
      <w:marBottom w:val="120"/>
      <w:divBdr>
        <w:top w:val="none" w:sz="0" w:space="0" w:color="auto"/>
        <w:left w:val="none" w:sz="0" w:space="0" w:color="auto"/>
        <w:bottom w:val="none" w:sz="0" w:space="0" w:color="auto"/>
        <w:right w:val="none" w:sz="0" w:space="0" w:color="auto"/>
      </w:divBdr>
    </w:div>
    <w:div w:id="1648440214">
      <w:marLeft w:val="0"/>
      <w:marRight w:val="0"/>
      <w:marTop w:val="0"/>
      <w:marBottom w:val="0"/>
      <w:divBdr>
        <w:top w:val="none" w:sz="0" w:space="0" w:color="auto"/>
        <w:left w:val="none" w:sz="0" w:space="0" w:color="auto"/>
        <w:bottom w:val="none" w:sz="0" w:space="0" w:color="auto"/>
        <w:right w:val="none" w:sz="0" w:space="0" w:color="auto"/>
      </w:divBdr>
      <w:divsChild>
        <w:div w:id="2004625300">
          <w:marLeft w:val="0"/>
          <w:marRight w:val="0"/>
          <w:marTop w:val="0"/>
          <w:marBottom w:val="120"/>
          <w:divBdr>
            <w:top w:val="none" w:sz="0" w:space="0" w:color="auto"/>
            <w:left w:val="none" w:sz="0" w:space="0" w:color="auto"/>
            <w:bottom w:val="none" w:sz="0" w:space="0" w:color="auto"/>
            <w:right w:val="none" w:sz="0" w:space="0" w:color="auto"/>
          </w:divBdr>
        </w:div>
      </w:divsChild>
    </w:div>
    <w:div w:id="1649557356">
      <w:marLeft w:val="0"/>
      <w:marRight w:val="0"/>
      <w:marTop w:val="240"/>
      <w:marBottom w:val="0"/>
      <w:divBdr>
        <w:top w:val="none" w:sz="0" w:space="0" w:color="auto"/>
        <w:left w:val="none" w:sz="0" w:space="0" w:color="auto"/>
        <w:bottom w:val="none" w:sz="0" w:space="0" w:color="auto"/>
        <w:right w:val="none" w:sz="0" w:space="0" w:color="auto"/>
      </w:divBdr>
    </w:div>
    <w:div w:id="1649704355">
      <w:marLeft w:val="0"/>
      <w:marRight w:val="0"/>
      <w:marTop w:val="0"/>
      <w:marBottom w:val="0"/>
      <w:divBdr>
        <w:top w:val="none" w:sz="0" w:space="0" w:color="auto"/>
        <w:left w:val="none" w:sz="0" w:space="0" w:color="auto"/>
        <w:bottom w:val="none" w:sz="0" w:space="0" w:color="auto"/>
        <w:right w:val="none" w:sz="0" w:space="0" w:color="auto"/>
      </w:divBdr>
      <w:divsChild>
        <w:div w:id="234553663">
          <w:marLeft w:val="0"/>
          <w:marRight w:val="0"/>
          <w:marTop w:val="0"/>
          <w:marBottom w:val="0"/>
          <w:divBdr>
            <w:top w:val="none" w:sz="0" w:space="0" w:color="auto"/>
            <w:left w:val="none" w:sz="0" w:space="0" w:color="auto"/>
            <w:bottom w:val="none" w:sz="0" w:space="0" w:color="auto"/>
            <w:right w:val="none" w:sz="0" w:space="0" w:color="auto"/>
          </w:divBdr>
          <w:divsChild>
            <w:div w:id="1922276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49943610">
      <w:marLeft w:val="0"/>
      <w:marRight w:val="0"/>
      <w:marTop w:val="0"/>
      <w:marBottom w:val="120"/>
      <w:divBdr>
        <w:top w:val="none" w:sz="0" w:space="0" w:color="auto"/>
        <w:left w:val="none" w:sz="0" w:space="0" w:color="auto"/>
        <w:bottom w:val="none" w:sz="0" w:space="0" w:color="auto"/>
        <w:right w:val="none" w:sz="0" w:space="0" w:color="auto"/>
      </w:divBdr>
    </w:div>
    <w:div w:id="1650939917">
      <w:marLeft w:val="0"/>
      <w:marRight w:val="0"/>
      <w:marTop w:val="240"/>
      <w:marBottom w:val="0"/>
      <w:divBdr>
        <w:top w:val="none" w:sz="0" w:space="0" w:color="auto"/>
        <w:left w:val="none" w:sz="0" w:space="0" w:color="auto"/>
        <w:bottom w:val="none" w:sz="0" w:space="0" w:color="auto"/>
        <w:right w:val="none" w:sz="0" w:space="0" w:color="auto"/>
      </w:divBdr>
    </w:div>
    <w:div w:id="1651788567">
      <w:marLeft w:val="0"/>
      <w:marRight w:val="0"/>
      <w:marTop w:val="0"/>
      <w:marBottom w:val="120"/>
      <w:divBdr>
        <w:top w:val="none" w:sz="0" w:space="0" w:color="auto"/>
        <w:left w:val="none" w:sz="0" w:space="0" w:color="auto"/>
        <w:bottom w:val="none" w:sz="0" w:space="0" w:color="auto"/>
        <w:right w:val="none" w:sz="0" w:space="0" w:color="auto"/>
      </w:divBdr>
    </w:div>
    <w:div w:id="1652906405">
      <w:marLeft w:val="0"/>
      <w:marRight w:val="0"/>
      <w:marTop w:val="240"/>
      <w:marBottom w:val="0"/>
      <w:divBdr>
        <w:top w:val="none" w:sz="0" w:space="0" w:color="auto"/>
        <w:left w:val="none" w:sz="0" w:space="0" w:color="auto"/>
        <w:bottom w:val="none" w:sz="0" w:space="0" w:color="auto"/>
        <w:right w:val="none" w:sz="0" w:space="0" w:color="auto"/>
      </w:divBdr>
    </w:div>
    <w:div w:id="1654328910">
      <w:marLeft w:val="0"/>
      <w:marRight w:val="0"/>
      <w:marTop w:val="0"/>
      <w:marBottom w:val="20"/>
      <w:divBdr>
        <w:top w:val="none" w:sz="0" w:space="0" w:color="auto"/>
        <w:left w:val="none" w:sz="0" w:space="0" w:color="auto"/>
        <w:bottom w:val="none" w:sz="0" w:space="0" w:color="auto"/>
        <w:right w:val="none" w:sz="0" w:space="0" w:color="auto"/>
      </w:divBdr>
    </w:div>
    <w:div w:id="1654526869">
      <w:marLeft w:val="0"/>
      <w:marRight w:val="0"/>
      <w:marTop w:val="0"/>
      <w:marBottom w:val="0"/>
      <w:divBdr>
        <w:top w:val="none" w:sz="0" w:space="0" w:color="auto"/>
        <w:left w:val="none" w:sz="0" w:space="0" w:color="auto"/>
        <w:bottom w:val="none" w:sz="0" w:space="0" w:color="auto"/>
        <w:right w:val="none" w:sz="0" w:space="0" w:color="auto"/>
      </w:divBdr>
    </w:div>
    <w:div w:id="1655179581">
      <w:marLeft w:val="0"/>
      <w:marRight w:val="0"/>
      <w:marTop w:val="160"/>
      <w:marBottom w:val="120"/>
      <w:divBdr>
        <w:top w:val="none" w:sz="0" w:space="0" w:color="auto"/>
        <w:left w:val="none" w:sz="0" w:space="0" w:color="auto"/>
        <w:bottom w:val="none" w:sz="0" w:space="0" w:color="auto"/>
        <w:right w:val="none" w:sz="0" w:space="0" w:color="auto"/>
      </w:divBdr>
    </w:div>
    <w:div w:id="1657151147">
      <w:marLeft w:val="0"/>
      <w:marRight w:val="0"/>
      <w:marTop w:val="0"/>
      <w:marBottom w:val="120"/>
      <w:divBdr>
        <w:top w:val="none" w:sz="0" w:space="0" w:color="auto"/>
        <w:left w:val="none" w:sz="0" w:space="0" w:color="auto"/>
        <w:bottom w:val="none" w:sz="0" w:space="0" w:color="auto"/>
        <w:right w:val="none" w:sz="0" w:space="0" w:color="auto"/>
      </w:divBdr>
    </w:div>
    <w:div w:id="1658147142">
      <w:marLeft w:val="0"/>
      <w:marRight w:val="0"/>
      <w:marTop w:val="0"/>
      <w:marBottom w:val="120"/>
      <w:divBdr>
        <w:top w:val="none" w:sz="0" w:space="0" w:color="auto"/>
        <w:left w:val="none" w:sz="0" w:space="0" w:color="auto"/>
        <w:bottom w:val="none" w:sz="0" w:space="0" w:color="auto"/>
        <w:right w:val="none" w:sz="0" w:space="0" w:color="auto"/>
      </w:divBdr>
    </w:div>
    <w:div w:id="1658336908">
      <w:marLeft w:val="0"/>
      <w:marRight w:val="0"/>
      <w:marTop w:val="0"/>
      <w:marBottom w:val="120"/>
      <w:divBdr>
        <w:top w:val="none" w:sz="0" w:space="0" w:color="auto"/>
        <w:left w:val="none" w:sz="0" w:space="0" w:color="auto"/>
        <w:bottom w:val="none" w:sz="0" w:space="0" w:color="auto"/>
        <w:right w:val="none" w:sz="0" w:space="0" w:color="auto"/>
      </w:divBdr>
    </w:div>
    <w:div w:id="1658875430">
      <w:marLeft w:val="0"/>
      <w:marRight w:val="0"/>
      <w:marTop w:val="0"/>
      <w:marBottom w:val="120"/>
      <w:divBdr>
        <w:top w:val="none" w:sz="0" w:space="0" w:color="auto"/>
        <w:left w:val="none" w:sz="0" w:space="0" w:color="auto"/>
        <w:bottom w:val="none" w:sz="0" w:space="0" w:color="auto"/>
        <w:right w:val="none" w:sz="0" w:space="0" w:color="auto"/>
      </w:divBdr>
    </w:div>
    <w:div w:id="1660693342">
      <w:marLeft w:val="0"/>
      <w:marRight w:val="0"/>
      <w:marTop w:val="0"/>
      <w:marBottom w:val="120"/>
      <w:divBdr>
        <w:top w:val="none" w:sz="0" w:space="0" w:color="auto"/>
        <w:left w:val="none" w:sz="0" w:space="0" w:color="auto"/>
        <w:bottom w:val="none" w:sz="0" w:space="0" w:color="auto"/>
        <w:right w:val="none" w:sz="0" w:space="0" w:color="auto"/>
      </w:divBdr>
    </w:div>
    <w:div w:id="1661538423">
      <w:marLeft w:val="0"/>
      <w:marRight w:val="0"/>
      <w:marTop w:val="0"/>
      <w:marBottom w:val="120"/>
      <w:divBdr>
        <w:top w:val="none" w:sz="0" w:space="0" w:color="auto"/>
        <w:left w:val="none" w:sz="0" w:space="0" w:color="auto"/>
        <w:bottom w:val="none" w:sz="0" w:space="0" w:color="auto"/>
        <w:right w:val="none" w:sz="0" w:space="0" w:color="auto"/>
      </w:divBdr>
    </w:div>
    <w:div w:id="1662002025">
      <w:marLeft w:val="0"/>
      <w:marRight w:val="0"/>
      <w:marTop w:val="0"/>
      <w:marBottom w:val="120"/>
      <w:divBdr>
        <w:top w:val="none" w:sz="0" w:space="0" w:color="auto"/>
        <w:left w:val="none" w:sz="0" w:space="0" w:color="auto"/>
        <w:bottom w:val="none" w:sz="0" w:space="0" w:color="auto"/>
        <w:right w:val="none" w:sz="0" w:space="0" w:color="auto"/>
      </w:divBdr>
    </w:div>
    <w:div w:id="1662613423">
      <w:marLeft w:val="0"/>
      <w:marRight w:val="0"/>
      <w:marTop w:val="0"/>
      <w:marBottom w:val="120"/>
      <w:divBdr>
        <w:top w:val="none" w:sz="0" w:space="0" w:color="auto"/>
        <w:left w:val="none" w:sz="0" w:space="0" w:color="auto"/>
        <w:bottom w:val="none" w:sz="0" w:space="0" w:color="auto"/>
        <w:right w:val="none" w:sz="0" w:space="0" w:color="auto"/>
      </w:divBdr>
    </w:div>
    <w:div w:id="1665008460">
      <w:marLeft w:val="0"/>
      <w:marRight w:val="0"/>
      <w:marTop w:val="0"/>
      <w:marBottom w:val="120"/>
      <w:divBdr>
        <w:top w:val="none" w:sz="0" w:space="0" w:color="auto"/>
        <w:left w:val="none" w:sz="0" w:space="0" w:color="auto"/>
        <w:bottom w:val="none" w:sz="0" w:space="0" w:color="auto"/>
        <w:right w:val="none" w:sz="0" w:space="0" w:color="auto"/>
      </w:divBdr>
    </w:div>
    <w:div w:id="1666979065">
      <w:marLeft w:val="0"/>
      <w:marRight w:val="0"/>
      <w:marTop w:val="0"/>
      <w:marBottom w:val="0"/>
      <w:divBdr>
        <w:top w:val="none" w:sz="0" w:space="0" w:color="auto"/>
        <w:left w:val="none" w:sz="0" w:space="0" w:color="auto"/>
        <w:bottom w:val="none" w:sz="0" w:space="0" w:color="auto"/>
        <w:right w:val="none" w:sz="0" w:space="0" w:color="auto"/>
      </w:divBdr>
      <w:divsChild>
        <w:div w:id="1612008386">
          <w:marLeft w:val="0"/>
          <w:marRight w:val="0"/>
          <w:marTop w:val="0"/>
          <w:marBottom w:val="120"/>
          <w:divBdr>
            <w:top w:val="none" w:sz="0" w:space="0" w:color="auto"/>
            <w:left w:val="none" w:sz="0" w:space="0" w:color="auto"/>
            <w:bottom w:val="none" w:sz="0" w:space="0" w:color="auto"/>
            <w:right w:val="none" w:sz="0" w:space="0" w:color="auto"/>
          </w:divBdr>
        </w:div>
      </w:divsChild>
    </w:div>
    <w:div w:id="1669938655">
      <w:marLeft w:val="0"/>
      <w:marRight w:val="0"/>
      <w:marTop w:val="0"/>
      <w:marBottom w:val="120"/>
      <w:divBdr>
        <w:top w:val="none" w:sz="0" w:space="0" w:color="auto"/>
        <w:left w:val="none" w:sz="0" w:space="0" w:color="auto"/>
        <w:bottom w:val="none" w:sz="0" w:space="0" w:color="auto"/>
        <w:right w:val="none" w:sz="0" w:space="0" w:color="auto"/>
      </w:divBdr>
    </w:div>
    <w:div w:id="1673415499">
      <w:marLeft w:val="0"/>
      <w:marRight w:val="0"/>
      <w:marTop w:val="0"/>
      <w:marBottom w:val="120"/>
      <w:divBdr>
        <w:top w:val="none" w:sz="0" w:space="0" w:color="auto"/>
        <w:left w:val="none" w:sz="0" w:space="0" w:color="auto"/>
        <w:bottom w:val="none" w:sz="0" w:space="0" w:color="auto"/>
        <w:right w:val="none" w:sz="0" w:space="0" w:color="auto"/>
      </w:divBdr>
    </w:div>
    <w:div w:id="1673799516">
      <w:marLeft w:val="0"/>
      <w:marRight w:val="0"/>
      <w:marTop w:val="0"/>
      <w:marBottom w:val="0"/>
      <w:divBdr>
        <w:top w:val="none" w:sz="0" w:space="0" w:color="auto"/>
        <w:left w:val="none" w:sz="0" w:space="0" w:color="auto"/>
        <w:bottom w:val="none" w:sz="0" w:space="0" w:color="auto"/>
        <w:right w:val="none" w:sz="0" w:space="0" w:color="auto"/>
      </w:divBdr>
    </w:div>
    <w:div w:id="1675841339">
      <w:marLeft w:val="0"/>
      <w:marRight w:val="0"/>
      <w:marTop w:val="0"/>
      <w:marBottom w:val="120"/>
      <w:divBdr>
        <w:top w:val="none" w:sz="0" w:space="0" w:color="auto"/>
        <w:left w:val="none" w:sz="0" w:space="0" w:color="auto"/>
        <w:bottom w:val="none" w:sz="0" w:space="0" w:color="auto"/>
        <w:right w:val="none" w:sz="0" w:space="0" w:color="auto"/>
      </w:divBdr>
    </w:div>
    <w:div w:id="1679261600">
      <w:marLeft w:val="0"/>
      <w:marRight w:val="0"/>
      <w:marTop w:val="0"/>
      <w:marBottom w:val="0"/>
      <w:divBdr>
        <w:top w:val="none" w:sz="0" w:space="0" w:color="auto"/>
        <w:left w:val="none" w:sz="0" w:space="0" w:color="auto"/>
        <w:bottom w:val="none" w:sz="0" w:space="0" w:color="auto"/>
        <w:right w:val="none" w:sz="0" w:space="0" w:color="auto"/>
      </w:divBdr>
      <w:divsChild>
        <w:div w:id="213274809">
          <w:marLeft w:val="0"/>
          <w:marRight w:val="0"/>
          <w:marTop w:val="0"/>
          <w:marBottom w:val="120"/>
          <w:divBdr>
            <w:top w:val="none" w:sz="0" w:space="0" w:color="auto"/>
            <w:left w:val="none" w:sz="0" w:space="0" w:color="auto"/>
            <w:bottom w:val="none" w:sz="0" w:space="0" w:color="auto"/>
            <w:right w:val="none" w:sz="0" w:space="0" w:color="auto"/>
          </w:divBdr>
        </w:div>
      </w:divsChild>
    </w:div>
    <w:div w:id="1681393980">
      <w:marLeft w:val="0"/>
      <w:marRight w:val="0"/>
      <w:marTop w:val="0"/>
      <w:marBottom w:val="120"/>
      <w:divBdr>
        <w:top w:val="none" w:sz="0" w:space="0" w:color="auto"/>
        <w:left w:val="none" w:sz="0" w:space="0" w:color="auto"/>
        <w:bottom w:val="none" w:sz="0" w:space="0" w:color="auto"/>
        <w:right w:val="none" w:sz="0" w:space="0" w:color="auto"/>
      </w:divBdr>
    </w:div>
    <w:div w:id="1681934244">
      <w:marLeft w:val="0"/>
      <w:marRight w:val="0"/>
      <w:marTop w:val="0"/>
      <w:marBottom w:val="120"/>
      <w:divBdr>
        <w:top w:val="none" w:sz="0" w:space="0" w:color="auto"/>
        <w:left w:val="none" w:sz="0" w:space="0" w:color="auto"/>
        <w:bottom w:val="none" w:sz="0" w:space="0" w:color="auto"/>
        <w:right w:val="none" w:sz="0" w:space="0" w:color="auto"/>
      </w:divBdr>
    </w:div>
    <w:div w:id="1682000845">
      <w:marLeft w:val="0"/>
      <w:marRight w:val="0"/>
      <w:marTop w:val="0"/>
      <w:marBottom w:val="20"/>
      <w:divBdr>
        <w:top w:val="none" w:sz="0" w:space="0" w:color="auto"/>
        <w:left w:val="none" w:sz="0" w:space="0" w:color="auto"/>
        <w:bottom w:val="none" w:sz="0" w:space="0" w:color="auto"/>
        <w:right w:val="none" w:sz="0" w:space="0" w:color="auto"/>
      </w:divBdr>
    </w:div>
    <w:div w:id="1682078075">
      <w:marLeft w:val="0"/>
      <w:marRight w:val="0"/>
      <w:marTop w:val="0"/>
      <w:marBottom w:val="120"/>
      <w:divBdr>
        <w:top w:val="none" w:sz="0" w:space="0" w:color="auto"/>
        <w:left w:val="none" w:sz="0" w:space="0" w:color="auto"/>
        <w:bottom w:val="none" w:sz="0" w:space="0" w:color="auto"/>
        <w:right w:val="none" w:sz="0" w:space="0" w:color="auto"/>
      </w:divBdr>
    </w:div>
    <w:div w:id="1684236209">
      <w:marLeft w:val="0"/>
      <w:marRight w:val="0"/>
      <w:marTop w:val="0"/>
      <w:marBottom w:val="120"/>
      <w:divBdr>
        <w:top w:val="none" w:sz="0" w:space="0" w:color="auto"/>
        <w:left w:val="none" w:sz="0" w:space="0" w:color="auto"/>
        <w:bottom w:val="none" w:sz="0" w:space="0" w:color="auto"/>
        <w:right w:val="none" w:sz="0" w:space="0" w:color="auto"/>
      </w:divBdr>
    </w:div>
    <w:div w:id="1685743638">
      <w:marLeft w:val="0"/>
      <w:marRight w:val="0"/>
      <w:marTop w:val="240"/>
      <w:marBottom w:val="0"/>
      <w:divBdr>
        <w:top w:val="none" w:sz="0" w:space="0" w:color="auto"/>
        <w:left w:val="none" w:sz="0" w:space="0" w:color="auto"/>
        <w:bottom w:val="none" w:sz="0" w:space="0" w:color="auto"/>
        <w:right w:val="none" w:sz="0" w:space="0" w:color="auto"/>
      </w:divBdr>
    </w:div>
    <w:div w:id="1688556163">
      <w:marLeft w:val="0"/>
      <w:marRight w:val="0"/>
      <w:marTop w:val="0"/>
      <w:marBottom w:val="120"/>
      <w:divBdr>
        <w:top w:val="none" w:sz="0" w:space="0" w:color="auto"/>
        <w:left w:val="none" w:sz="0" w:space="0" w:color="auto"/>
        <w:bottom w:val="none" w:sz="0" w:space="0" w:color="auto"/>
        <w:right w:val="none" w:sz="0" w:space="0" w:color="auto"/>
      </w:divBdr>
    </w:div>
    <w:div w:id="1689868220">
      <w:marLeft w:val="0"/>
      <w:marRight w:val="0"/>
      <w:marTop w:val="0"/>
      <w:marBottom w:val="120"/>
      <w:divBdr>
        <w:top w:val="none" w:sz="0" w:space="0" w:color="auto"/>
        <w:left w:val="none" w:sz="0" w:space="0" w:color="auto"/>
        <w:bottom w:val="none" w:sz="0" w:space="0" w:color="auto"/>
        <w:right w:val="none" w:sz="0" w:space="0" w:color="auto"/>
      </w:divBdr>
    </w:div>
    <w:div w:id="1693721654">
      <w:marLeft w:val="0"/>
      <w:marRight w:val="0"/>
      <w:marTop w:val="0"/>
      <w:marBottom w:val="0"/>
      <w:divBdr>
        <w:top w:val="none" w:sz="0" w:space="0" w:color="auto"/>
        <w:left w:val="none" w:sz="0" w:space="0" w:color="auto"/>
        <w:bottom w:val="none" w:sz="0" w:space="0" w:color="auto"/>
        <w:right w:val="none" w:sz="0" w:space="0" w:color="auto"/>
      </w:divBdr>
    </w:div>
    <w:div w:id="1694115829">
      <w:marLeft w:val="0"/>
      <w:marRight w:val="0"/>
      <w:marTop w:val="0"/>
      <w:marBottom w:val="0"/>
      <w:divBdr>
        <w:top w:val="none" w:sz="0" w:space="0" w:color="auto"/>
        <w:left w:val="none" w:sz="0" w:space="0" w:color="auto"/>
        <w:bottom w:val="none" w:sz="0" w:space="0" w:color="auto"/>
        <w:right w:val="none" w:sz="0" w:space="0" w:color="auto"/>
      </w:divBdr>
      <w:divsChild>
        <w:div w:id="1258248658">
          <w:marLeft w:val="0"/>
          <w:marRight w:val="0"/>
          <w:marTop w:val="0"/>
          <w:marBottom w:val="120"/>
          <w:divBdr>
            <w:top w:val="none" w:sz="0" w:space="0" w:color="auto"/>
            <w:left w:val="none" w:sz="0" w:space="0" w:color="auto"/>
            <w:bottom w:val="none" w:sz="0" w:space="0" w:color="auto"/>
            <w:right w:val="none" w:sz="0" w:space="0" w:color="auto"/>
          </w:divBdr>
        </w:div>
      </w:divsChild>
    </w:div>
    <w:div w:id="1701930554">
      <w:marLeft w:val="0"/>
      <w:marRight w:val="0"/>
      <w:marTop w:val="240"/>
      <w:marBottom w:val="240"/>
      <w:divBdr>
        <w:top w:val="none" w:sz="0" w:space="0" w:color="auto"/>
        <w:left w:val="none" w:sz="0" w:space="0" w:color="auto"/>
        <w:bottom w:val="none" w:sz="0" w:space="0" w:color="auto"/>
        <w:right w:val="none" w:sz="0" w:space="0" w:color="auto"/>
      </w:divBdr>
    </w:div>
    <w:div w:id="1702128191">
      <w:marLeft w:val="0"/>
      <w:marRight w:val="0"/>
      <w:marTop w:val="240"/>
      <w:marBottom w:val="240"/>
      <w:divBdr>
        <w:top w:val="none" w:sz="0" w:space="0" w:color="auto"/>
        <w:left w:val="none" w:sz="0" w:space="0" w:color="auto"/>
        <w:bottom w:val="none" w:sz="0" w:space="0" w:color="auto"/>
        <w:right w:val="none" w:sz="0" w:space="0" w:color="auto"/>
      </w:divBdr>
    </w:div>
    <w:div w:id="1707564927">
      <w:marLeft w:val="0"/>
      <w:marRight w:val="0"/>
      <w:marTop w:val="0"/>
      <w:marBottom w:val="120"/>
      <w:divBdr>
        <w:top w:val="none" w:sz="0" w:space="0" w:color="auto"/>
        <w:left w:val="none" w:sz="0" w:space="0" w:color="auto"/>
        <w:bottom w:val="none" w:sz="0" w:space="0" w:color="auto"/>
        <w:right w:val="none" w:sz="0" w:space="0" w:color="auto"/>
      </w:divBdr>
    </w:div>
    <w:div w:id="1709603767">
      <w:marLeft w:val="0"/>
      <w:marRight w:val="0"/>
      <w:marTop w:val="0"/>
      <w:marBottom w:val="120"/>
      <w:divBdr>
        <w:top w:val="none" w:sz="0" w:space="0" w:color="auto"/>
        <w:left w:val="none" w:sz="0" w:space="0" w:color="auto"/>
        <w:bottom w:val="none" w:sz="0" w:space="0" w:color="auto"/>
        <w:right w:val="none" w:sz="0" w:space="0" w:color="auto"/>
      </w:divBdr>
    </w:div>
    <w:div w:id="1711420646">
      <w:marLeft w:val="0"/>
      <w:marRight w:val="0"/>
      <w:marTop w:val="0"/>
      <w:marBottom w:val="120"/>
      <w:divBdr>
        <w:top w:val="none" w:sz="0" w:space="0" w:color="auto"/>
        <w:left w:val="none" w:sz="0" w:space="0" w:color="auto"/>
        <w:bottom w:val="none" w:sz="0" w:space="0" w:color="auto"/>
        <w:right w:val="none" w:sz="0" w:space="0" w:color="auto"/>
      </w:divBdr>
    </w:div>
    <w:div w:id="1712802308">
      <w:marLeft w:val="0"/>
      <w:marRight w:val="0"/>
      <w:marTop w:val="120"/>
      <w:marBottom w:val="120"/>
      <w:divBdr>
        <w:top w:val="none" w:sz="0" w:space="0" w:color="auto"/>
        <w:left w:val="none" w:sz="0" w:space="0" w:color="auto"/>
        <w:bottom w:val="none" w:sz="0" w:space="0" w:color="auto"/>
        <w:right w:val="none" w:sz="0" w:space="0" w:color="auto"/>
      </w:divBdr>
    </w:div>
    <w:div w:id="1716078352">
      <w:marLeft w:val="0"/>
      <w:marRight w:val="0"/>
      <w:marTop w:val="0"/>
      <w:marBottom w:val="0"/>
      <w:divBdr>
        <w:top w:val="none" w:sz="0" w:space="0" w:color="auto"/>
        <w:left w:val="none" w:sz="0" w:space="0" w:color="auto"/>
        <w:bottom w:val="none" w:sz="0" w:space="0" w:color="auto"/>
        <w:right w:val="none" w:sz="0" w:space="0" w:color="auto"/>
      </w:divBdr>
      <w:divsChild>
        <w:div w:id="238636123">
          <w:marLeft w:val="0"/>
          <w:marRight w:val="0"/>
          <w:marTop w:val="0"/>
          <w:marBottom w:val="0"/>
          <w:divBdr>
            <w:top w:val="none" w:sz="0" w:space="0" w:color="auto"/>
            <w:left w:val="none" w:sz="0" w:space="0" w:color="auto"/>
            <w:bottom w:val="none" w:sz="0" w:space="0" w:color="auto"/>
            <w:right w:val="none" w:sz="0" w:space="0" w:color="auto"/>
          </w:divBdr>
          <w:divsChild>
            <w:div w:id="5883945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18820108">
      <w:marLeft w:val="0"/>
      <w:marRight w:val="0"/>
      <w:marTop w:val="0"/>
      <w:marBottom w:val="120"/>
      <w:divBdr>
        <w:top w:val="none" w:sz="0" w:space="0" w:color="auto"/>
        <w:left w:val="none" w:sz="0" w:space="0" w:color="auto"/>
        <w:bottom w:val="none" w:sz="0" w:space="0" w:color="auto"/>
        <w:right w:val="none" w:sz="0" w:space="0" w:color="auto"/>
      </w:divBdr>
    </w:div>
    <w:div w:id="1720548919">
      <w:marLeft w:val="0"/>
      <w:marRight w:val="0"/>
      <w:marTop w:val="0"/>
      <w:marBottom w:val="120"/>
      <w:divBdr>
        <w:top w:val="none" w:sz="0" w:space="0" w:color="auto"/>
        <w:left w:val="none" w:sz="0" w:space="0" w:color="auto"/>
        <w:bottom w:val="none" w:sz="0" w:space="0" w:color="auto"/>
        <w:right w:val="none" w:sz="0" w:space="0" w:color="auto"/>
      </w:divBdr>
    </w:div>
    <w:div w:id="1722242553">
      <w:marLeft w:val="0"/>
      <w:marRight w:val="0"/>
      <w:marTop w:val="0"/>
      <w:marBottom w:val="0"/>
      <w:divBdr>
        <w:top w:val="none" w:sz="0" w:space="0" w:color="auto"/>
        <w:left w:val="none" w:sz="0" w:space="0" w:color="auto"/>
        <w:bottom w:val="none" w:sz="0" w:space="0" w:color="auto"/>
        <w:right w:val="none" w:sz="0" w:space="0" w:color="auto"/>
      </w:divBdr>
      <w:divsChild>
        <w:div w:id="151263096">
          <w:marLeft w:val="0"/>
          <w:marRight w:val="0"/>
          <w:marTop w:val="0"/>
          <w:marBottom w:val="120"/>
          <w:divBdr>
            <w:top w:val="none" w:sz="0" w:space="0" w:color="auto"/>
            <w:left w:val="none" w:sz="0" w:space="0" w:color="auto"/>
            <w:bottom w:val="none" w:sz="0" w:space="0" w:color="auto"/>
            <w:right w:val="none" w:sz="0" w:space="0" w:color="auto"/>
          </w:divBdr>
        </w:div>
      </w:divsChild>
    </w:div>
    <w:div w:id="1723289496">
      <w:marLeft w:val="0"/>
      <w:marRight w:val="0"/>
      <w:marTop w:val="0"/>
      <w:marBottom w:val="120"/>
      <w:divBdr>
        <w:top w:val="none" w:sz="0" w:space="0" w:color="auto"/>
        <w:left w:val="none" w:sz="0" w:space="0" w:color="auto"/>
        <w:bottom w:val="none" w:sz="0" w:space="0" w:color="auto"/>
        <w:right w:val="none" w:sz="0" w:space="0" w:color="auto"/>
      </w:divBdr>
    </w:div>
    <w:div w:id="1723946903">
      <w:marLeft w:val="0"/>
      <w:marRight w:val="0"/>
      <w:marTop w:val="0"/>
      <w:marBottom w:val="120"/>
      <w:divBdr>
        <w:top w:val="none" w:sz="0" w:space="0" w:color="auto"/>
        <w:left w:val="none" w:sz="0" w:space="0" w:color="auto"/>
        <w:bottom w:val="none" w:sz="0" w:space="0" w:color="auto"/>
        <w:right w:val="none" w:sz="0" w:space="0" w:color="auto"/>
      </w:divBdr>
    </w:div>
    <w:div w:id="1730886534">
      <w:marLeft w:val="0"/>
      <w:marRight w:val="0"/>
      <w:marTop w:val="0"/>
      <w:marBottom w:val="120"/>
      <w:divBdr>
        <w:top w:val="none" w:sz="0" w:space="0" w:color="auto"/>
        <w:left w:val="none" w:sz="0" w:space="0" w:color="auto"/>
        <w:bottom w:val="none" w:sz="0" w:space="0" w:color="auto"/>
        <w:right w:val="none" w:sz="0" w:space="0" w:color="auto"/>
      </w:divBdr>
    </w:div>
    <w:div w:id="1733501017">
      <w:marLeft w:val="0"/>
      <w:marRight w:val="0"/>
      <w:marTop w:val="0"/>
      <w:marBottom w:val="0"/>
      <w:divBdr>
        <w:top w:val="none" w:sz="0" w:space="0" w:color="auto"/>
        <w:left w:val="none" w:sz="0" w:space="0" w:color="auto"/>
        <w:bottom w:val="none" w:sz="0" w:space="0" w:color="auto"/>
        <w:right w:val="none" w:sz="0" w:space="0" w:color="auto"/>
      </w:divBdr>
      <w:divsChild>
        <w:div w:id="1893232871">
          <w:marLeft w:val="0"/>
          <w:marRight w:val="0"/>
          <w:marTop w:val="0"/>
          <w:marBottom w:val="120"/>
          <w:divBdr>
            <w:top w:val="none" w:sz="0" w:space="0" w:color="auto"/>
            <w:left w:val="none" w:sz="0" w:space="0" w:color="auto"/>
            <w:bottom w:val="none" w:sz="0" w:space="0" w:color="auto"/>
            <w:right w:val="none" w:sz="0" w:space="0" w:color="auto"/>
          </w:divBdr>
        </w:div>
      </w:divsChild>
    </w:div>
    <w:div w:id="1734280174">
      <w:marLeft w:val="0"/>
      <w:marRight w:val="0"/>
      <w:marTop w:val="0"/>
      <w:marBottom w:val="120"/>
      <w:divBdr>
        <w:top w:val="none" w:sz="0" w:space="0" w:color="auto"/>
        <w:left w:val="none" w:sz="0" w:space="0" w:color="auto"/>
        <w:bottom w:val="none" w:sz="0" w:space="0" w:color="auto"/>
        <w:right w:val="none" w:sz="0" w:space="0" w:color="auto"/>
      </w:divBdr>
    </w:div>
    <w:div w:id="1736663257">
      <w:marLeft w:val="0"/>
      <w:marRight w:val="0"/>
      <w:marTop w:val="0"/>
      <w:marBottom w:val="120"/>
      <w:divBdr>
        <w:top w:val="none" w:sz="0" w:space="0" w:color="auto"/>
        <w:left w:val="none" w:sz="0" w:space="0" w:color="auto"/>
        <w:bottom w:val="none" w:sz="0" w:space="0" w:color="auto"/>
        <w:right w:val="none" w:sz="0" w:space="0" w:color="auto"/>
      </w:divBdr>
    </w:div>
    <w:div w:id="1737242337">
      <w:marLeft w:val="0"/>
      <w:marRight w:val="0"/>
      <w:marTop w:val="0"/>
      <w:marBottom w:val="0"/>
      <w:divBdr>
        <w:top w:val="none" w:sz="0" w:space="0" w:color="auto"/>
        <w:left w:val="none" w:sz="0" w:space="0" w:color="auto"/>
        <w:bottom w:val="none" w:sz="0" w:space="0" w:color="auto"/>
        <w:right w:val="none" w:sz="0" w:space="0" w:color="auto"/>
      </w:divBdr>
      <w:divsChild>
        <w:div w:id="1733965343">
          <w:marLeft w:val="0"/>
          <w:marRight w:val="0"/>
          <w:marTop w:val="0"/>
          <w:marBottom w:val="120"/>
          <w:divBdr>
            <w:top w:val="none" w:sz="0" w:space="0" w:color="auto"/>
            <w:left w:val="none" w:sz="0" w:space="0" w:color="auto"/>
            <w:bottom w:val="none" w:sz="0" w:space="0" w:color="auto"/>
            <w:right w:val="none" w:sz="0" w:space="0" w:color="auto"/>
          </w:divBdr>
        </w:div>
      </w:divsChild>
    </w:div>
    <w:div w:id="1743016674">
      <w:marLeft w:val="0"/>
      <w:marRight w:val="0"/>
      <w:marTop w:val="0"/>
      <w:marBottom w:val="120"/>
      <w:divBdr>
        <w:top w:val="none" w:sz="0" w:space="0" w:color="auto"/>
        <w:left w:val="none" w:sz="0" w:space="0" w:color="auto"/>
        <w:bottom w:val="none" w:sz="0" w:space="0" w:color="auto"/>
        <w:right w:val="none" w:sz="0" w:space="0" w:color="auto"/>
      </w:divBdr>
    </w:div>
    <w:div w:id="1745104300">
      <w:marLeft w:val="0"/>
      <w:marRight w:val="0"/>
      <w:marTop w:val="0"/>
      <w:marBottom w:val="120"/>
      <w:divBdr>
        <w:top w:val="none" w:sz="0" w:space="0" w:color="auto"/>
        <w:left w:val="none" w:sz="0" w:space="0" w:color="auto"/>
        <w:bottom w:val="none" w:sz="0" w:space="0" w:color="auto"/>
        <w:right w:val="none" w:sz="0" w:space="0" w:color="auto"/>
      </w:divBdr>
    </w:div>
    <w:div w:id="1747143608">
      <w:marLeft w:val="0"/>
      <w:marRight w:val="0"/>
      <w:marTop w:val="240"/>
      <w:marBottom w:val="0"/>
      <w:divBdr>
        <w:top w:val="none" w:sz="0" w:space="0" w:color="auto"/>
        <w:left w:val="none" w:sz="0" w:space="0" w:color="auto"/>
        <w:bottom w:val="none" w:sz="0" w:space="0" w:color="auto"/>
        <w:right w:val="none" w:sz="0" w:space="0" w:color="auto"/>
      </w:divBdr>
    </w:div>
    <w:div w:id="1747726142">
      <w:marLeft w:val="0"/>
      <w:marRight w:val="0"/>
      <w:marTop w:val="0"/>
      <w:marBottom w:val="120"/>
      <w:divBdr>
        <w:top w:val="none" w:sz="0" w:space="0" w:color="auto"/>
        <w:left w:val="none" w:sz="0" w:space="0" w:color="auto"/>
        <w:bottom w:val="none" w:sz="0" w:space="0" w:color="auto"/>
        <w:right w:val="none" w:sz="0" w:space="0" w:color="auto"/>
      </w:divBdr>
    </w:div>
    <w:div w:id="1750230537">
      <w:marLeft w:val="0"/>
      <w:marRight w:val="0"/>
      <w:marTop w:val="0"/>
      <w:marBottom w:val="80"/>
      <w:divBdr>
        <w:top w:val="none" w:sz="0" w:space="0" w:color="auto"/>
        <w:left w:val="none" w:sz="0" w:space="0" w:color="auto"/>
        <w:bottom w:val="none" w:sz="0" w:space="0" w:color="auto"/>
        <w:right w:val="none" w:sz="0" w:space="0" w:color="auto"/>
      </w:divBdr>
    </w:div>
    <w:div w:id="1750694032">
      <w:marLeft w:val="0"/>
      <w:marRight w:val="0"/>
      <w:marTop w:val="0"/>
      <w:marBottom w:val="120"/>
      <w:divBdr>
        <w:top w:val="none" w:sz="0" w:space="0" w:color="auto"/>
        <w:left w:val="none" w:sz="0" w:space="0" w:color="auto"/>
        <w:bottom w:val="none" w:sz="0" w:space="0" w:color="auto"/>
        <w:right w:val="none" w:sz="0" w:space="0" w:color="auto"/>
      </w:divBdr>
    </w:div>
    <w:div w:id="1753350937">
      <w:marLeft w:val="0"/>
      <w:marRight w:val="0"/>
      <w:marTop w:val="0"/>
      <w:marBottom w:val="120"/>
      <w:divBdr>
        <w:top w:val="none" w:sz="0" w:space="0" w:color="auto"/>
        <w:left w:val="none" w:sz="0" w:space="0" w:color="auto"/>
        <w:bottom w:val="none" w:sz="0" w:space="0" w:color="auto"/>
        <w:right w:val="none" w:sz="0" w:space="0" w:color="auto"/>
      </w:divBdr>
    </w:div>
    <w:div w:id="1753509533">
      <w:marLeft w:val="0"/>
      <w:marRight w:val="0"/>
      <w:marTop w:val="0"/>
      <w:marBottom w:val="0"/>
      <w:divBdr>
        <w:top w:val="none" w:sz="0" w:space="0" w:color="auto"/>
        <w:left w:val="none" w:sz="0" w:space="0" w:color="auto"/>
        <w:bottom w:val="none" w:sz="0" w:space="0" w:color="auto"/>
        <w:right w:val="none" w:sz="0" w:space="0" w:color="auto"/>
      </w:divBdr>
      <w:divsChild>
        <w:div w:id="184904891">
          <w:marLeft w:val="0"/>
          <w:marRight w:val="0"/>
          <w:marTop w:val="0"/>
          <w:marBottom w:val="120"/>
          <w:divBdr>
            <w:top w:val="none" w:sz="0" w:space="0" w:color="auto"/>
            <w:left w:val="none" w:sz="0" w:space="0" w:color="auto"/>
            <w:bottom w:val="none" w:sz="0" w:space="0" w:color="auto"/>
            <w:right w:val="none" w:sz="0" w:space="0" w:color="auto"/>
          </w:divBdr>
        </w:div>
      </w:divsChild>
    </w:div>
    <w:div w:id="1754887494">
      <w:marLeft w:val="0"/>
      <w:marRight w:val="0"/>
      <w:marTop w:val="0"/>
      <w:marBottom w:val="240"/>
      <w:divBdr>
        <w:top w:val="none" w:sz="0" w:space="0" w:color="auto"/>
        <w:left w:val="none" w:sz="0" w:space="0" w:color="auto"/>
        <w:bottom w:val="none" w:sz="0" w:space="0" w:color="auto"/>
        <w:right w:val="none" w:sz="0" w:space="0" w:color="auto"/>
      </w:divBdr>
    </w:div>
    <w:div w:id="1755475467">
      <w:marLeft w:val="0"/>
      <w:marRight w:val="0"/>
      <w:marTop w:val="0"/>
      <w:marBottom w:val="120"/>
      <w:divBdr>
        <w:top w:val="none" w:sz="0" w:space="0" w:color="auto"/>
        <w:left w:val="none" w:sz="0" w:space="0" w:color="auto"/>
        <w:bottom w:val="none" w:sz="0" w:space="0" w:color="auto"/>
        <w:right w:val="none" w:sz="0" w:space="0" w:color="auto"/>
      </w:divBdr>
    </w:div>
    <w:div w:id="1756513450">
      <w:marLeft w:val="0"/>
      <w:marRight w:val="0"/>
      <w:marTop w:val="0"/>
      <w:marBottom w:val="120"/>
      <w:divBdr>
        <w:top w:val="none" w:sz="0" w:space="0" w:color="auto"/>
        <w:left w:val="none" w:sz="0" w:space="0" w:color="auto"/>
        <w:bottom w:val="none" w:sz="0" w:space="0" w:color="auto"/>
        <w:right w:val="none" w:sz="0" w:space="0" w:color="auto"/>
      </w:divBdr>
    </w:div>
    <w:div w:id="1756710411">
      <w:marLeft w:val="0"/>
      <w:marRight w:val="0"/>
      <w:marTop w:val="0"/>
      <w:marBottom w:val="0"/>
      <w:divBdr>
        <w:top w:val="none" w:sz="0" w:space="0" w:color="auto"/>
        <w:left w:val="none" w:sz="0" w:space="0" w:color="auto"/>
        <w:bottom w:val="none" w:sz="0" w:space="0" w:color="auto"/>
        <w:right w:val="none" w:sz="0" w:space="0" w:color="auto"/>
      </w:divBdr>
      <w:divsChild>
        <w:div w:id="1837574496">
          <w:marLeft w:val="0"/>
          <w:marRight w:val="0"/>
          <w:marTop w:val="0"/>
          <w:marBottom w:val="0"/>
          <w:divBdr>
            <w:top w:val="none" w:sz="0" w:space="0" w:color="auto"/>
            <w:left w:val="none" w:sz="0" w:space="0" w:color="auto"/>
            <w:bottom w:val="none" w:sz="0" w:space="0" w:color="auto"/>
            <w:right w:val="none" w:sz="0" w:space="0" w:color="auto"/>
          </w:divBdr>
          <w:divsChild>
            <w:div w:id="4791520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62599225">
      <w:marLeft w:val="0"/>
      <w:marRight w:val="0"/>
      <w:marTop w:val="240"/>
      <w:marBottom w:val="0"/>
      <w:divBdr>
        <w:top w:val="none" w:sz="0" w:space="0" w:color="auto"/>
        <w:left w:val="none" w:sz="0" w:space="0" w:color="auto"/>
        <w:bottom w:val="none" w:sz="0" w:space="0" w:color="auto"/>
        <w:right w:val="none" w:sz="0" w:space="0" w:color="auto"/>
      </w:divBdr>
    </w:div>
    <w:div w:id="1763063885">
      <w:marLeft w:val="0"/>
      <w:marRight w:val="0"/>
      <w:marTop w:val="240"/>
      <w:marBottom w:val="0"/>
      <w:divBdr>
        <w:top w:val="none" w:sz="0" w:space="0" w:color="auto"/>
        <w:left w:val="none" w:sz="0" w:space="0" w:color="auto"/>
        <w:bottom w:val="none" w:sz="0" w:space="0" w:color="auto"/>
        <w:right w:val="none" w:sz="0" w:space="0" w:color="auto"/>
      </w:divBdr>
    </w:div>
    <w:div w:id="1765345843">
      <w:marLeft w:val="0"/>
      <w:marRight w:val="0"/>
      <w:marTop w:val="0"/>
      <w:marBottom w:val="120"/>
      <w:divBdr>
        <w:top w:val="none" w:sz="0" w:space="0" w:color="auto"/>
        <w:left w:val="none" w:sz="0" w:space="0" w:color="auto"/>
        <w:bottom w:val="none" w:sz="0" w:space="0" w:color="auto"/>
        <w:right w:val="none" w:sz="0" w:space="0" w:color="auto"/>
      </w:divBdr>
    </w:div>
    <w:div w:id="1768845760">
      <w:marLeft w:val="0"/>
      <w:marRight w:val="0"/>
      <w:marTop w:val="0"/>
      <w:marBottom w:val="120"/>
      <w:divBdr>
        <w:top w:val="none" w:sz="0" w:space="0" w:color="auto"/>
        <w:left w:val="none" w:sz="0" w:space="0" w:color="auto"/>
        <w:bottom w:val="none" w:sz="0" w:space="0" w:color="auto"/>
        <w:right w:val="none" w:sz="0" w:space="0" w:color="auto"/>
      </w:divBdr>
    </w:div>
    <w:div w:id="1769814494">
      <w:marLeft w:val="0"/>
      <w:marRight w:val="0"/>
      <w:marTop w:val="0"/>
      <w:marBottom w:val="120"/>
      <w:divBdr>
        <w:top w:val="none" w:sz="0" w:space="0" w:color="auto"/>
        <w:left w:val="none" w:sz="0" w:space="0" w:color="auto"/>
        <w:bottom w:val="none" w:sz="0" w:space="0" w:color="auto"/>
        <w:right w:val="none" w:sz="0" w:space="0" w:color="auto"/>
      </w:divBdr>
    </w:div>
    <w:div w:id="1770733653">
      <w:marLeft w:val="0"/>
      <w:marRight w:val="0"/>
      <w:marTop w:val="0"/>
      <w:marBottom w:val="0"/>
      <w:divBdr>
        <w:top w:val="none" w:sz="0" w:space="0" w:color="auto"/>
        <w:left w:val="none" w:sz="0" w:space="0" w:color="auto"/>
        <w:bottom w:val="none" w:sz="0" w:space="0" w:color="auto"/>
        <w:right w:val="none" w:sz="0" w:space="0" w:color="auto"/>
      </w:divBdr>
      <w:divsChild>
        <w:div w:id="547229209">
          <w:marLeft w:val="0"/>
          <w:marRight w:val="0"/>
          <w:marTop w:val="0"/>
          <w:marBottom w:val="0"/>
          <w:divBdr>
            <w:top w:val="none" w:sz="0" w:space="0" w:color="auto"/>
            <w:left w:val="none" w:sz="0" w:space="0" w:color="auto"/>
            <w:bottom w:val="none" w:sz="0" w:space="0" w:color="auto"/>
            <w:right w:val="none" w:sz="0" w:space="0" w:color="auto"/>
          </w:divBdr>
          <w:divsChild>
            <w:div w:id="6466656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71268593">
      <w:marLeft w:val="0"/>
      <w:marRight w:val="0"/>
      <w:marTop w:val="0"/>
      <w:marBottom w:val="120"/>
      <w:divBdr>
        <w:top w:val="none" w:sz="0" w:space="0" w:color="auto"/>
        <w:left w:val="none" w:sz="0" w:space="0" w:color="auto"/>
        <w:bottom w:val="none" w:sz="0" w:space="0" w:color="auto"/>
        <w:right w:val="none" w:sz="0" w:space="0" w:color="auto"/>
      </w:divBdr>
    </w:div>
    <w:div w:id="1773087104">
      <w:marLeft w:val="0"/>
      <w:marRight w:val="0"/>
      <w:marTop w:val="0"/>
      <w:marBottom w:val="120"/>
      <w:divBdr>
        <w:top w:val="none" w:sz="0" w:space="0" w:color="auto"/>
        <w:left w:val="none" w:sz="0" w:space="0" w:color="auto"/>
        <w:bottom w:val="none" w:sz="0" w:space="0" w:color="auto"/>
        <w:right w:val="none" w:sz="0" w:space="0" w:color="auto"/>
      </w:divBdr>
    </w:div>
    <w:div w:id="1773353825">
      <w:marLeft w:val="0"/>
      <w:marRight w:val="0"/>
      <w:marTop w:val="0"/>
      <w:marBottom w:val="120"/>
      <w:divBdr>
        <w:top w:val="none" w:sz="0" w:space="0" w:color="auto"/>
        <w:left w:val="none" w:sz="0" w:space="0" w:color="auto"/>
        <w:bottom w:val="none" w:sz="0" w:space="0" w:color="auto"/>
        <w:right w:val="none" w:sz="0" w:space="0" w:color="auto"/>
      </w:divBdr>
    </w:div>
    <w:div w:id="1774281858">
      <w:marLeft w:val="0"/>
      <w:marRight w:val="0"/>
      <w:marTop w:val="0"/>
      <w:marBottom w:val="120"/>
      <w:divBdr>
        <w:top w:val="none" w:sz="0" w:space="0" w:color="auto"/>
        <w:left w:val="none" w:sz="0" w:space="0" w:color="auto"/>
        <w:bottom w:val="none" w:sz="0" w:space="0" w:color="auto"/>
        <w:right w:val="none" w:sz="0" w:space="0" w:color="auto"/>
      </w:divBdr>
    </w:div>
    <w:div w:id="1777553201">
      <w:marLeft w:val="0"/>
      <w:marRight w:val="0"/>
      <w:marTop w:val="0"/>
      <w:marBottom w:val="120"/>
      <w:divBdr>
        <w:top w:val="none" w:sz="0" w:space="0" w:color="auto"/>
        <w:left w:val="none" w:sz="0" w:space="0" w:color="auto"/>
        <w:bottom w:val="none" w:sz="0" w:space="0" w:color="auto"/>
        <w:right w:val="none" w:sz="0" w:space="0" w:color="auto"/>
      </w:divBdr>
    </w:div>
    <w:div w:id="1781562726">
      <w:marLeft w:val="0"/>
      <w:marRight w:val="0"/>
      <w:marTop w:val="0"/>
      <w:marBottom w:val="120"/>
      <w:divBdr>
        <w:top w:val="none" w:sz="0" w:space="0" w:color="auto"/>
        <w:left w:val="none" w:sz="0" w:space="0" w:color="auto"/>
        <w:bottom w:val="none" w:sz="0" w:space="0" w:color="auto"/>
        <w:right w:val="none" w:sz="0" w:space="0" w:color="auto"/>
      </w:divBdr>
    </w:div>
    <w:div w:id="1781758889">
      <w:marLeft w:val="0"/>
      <w:marRight w:val="0"/>
      <w:marTop w:val="0"/>
      <w:marBottom w:val="0"/>
      <w:divBdr>
        <w:top w:val="none" w:sz="0" w:space="0" w:color="auto"/>
        <w:left w:val="none" w:sz="0" w:space="0" w:color="auto"/>
        <w:bottom w:val="none" w:sz="0" w:space="0" w:color="auto"/>
        <w:right w:val="none" w:sz="0" w:space="0" w:color="auto"/>
      </w:divBdr>
      <w:divsChild>
        <w:div w:id="1208185259">
          <w:marLeft w:val="0"/>
          <w:marRight w:val="0"/>
          <w:marTop w:val="0"/>
          <w:marBottom w:val="120"/>
          <w:divBdr>
            <w:top w:val="none" w:sz="0" w:space="0" w:color="auto"/>
            <w:left w:val="none" w:sz="0" w:space="0" w:color="auto"/>
            <w:bottom w:val="none" w:sz="0" w:space="0" w:color="auto"/>
            <w:right w:val="none" w:sz="0" w:space="0" w:color="auto"/>
          </w:divBdr>
        </w:div>
      </w:divsChild>
    </w:div>
    <w:div w:id="1783962315">
      <w:marLeft w:val="0"/>
      <w:marRight w:val="0"/>
      <w:marTop w:val="0"/>
      <w:marBottom w:val="120"/>
      <w:divBdr>
        <w:top w:val="none" w:sz="0" w:space="0" w:color="auto"/>
        <w:left w:val="none" w:sz="0" w:space="0" w:color="auto"/>
        <w:bottom w:val="none" w:sz="0" w:space="0" w:color="auto"/>
        <w:right w:val="none" w:sz="0" w:space="0" w:color="auto"/>
      </w:divBdr>
    </w:div>
    <w:div w:id="1793942608">
      <w:marLeft w:val="0"/>
      <w:marRight w:val="0"/>
      <w:marTop w:val="240"/>
      <w:marBottom w:val="0"/>
      <w:divBdr>
        <w:top w:val="none" w:sz="0" w:space="0" w:color="auto"/>
        <w:left w:val="none" w:sz="0" w:space="0" w:color="auto"/>
        <w:bottom w:val="none" w:sz="0" w:space="0" w:color="auto"/>
        <w:right w:val="none" w:sz="0" w:space="0" w:color="auto"/>
      </w:divBdr>
    </w:div>
    <w:div w:id="1794250567">
      <w:marLeft w:val="0"/>
      <w:marRight w:val="0"/>
      <w:marTop w:val="0"/>
      <w:marBottom w:val="0"/>
      <w:divBdr>
        <w:top w:val="none" w:sz="0" w:space="0" w:color="auto"/>
        <w:left w:val="none" w:sz="0" w:space="0" w:color="auto"/>
        <w:bottom w:val="none" w:sz="0" w:space="0" w:color="auto"/>
        <w:right w:val="none" w:sz="0" w:space="0" w:color="auto"/>
      </w:divBdr>
    </w:div>
    <w:div w:id="1794521882">
      <w:marLeft w:val="0"/>
      <w:marRight w:val="0"/>
      <w:marTop w:val="0"/>
      <w:marBottom w:val="120"/>
      <w:divBdr>
        <w:top w:val="none" w:sz="0" w:space="0" w:color="auto"/>
        <w:left w:val="none" w:sz="0" w:space="0" w:color="auto"/>
        <w:bottom w:val="none" w:sz="0" w:space="0" w:color="auto"/>
        <w:right w:val="none" w:sz="0" w:space="0" w:color="auto"/>
      </w:divBdr>
    </w:div>
    <w:div w:id="1795975004">
      <w:marLeft w:val="0"/>
      <w:marRight w:val="0"/>
      <w:marTop w:val="0"/>
      <w:marBottom w:val="0"/>
      <w:divBdr>
        <w:top w:val="none" w:sz="0" w:space="0" w:color="auto"/>
        <w:left w:val="none" w:sz="0" w:space="0" w:color="auto"/>
        <w:bottom w:val="none" w:sz="0" w:space="0" w:color="auto"/>
        <w:right w:val="none" w:sz="0" w:space="0" w:color="auto"/>
      </w:divBdr>
      <w:divsChild>
        <w:div w:id="205871967">
          <w:marLeft w:val="0"/>
          <w:marRight w:val="0"/>
          <w:marTop w:val="0"/>
          <w:marBottom w:val="0"/>
          <w:divBdr>
            <w:top w:val="none" w:sz="0" w:space="0" w:color="auto"/>
            <w:left w:val="none" w:sz="0" w:space="0" w:color="auto"/>
            <w:bottom w:val="none" w:sz="0" w:space="0" w:color="auto"/>
            <w:right w:val="none" w:sz="0" w:space="0" w:color="auto"/>
          </w:divBdr>
          <w:divsChild>
            <w:div w:id="415518246">
              <w:marLeft w:val="0"/>
              <w:marRight w:val="0"/>
              <w:marTop w:val="140"/>
              <w:marBottom w:val="120"/>
              <w:divBdr>
                <w:top w:val="none" w:sz="0" w:space="0" w:color="auto"/>
                <w:left w:val="none" w:sz="0" w:space="0" w:color="auto"/>
                <w:bottom w:val="none" w:sz="0" w:space="0" w:color="auto"/>
                <w:right w:val="none" w:sz="0" w:space="0" w:color="auto"/>
              </w:divBdr>
            </w:div>
            <w:div w:id="8382315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96411427">
      <w:marLeft w:val="0"/>
      <w:marRight w:val="0"/>
      <w:marTop w:val="240"/>
      <w:marBottom w:val="240"/>
      <w:divBdr>
        <w:top w:val="none" w:sz="0" w:space="0" w:color="auto"/>
        <w:left w:val="none" w:sz="0" w:space="0" w:color="auto"/>
        <w:bottom w:val="none" w:sz="0" w:space="0" w:color="auto"/>
        <w:right w:val="none" w:sz="0" w:space="0" w:color="auto"/>
      </w:divBdr>
    </w:div>
    <w:div w:id="1801848766">
      <w:marLeft w:val="0"/>
      <w:marRight w:val="0"/>
      <w:marTop w:val="240"/>
      <w:marBottom w:val="0"/>
      <w:divBdr>
        <w:top w:val="none" w:sz="0" w:space="0" w:color="auto"/>
        <w:left w:val="none" w:sz="0" w:space="0" w:color="auto"/>
        <w:bottom w:val="none" w:sz="0" w:space="0" w:color="auto"/>
        <w:right w:val="none" w:sz="0" w:space="0" w:color="auto"/>
      </w:divBdr>
    </w:div>
    <w:div w:id="1801919446">
      <w:marLeft w:val="0"/>
      <w:marRight w:val="0"/>
      <w:marTop w:val="0"/>
      <w:marBottom w:val="120"/>
      <w:divBdr>
        <w:top w:val="none" w:sz="0" w:space="0" w:color="auto"/>
        <w:left w:val="none" w:sz="0" w:space="0" w:color="auto"/>
        <w:bottom w:val="none" w:sz="0" w:space="0" w:color="auto"/>
        <w:right w:val="none" w:sz="0" w:space="0" w:color="auto"/>
      </w:divBdr>
    </w:div>
    <w:div w:id="1803376646">
      <w:marLeft w:val="0"/>
      <w:marRight w:val="0"/>
      <w:marTop w:val="0"/>
      <w:marBottom w:val="0"/>
      <w:divBdr>
        <w:top w:val="none" w:sz="0" w:space="0" w:color="auto"/>
        <w:left w:val="none" w:sz="0" w:space="0" w:color="auto"/>
        <w:bottom w:val="none" w:sz="0" w:space="0" w:color="auto"/>
        <w:right w:val="none" w:sz="0" w:space="0" w:color="auto"/>
      </w:divBdr>
      <w:divsChild>
        <w:div w:id="673610303">
          <w:marLeft w:val="0"/>
          <w:marRight w:val="0"/>
          <w:marTop w:val="0"/>
          <w:marBottom w:val="0"/>
          <w:divBdr>
            <w:top w:val="none" w:sz="0" w:space="0" w:color="auto"/>
            <w:left w:val="none" w:sz="0" w:space="0" w:color="auto"/>
            <w:bottom w:val="none" w:sz="0" w:space="0" w:color="auto"/>
            <w:right w:val="none" w:sz="0" w:space="0" w:color="auto"/>
          </w:divBdr>
          <w:divsChild>
            <w:div w:id="18600445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04498018">
      <w:marLeft w:val="0"/>
      <w:marRight w:val="0"/>
      <w:marTop w:val="0"/>
      <w:marBottom w:val="0"/>
      <w:divBdr>
        <w:top w:val="none" w:sz="0" w:space="0" w:color="auto"/>
        <w:left w:val="none" w:sz="0" w:space="0" w:color="auto"/>
        <w:bottom w:val="none" w:sz="0" w:space="0" w:color="auto"/>
        <w:right w:val="none" w:sz="0" w:space="0" w:color="auto"/>
      </w:divBdr>
    </w:div>
    <w:div w:id="1808013003">
      <w:marLeft w:val="0"/>
      <w:marRight w:val="0"/>
      <w:marTop w:val="240"/>
      <w:marBottom w:val="0"/>
      <w:divBdr>
        <w:top w:val="none" w:sz="0" w:space="0" w:color="auto"/>
        <w:left w:val="none" w:sz="0" w:space="0" w:color="auto"/>
        <w:bottom w:val="none" w:sz="0" w:space="0" w:color="auto"/>
        <w:right w:val="none" w:sz="0" w:space="0" w:color="auto"/>
      </w:divBdr>
    </w:div>
    <w:div w:id="1816951078">
      <w:marLeft w:val="0"/>
      <w:marRight w:val="0"/>
      <w:marTop w:val="140"/>
      <w:marBottom w:val="120"/>
      <w:divBdr>
        <w:top w:val="none" w:sz="0" w:space="0" w:color="auto"/>
        <w:left w:val="none" w:sz="0" w:space="0" w:color="auto"/>
        <w:bottom w:val="none" w:sz="0" w:space="0" w:color="auto"/>
        <w:right w:val="none" w:sz="0" w:space="0" w:color="auto"/>
      </w:divBdr>
    </w:div>
    <w:div w:id="1817452872">
      <w:marLeft w:val="0"/>
      <w:marRight w:val="0"/>
      <w:marTop w:val="0"/>
      <w:marBottom w:val="120"/>
      <w:divBdr>
        <w:top w:val="none" w:sz="0" w:space="0" w:color="auto"/>
        <w:left w:val="none" w:sz="0" w:space="0" w:color="auto"/>
        <w:bottom w:val="none" w:sz="0" w:space="0" w:color="auto"/>
        <w:right w:val="none" w:sz="0" w:space="0" w:color="auto"/>
      </w:divBdr>
    </w:div>
    <w:div w:id="1817838576">
      <w:marLeft w:val="0"/>
      <w:marRight w:val="0"/>
      <w:marTop w:val="0"/>
      <w:marBottom w:val="120"/>
      <w:divBdr>
        <w:top w:val="none" w:sz="0" w:space="0" w:color="auto"/>
        <w:left w:val="none" w:sz="0" w:space="0" w:color="auto"/>
        <w:bottom w:val="none" w:sz="0" w:space="0" w:color="auto"/>
        <w:right w:val="none" w:sz="0" w:space="0" w:color="auto"/>
      </w:divBdr>
    </w:div>
    <w:div w:id="1819224715">
      <w:marLeft w:val="0"/>
      <w:marRight w:val="0"/>
      <w:marTop w:val="240"/>
      <w:marBottom w:val="240"/>
      <w:divBdr>
        <w:top w:val="none" w:sz="0" w:space="0" w:color="auto"/>
        <w:left w:val="none" w:sz="0" w:space="0" w:color="auto"/>
        <w:bottom w:val="none" w:sz="0" w:space="0" w:color="auto"/>
        <w:right w:val="none" w:sz="0" w:space="0" w:color="auto"/>
      </w:divBdr>
    </w:div>
    <w:div w:id="1822694329">
      <w:marLeft w:val="0"/>
      <w:marRight w:val="0"/>
      <w:marTop w:val="240"/>
      <w:marBottom w:val="0"/>
      <w:divBdr>
        <w:top w:val="none" w:sz="0" w:space="0" w:color="auto"/>
        <w:left w:val="none" w:sz="0" w:space="0" w:color="auto"/>
        <w:bottom w:val="none" w:sz="0" w:space="0" w:color="auto"/>
        <w:right w:val="none" w:sz="0" w:space="0" w:color="auto"/>
      </w:divBdr>
    </w:div>
    <w:div w:id="1825513687">
      <w:marLeft w:val="0"/>
      <w:marRight w:val="0"/>
      <w:marTop w:val="0"/>
      <w:marBottom w:val="120"/>
      <w:divBdr>
        <w:top w:val="none" w:sz="0" w:space="0" w:color="auto"/>
        <w:left w:val="none" w:sz="0" w:space="0" w:color="auto"/>
        <w:bottom w:val="none" w:sz="0" w:space="0" w:color="auto"/>
        <w:right w:val="none" w:sz="0" w:space="0" w:color="auto"/>
      </w:divBdr>
    </w:div>
    <w:div w:id="1825972320">
      <w:marLeft w:val="0"/>
      <w:marRight w:val="0"/>
      <w:marTop w:val="0"/>
      <w:marBottom w:val="120"/>
      <w:divBdr>
        <w:top w:val="none" w:sz="0" w:space="0" w:color="auto"/>
        <w:left w:val="none" w:sz="0" w:space="0" w:color="auto"/>
        <w:bottom w:val="none" w:sz="0" w:space="0" w:color="auto"/>
        <w:right w:val="none" w:sz="0" w:space="0" w:color="auto"/>
      </w:divBdr>
    </w:div>
    <w:div w:id="1828982573">
      <w:marLeft w:val="0"/>
      <w:marRight w:val="0"/>
      <w:marTop w:val="0"/>
      <w:marBottom w:val="120"/>
      <w:divBdr>
        <w:top w:val="none" w:sz="0" w:space="0" w:color="auto"/>
        <w:left w:val="none" w:sz="0" w:space="0" w:color="auto"/>
        <w:bottom w:val="none" w:sz="0" w:space="0" w:color="auto"/>
        <w:right w:val="none" w:sz="0" w:space="0" w:color="auto"/>
      </w:divBdr>
    </w:div>
    <w:div w:id="1830905588">
      <w:marLeft w:val="0"/>
      <w:marRight w:val="0"/>
      <w:marTop w:val="0"/>
      <w:marBottom w:val="120"/>
      <w:divBdr>
        <w:top w:val="none" w:sz="0" w:space="0" w:color="auto"/>
        <w:left w:val="none" w:sz="0" w:space="0" w:color="auto"/>
        <w:bottom w:val="none" w:sz="0" w:space="0" w:color="auto"/>
        <w:right w:val="none" w:sz="0" w:space="0" w:color="auto"/>
      </w:divBdr>
    </w:div>
    <w:div w:id="1831018083">
      <w:marLeft w:val="0"/>
      <w:marRight w:val="0"/>
      <w:marTop w:val="0"/>
      <w:marBottom w:val="0"/>
      <w:divBdr>
        <w:top w:val="none" w:sz="0" w:space="0" w:color="auto"/>
        <w:left w:val="none" w:sz="0" w:space="0" w:color="auto"/>
        <w:bottom w:val="none" w:sz="0" w:space="0" w:color="auto"/>
        <w:right w:val="none" w:sz="0" w:space="0" w:color="auto"/>
      </w:divBdr>
      <w:divsChild>
        <w:div w:id="295836106">
          <w:marLeft w:val="0"/>
          <w:marRight w:val="0"/>
          <w:marTop w:val="0"/>
          <w:marBottom w:val="0"/>
          <w:divBdr>
            <w:top w:val="none" w:sz="0" w:space="0" w:color="auto"/>
            <w:left w:val="none" w:sz="0" w:space="0" w:color="auto"/>
            <w:bottom w:val="none" w:sz="0" w:space="0" w:color="auto"/>
            <w:right w:val="none" w:sz="0" w:space="0" w:color="auto"/>
          </w:divBdr>
          <w:divsChild>
            <w:div w:id="12332737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33326114">
      <w:marLeft w:val="0"/>
      <w:marRight w:val="0"/>
      <w:marTop w:val="0"/>
      <w:marBottom w:val="0"/>
      <w:divBdr>
        <w:top w:val="none" w:sz="0" w:space="0" w:color="auto"/>
        <w:left w:val="none" w:sz="0" w:space="0" w:color="auto"/>
        <w:bottom w:val="none" w:sz="0" w:space="0" w:color="auto"/>
        <w:right w:val="none" w:sz="0" w:space="0" w:color="auto"/>
      </w:divBdr>
      <w:divsChild>
        <w:div w:id="894242159">
          <w:marLeft w:val="0"/>
          <w:marRight w:val="0"/>
          <w:marTop w:val="0"/>
          <w:marBottom w:val="0"/>
          <w:divBdr>
            <w:top w:val="none" w:sz="0" w:space="0" w:color="auto"/>
            <w:left w:val="none" w:sz="0" w:space="0" w:color="auto"/>
            <w:bottom w:val="none" w:sz="0" w:space="0" w:color="auto"/>
            <w:right w:val="none" w:sz="0" w:space="0" w:color="auto"/>
          </w:divBdr>
          <w:divsChild>
            <w:div w:id="2907457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33444398">
      <w:marLeft w:val="0"/>
      <w:marRight w:val="0"/>
      <w:marTop w:val="0"/>
      <w:marBottom w:val="120"/>
      <w:divBdr>
        <w:top w:val="none" w:sz="0" w:space="0" w:color="auto"/>
        <w:left w:val="none" w:sz="0" w:space="0" w:color="auto"/>
        <w:bottom w:val="none" w:sz="0" w:space="0" w:color="auto"/>
        <w:right w:val="none" w:sz="0" w:space="0" w:color="auto"/>
      </w:divBdr>
    </w:div>
    <w:div w:id="1838108456">
      <w:marLeft w:val="0"/>
      <w:marRight w:val="0"/>
      <w:marTop w:val="0"/>
      <w:marBottom w:val="0"/>
      <w:divBdr>
        <w:top w:val="none" w:sz="0" w:space="0" w:color="auto"/>
        <w:left w:val="none" w:sz="0" w:space="0" w:color="auto"/>
        <w:bottom w:val="none" w:sz="0" w:space="0" w:color="auto"/>
        <w:right w:val="none" w:sz="0" w:space="0" w:color="auto"/>
      </w:divBdr>
      <w:divsChild>
        <w:div w:id="1058670205">
          <w:marLeft w:val="0"/>
          <w:marRight w:val="0"/>
          <w:marTop w:val="0"/>
          <w:marBottom w:val="0"/>
          <w:divBdr>
            <w:top w:val="none" w:sz="0" w:space="0" w:color="auto"/>
            <w:left w:val="none" w:sz="0" w:space="0" w:color="auto"/>
            <w:bottom w:val="none" w:sz="0" w:space="0" w:color="auto"/>
            <w:right w:val="none" w:sz="0" w:space="0" w:color="auto"/>
          </w:divBdr>
          <w:divsChild>
            <w:div w:id="17413222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38227820">
      <w:marLeft w:val="0"/>
      <w:marRight w:val="0"/>
      <w:marTop w:val="0"/>
      <w:marBottom w:val="120"/>
      <w:divBdr>
        <w:top w:val="none" w:sz="0" w:space="0" w:color="auto"/>
        <w:left w:val="none" w:sz="0" w:space="0" w:color="auto"/>
        <w:bottom w:val="none" w:sz="0" w:space="0" w:color="auto"/>
        <w:right w:val="none" w:sz="0" w:space="0" w:color="auto"/>
      </w:divBdr>
    </w:div>
    <w:div w:id="1838302030">
      <w:marLeft w:val="0"/>
      <w:marRight w:val="0"/>
      <w:marTop w:val="0"/>
      <w:marBottom w:val="0"/>
      <w:divBdr>
        <w:top w:val="none" w:sz="0" w:space="0" w:color="auto"/>
        <w:left w:val="none" w:sz="0" w:space="0" w:color="auto"/>
        <w:bottom w:val="none" w:sz="0" w:space="0" w:color="auto"/>
        <w:right w:val="none" w:sz="0" w:space="0" w:color="auto"/>
      </w:divBdr>
      <w:divsChild>
        <w:div w:id="1037779161">
          <w:marLeft w:val="0"/>
          <w:marRight w:val="0"/>
          <w:marTop w:val="0"/>
          <w:marBottom w:val="0"/>
          <w:divBdr>
            <w:top w:val="none" w:sz="0" w:space="0" w:color="auto"/>
            <w:left w:val="none" w:sz="0" w:space="0" w:color="auto"/>
            <w:bottom w:val="none" w:sz="0" w:space="0" w:color="auto"/>
            <w:right w:val="none" w:sz="0" w:space="0" w:color="auto"/>
          </w:divBdr>
          <w:divsChild>
            <w:div w:id="14030921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40467407">
      <w:marLeft w:val="0"/>
      <w:marRight w:val="0"/>
      <w:marTop w:val="0"/>
      <w:marBottom w:val="120"/>
      <w:divBdr>
        <w:top w:val="none" w:sz="0" w:space="0" w:color="auto"/>
        <w:left w:val="none" w:sz="0" w:space="0" w:color="auto"/>
        <w:bottom w:val="none" w:sz="0" w:space="0" w:color="auto"/>
        <w:right w:val="none" w:sz="0" w:space="0" w:color="auto"/>
      </w:divBdr>
    </w:div>
    <w:div w:id="1840653792">
      <w:marLeft w:val="0"/>
      <w:marRight w:val="0"/>
      <w:marTop w:val="0"/>
      <w:marBottom w:val="0"/>
      <w:divBdr>
        <w:top w:val="none" w:sz="0" w:space="0" w:color="auto"/>
        <w:left w:val="none" w:sz="0" w:space="0" w:color="auto"/>
        <w:bottom w:val="none" w:sz="0" w:space="0" w:color="auto"/>
        <w:right w:val="none" w:sz="0" w:space="0" w:color="auto"/>
      </w:divBdr>
      <w:divsChild>
        <w:div w:id="178472357">
          <w:marLeft w:val="0"/>
          <w:marRight w:val="0"/>
          <w:marTop w:val="0"/>
          <w:marBottom w:val="120"/>
          <w:divBdr>
            <w:top w:val="none" w:sz="0" w:space="0" w:color="auto"/>
            <w:left w:val="none" w:sz="0" w:space="0" w:color="auto"/>
            <w:bottom w:val="none" w:sz="0" w:space="0" w:color="auto"/>
            <w:right w:val="none" w:sz="0" w:space="0" w:color="auto"/>
          </w:divBdr>
        </w:div>
      </w:divsChild>
    </w:div>
    <w:div w:id="1843161496">
      <w:marLeft w:val="0"/>
      <w:marRight w:val="0"/>
      <w:marTop w:val="240"/>
      <w:marBottom w:val="0"/>
      <w:divBdr>
        <w:top w:val="none" w:sz="0" w:space="0" w:color="auto"/>
        <w:left w:val="none" w:sz="0" w:space="0" w:color="auto"/>
        <w:bottom w:val="none" w:sz="0" w:space="0" w:color="auto"/>
        <w:right w:val="none" w:sz="0" w:space="0" w:color="auto"/>
      </w:divBdr>
    </w:div>
    <w:div w:id="1844200535">
      <w:marLeft w:val="0"/>
      <w:marRight w:val="0"/>
      <w:marTop w:val="0"/>
      <w:marBottom w:val="120"/>
      <w:divBdr>
        <w:top w:val="none" w:sz="0" w:space="0" w:color="auto"/>
        <w:left w:val="none" w:sz="0" w:space="0" w:color="auto"/>
        <w:bottom w:val="none" w:sz="0" w:space="0" w:color="auto"/>
        <w:right w:val="none" w:sz="0" w:space="0" w:color="auto"/>
      </w:divBdr>
    </w:div>
    <w:div w:id="1844931122">
      <w:marLeft w:val="0"/>
      <w:marRight w:val="0"/>
      <w:marTop w:val="0"/>
      <w:marBottom w:val="120"/>
      <w:divBdr>
        <w:top w:val="none" w:sz="0" w:space="0" w:color="auto"/>
        <w:left w:val="none" w:sz="0" w:space="0" w:color="auto"/>
        <w:bottom w:val="none" w:sz="0" w:space="0" w:color="auto"/>
        <w:right w:val="none" w:sz="0" w:space="0" w:color="auto"/>
      </w:divBdr>
    </w:div>
    <w:div w:id="1844975486">
      <w:marLeft w:val="0"/>
      <w:marRight w:val="0"/>
      <w:marTop w:val="0"/>
      <w:marBottom w:val="120"/>
      <w:divBdr>
        <w:top w:val="none" w:sz="0" w:space="0" w:color="auto"/>
        <w:left w:val="none" w:sz="0" w:space="0" w:color="auto"/>
        <w:bottom w:val="none" w:sz="0" w:space="0" w:color="auto"/>
        <w:right w:val="none" w:sz="0" w:space="0" w:color="auto"/>
      </w:divBdr>
    </w:div>
    <w:div w:id="1846047601">
      <w:marLeft w:val="0"/>
      <w:marRight w:val="0"/>
      <w:marTop w:val="0"/>
      <w:marBottom w:val="120"/>
      <w:divBdr>
        <w:top w:val="none" w:sz="0" w:space="0" w:color="auto"/>
        <w:left w:val="none" w:sz="0" w:space="0" w:color="auto"/>
        <w:bottom w:val="none" w:sz="0" w:space="0" w:color="auto"/>
        <w:right w:val="none" w:sz="0" w:space="0" w:color="auto"/>
      </w:divBdr>
    </w:div>
    <w:div w:id="1853831866">
      <w:marLeft w:val="0"/>
      <w:marRight w:val="0"/>
      <w:marTop w:val="0"/>
      <w:marBottom w:val="120"/>
      <w:divBdr>
        <w:top w:val="none" w:sz="0" w:space="0" w:color="auto"/>
        <w:left w:val="none" w:sz="0" w:space="0" w:color="auto"/>
        <w:bottom w:val="none" w:sz="0" w:space="0" w:color="auto"/>
        <w:right w:val="none" w:sz="0" w:space="0" w:color="auto"/>
      </w:divBdr>
    </w:div>
    <w:div w:id="1856535057">
      <w:marLeft w:val="0"/>
      <w:marRight w:val="0"/>
      <w:marTop w:val="0"/>
      <w:marBottom w:val="120"/>
      <w:divBdr>
        <w:top w:val="none" w:sz="0" w:space="0" w:color="auto"/>
        <w:left w:val="none" w:sz="0" w:space="0" w:color="auto"/>
        <w:bottom w:val="none" w:sz="0" w:space="0" w:color="auto"/>
        <w:right w:val="none" w:sz="0" w:space="0" w:color="auto"/>
      </w:divBdr>
    </w:div>
    <w:div w:id="1857034529">
      <w:marLeft w:val="0"/>
      <w:marRight w:val="0"/>
      <w:marTop w:val="0"/>
      <w:marBottom w:val="120"/>
      <w:divBdr>
        <w:top w:val="none" w:sz="0" w:space="0" w:color="auto"/>
        <w:left w:val="none" w:sz="0" w:space="0" w:color="auto"/>
        <w:bottom w:val="none" w:sz="0" w:space="0" w:color="auto"/>
        <w:right w:val="none" w:sz="0" w:space="0" w:color="auto"/>
      </w:divBdr>
      <w:divsChild>
        <w:div w:id="1983534790">
          <w:marLeft w:val="0"/>
          <w:marRight w:val="0"/>
          <w:marTop w:val="0"/>
          <w:marBottom w:val="0"/>
          <w:divBdr>
            <w:top w:val="none" w:sz="0" w:space="0" w:color="auto"/>
            <w:left w:val="none" w:sz="0" w:space="0" w:color="auto"/>
            <w:bottom w:val="none" w:sz="0" w:space="0" w:color="auto"/>
            <w:right w:val="none" w:sz="0" w:space="0" w:color="auto"/>
          </w:divBdr>
        </w:div>
      </w:divsChild>
    </w:div>
    <w:div w:id="1857304681">
      <w:marLeft w:val="0"/>
      <w:marRight w:val="0"/>
      <w:marTop w:val="0"/>
      <w:marBottom w:val="120"/>
      <w:divBdr>
        <w:top w:val="none" w:sz="0" w:space="0" w:color="auto"/>
        <w:left w:val="none" w:sz="0" w:space="0" w:color="auto"/>
        <w:bottom w:val="none" w:sz="0" w:space="0" w:color="auto"/>
        <w:right w:val="none" w:sz="0" w:space="0" w:color="auto"/>
      </w:divBdr>
    </w:div>
    <w:div w:id="1861238057">
      <w:marLeft w:val="0"/>
      <w:marRight w:val="0"/>
      <w:marTop w:val="0"/>
      <w:marBottom w:val="0"/>
      <w:divBdr>
        <w:top w:val="none" w:sz="0" w:space="0" w:color="auto"/>
        <w:left w:val="none" w:sz="0" w:space="0" w:color="auto"/>
        <w:bottom w:val="none" w:sz="0" w:space="0" w:color="auto"/>
        <w:right w:val="none" w:sz="0" w:space="0" w:color="auto"/>
      </w:divBdr>
      <w:divsChild>
        <w:div w:id="2135557417">
          <w:marLeft w:val="0"/>
          <w:marRight w:val="0"/>
          <w:marTop w:val="0"/>
          <w:marBottom w:val="120"/>
          <w:divBdr>
            <w:top w:val="none" w:sz="0" w:space="0" w:color="auto"/>
            <w:left w:val="none" w:sz="0" w:space="0" w:color="auto"/>
            <w:bottom w:val="none" w:sz="0" w:space="0" w:color="auto"/>
            <w:right w:val="none" w:sz="0" w:space="0" w:color="auto"/>
          </w:divBdr>
        </w:div>
      </w:divsChild>
    </w:div>
    <w:div w:id="1865435414">
      <w:marLeft w:val="0"/>
      <w:marRight w:val="0"/>
      <w:marTop w:val="0"/>
      <w:marBottom w:val="120"/>
      <w:divBdr>
        <w:top w:val="none" w:sz="0" w:space="0" w:color="auto"/>
        <w:left w:val="none" w:sz="0" w:space="0" w:color="auto"/>
        <w:bottom w:val="none" w:sz="0" w:space="0" w:color="auto"/>
        <w:right w:val="none" w:sz="0" w:space="0" w:color="auto"/>
      </w:divBdr>
    </w:div>
    <w:div w:id="1866937206">
      <w:marLeft w:val="0"/>
      <w:marRight w:val="0"/>
      <w:marTop w:val="0"/>
      <w:marBottom w:val="120"/>
      <w:divBdr>
        <w:top w:val="none" w:sz="0" w:space="0" w:color="auto"/>
        <w:left w:val="none" w:sz="0" w:space="0" w:color="auto"/>
        <w:bottom w:val="none" w:sz="0" w:space="0" w:color="auto"/>
        <w:right w:val="none" w:sz="0" w:space="0" w:color="auto"/>
      </w:divBdr>
    </w:div>
    <w:div w:id="1867599457">
      <w:marLeft w:val="0"/>
      <w:marRight w:val="0"/>
      <w:marTop w:val="240"/>
      <w:marBottom w:val="0"/>
      <w:divBdr>
        <w:top w:val="none" w:sz="0" w:space="0" w:color="auto"/>
        <w:left w:val="none" w:sz="0" w:space="0" w:color="auto"/>
        <w:bottom w:val="none" w:sz="0" w:space="0" w:color="auto"/>
        <w:right w:val="none" w:sz="0" w:space="0" w:color="auto"/>
      </w:divBdr>
    </w:div>
    <w:div w:id="1868641772">
      <w:marLeft w:val="0"/>
      <w:marRight w:val="0"/>
      <w:marTop w:val="0"/>
      <w:marBottom w:val="120"/>
      <w:divBdr>
        <w:top w:val="none" w:sz="0" w:space="0" w:color="auto"/>
        <w:left w:val="none" w:sz="0" w:space="0" w:color="auto"/>
        <w:bottom w:val="none" w:sz="0" w:space="0" w:color="auto"/>
        <w:right w:val="none" w:sz="0" w:space="0" w:color="auto"/>
      </w:divBdr>
    </w:div>
    <w:div w:id="1869101508">
      <w:marLeft w:val="0"/>
      <w:marRight w:val="0"/>
      <w:marTop w:val="0"/>
      <w:marBottom w:val="120"/>
      <w:divBdr>
        <w:top w:val="none" w:sz="0" w:space="0" w:color="auto"/>
        <w:left w:val="none" w:sz="0" w:space="0" w:color="auto"/>
        <w:bottom w:val="none" w:sz="0" w:space="0" w:color="auto"/>
        <w:right w:val="none" w:sz="0" w:space="0" w:color="auto"/>
      </w:divBdr>
    </w:div>
    <w:div w:id="1872381441">
      <w:marLeft w:val="0"/>
      <w:marRight w:val="0"/>
      <w:marTop w:val="0"/>
      <w:marBottom w:val="120"/>
      <w:divBdr>
        <w:top w:val="none" w:sz="0" w:space="0" w:color="auto"/>
        <w:left w:val="none" w:sz="0" w:space="0" w:color="auto"/>
        <w:bottom w:val="none" w:sz="0" w:space="0" w:color="auto"/>
        <w:right w:val="none" w:sz="0" w:space="0" w:color="auto"/>
      </w:divBdr>
    </w:div>
    <w:div w:id="1873379294">
      <w:marLeft w:val="0"/>
      <w:marRight w:val="0"/>
      <w:marTop w:val="0"/>
      <w:marBottom w:val="120"/>
      <w:divBdr>
        <w:top w:val="none" w:sz="0" w:space="0" w:color="auto"/>
        <w:left w:val="none" w:sz="0" w:space="0" w:color="auto"/>
        <w:bottom w:val="none" w:sz="0" w:space="0" w:color="auto"/>
        <w:right w:val="none" w:sz="0" w:space="0" w:color="auto"/>
      </w:divBdr>
    </w:div>
    <w:div w:id="1876842502">
      <w:marLeft w:val="0"/>
      <w:marRight w:val="0"/>
      <w:marTop w:val="0"/>
      <w:marBottom w:val="240"/>
      <w:divBdr>
        <w:top w:val="none" w:sz="0" w:space="0" w:color="auto"/>
        <w:left w:val="none" w:sz="0" w:space="0" w:color="auto"/>
        <w:bottom w:val="none" w:sz="0" w:space="0" w:color="auto"/>
        <w:right w:val="none" w:sz="0" w:space="0" w:color="auto"/>
      </w:divBdr>
    </w:div>
    <w:div w:id="1879664556">
      <w:marLeft w:val="0"/>
      <w:marRight w:val="0"/>
      <w:marTop w:val="0"/>
      <w:marBottom w:val="0"/>
      <w:divBdr>
        <w:top w:val="none" w:sz="0" w:space="0" w:color="auto"/>
        <w:left w:val="none" w:sz="0" w:space="0" w:color="auto"/>
        <w:bottom w:val="none" w:sz="0" w:space="0" w:color="auto"/>
        <w:right w:val="none" w:sz="0" w:space="0" w:color="auto"/>
      </w:divBdr>
      <w:divsChild>
        <w:div w:id="775444749">
          <w:marLeft w:val="0"/>
          <w:marRight w:val="0"/>
          <w:marTop w:val="0"/>
          <w:marBottom w:val="0"/>
          <w:divBdr>
            <w:top w:val="none" w:sz="0" w:space="0" w:color="auto"/>
            <w:left w:val="none" w:sz="0" w:space="0" w:color="auto"/>
            <w:bottom w:val="none" w:sz="0" w:space="0" w:color="auto"/>
            <w:right w:val="none" w:sz="0" w:space="0" w:color="auto"/>
          </w:divBdr>
          <w:divsChild>
            <w:div w:id="17182389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80120856">
      <w:marLeft w:val="0"/>
      <w:marRight w:val="0"/>
      <w:marTop w:val="0"/>
      <w:marBottom w:val="120"/>
      <w:divBdr>
        <w:top w:val="none" w:sz="0" w:space="0" w:color="auto"/>
        <w:left w:val="none" w:sz="0" w:space="0" w:color="auto"/>
        <w:bottom w:val="none" w:sz="0" w:space="0" w:color="auto"/>
        <w:right w:val="none" w:sz="0" w:space="0" w:color="auto"/>
      </w:divBdr>
    </w:div>
    <w:div w:id="1884100500">
      <w:marLeft w:val="0"/>
      <w:marRight w:val="0"/>
      <w:marTop w:val="0"/>
      <w:marBottom w:val="120"/>
      <w:divBdr>
        <w:top w:val="none" w:sz="0" w:space="0" w:color="auto"/>
        <w:left w:val="none" w:sz="0" w:space="0" w:color="auto"/>
        <w:bottom w:val="none" w:sz="0" w:space="0" w:color="auto"/>
        <w:right w:val="none" w:sz="0" w:space="0" w:color="auto"/>
      </w:divBdr>
    </w:div>
    <w:div w:id="1886719283">
      <w:marLeft w:val="0"/>
      <w:marRight w:val="0"/>
      <w:marTop w:val="0"/>
      <w:marBottom w:val="120"/>
      <w:divBdr>
        <w:top w:val="none" w:sz="0" w:space="0" w:color="auto"/>
        <w:left w:val="none" w:sz="0" w:space="0" w:color="auto"/>
        <w:bottom w:val="none" w:sz="0" w:space="0" w:color="auto"/>
        <w:right w:val="none" w:sz="0" w:space="0" w:color="auto"/>
      </w:divBdr>
    </w:div>
    <w:div w:id="1891108774">
      <w:marLeft w:val="0"/>
      <w:marRight w:val="0"/>
      <w:marTop w:val="0"/>
      <w:marBottom w:val="120"/>
      <w:divBdr>
        <w:top w:val="none" w:sz="0" w:space="0" w:color="auto"/>
        <w:left w:val="none" w:sz="0" w:space="0" w:color="auto"/>
        <w:bottom w:val="none" w:sz="0" w:space="0" w:color="auto"/>
        <w:right w:val="none" w:sz="0" w:space="0" w:color="auto"/>
      </w:divBdr>
    </w:div>
    <w:div w:id="1892380543">
      <w:marLeft w:val="0"/>
      <w:marRight w:val="0"/>
      <w:marTop w:val="240"/>
      <w:marBottom w:val="0"/>
      <w:divBdr>
        <w:top w:val="none" w:sz="0" w:space="0" w:color="auto"/>
        <w:left w:val="none" w:sz="0" w:space="0" w:color="auto"/>
        <w:bottom w:val="none" w:sz="0" w:space="0" w:color="auto"/>
        <w:right w:val="none" w:sz="0" w:space="0" w:color="auto"/>
      </w:divBdr>
    </w:div>
    <w:div w:id="1897162314">
      <w:marLeft w:val="0"/>
      <w:marRight w:val="0"/>
      <w:marTop w:val="0"/>
      <w:marBottom w:val="120"/>
      <w:divBdr>
        <w:top w:val="none" w:sz="0" w:space="0" w:color="auto"/>
        <w:left w:val="none" w:sz="0" w:space="0" w:color="auto"/>
        <w:bottom w:val="none" w:sz="0" w:space="0" w:color="auto"/>
        <w:right w:val="none" w:sz="0" w:space="0" w:color="auto"/>
      </w:divBdr>
    </w:div>
    <w:div w:id="1899437792">
      <w:marLeft w:val="0"/>
      <w:marRight w:val="0"/>
      <w:marTop w:val="240"/>
      <w:marBottom w:val="0"/>
      <w:divBdr>
        <w:top w:val="none" w:sz="0" w:space="0" w:color="auto"/>
        <w:left w:val="none" w:sz="0" w:space="0" w:color="auto"/>
        <w:bottom w:val="none" w:sz="0" w:space="0" w:color="auto"/>
        <w:right w:val="none" w:sz="0" w:space="0" w:color="auto"/>
      </w:divBdr>
    </w:div>
    <w:div w:id="1900359054">
      <w:marLeft w:val="0"/>
      <w:marRight w:val="0"/>
      <w:marTop w:val="0"/>
      <w:marBottom w:val="0"/>
      <w:divBdr>
        <w:top w:val="none" w:sz="0" w:space="0" w:color="auto"/>
        <w:left w:val="none" w:sz="0" w:space="0" w:color="auto"/>
        <w:bottom w:val="none" w:sz="0" w:space="0" w:color="auto"/>
        <w:right w:val="none" w:sz="0" w:space="0" w:color="auto"/>
      </w:divBdr>
      <w:divsChild>
        <w:div w:id="1152331692">
          <w:marLeft w:val="0"/>
          <w:marRight w:val="0"/>
          <w:marTop w:val="0"/>
          <w:marBottom w:val="120"/>
          <w:divBdr>
            <w:top w:val="none" w:sz="0" w:space="0" w:color="auto"/>
            <w:left w:val="none" w:sz="0" w:space="0" w:color="auto"/>
            <w:bottom w:val="none" w:sz="0" w:space="0" w:color="auto"/>
            <w:right w:val="none" w:sz="0" w:space="0" w:color="auto"/>
          </w:divBdr>
        </w:div>
      </w:divsChild>
    </w:div>
    <w:div w:id="1901624477">
      <w:marLeft w:val="0"/>
      <w:marRight w:val="0"/>
      <w:marTop w:val="0"/>
      <w:marBottom w:val="120"/>
      <w:divBdr>
        <w:top w:val="none" w:sz="0" w:space="0" w:color="auto"/>
        <w:left w:val="none" w:sz="0" w:space="0" w:color="auto"/>
        <w:bottom w:val="none" w:sz="0" w:space="0" w:color="auto"/>
        <w:right w:val="none" w:sz="0" w:space="0" w:color="auto"/>
      </w:divBdr>
    </w:div>
    <w:div w:id="1905486310">
      <w:marLeft w:val="0"/>
      <w:marRight w:val="0"/>
      <w:marTop w:val="0"/>
      <w:marBottom w:val="0"/>
      <w:divBdr>
        <w:top w:val="none" w:sz="0" w:space="0" w:color="auto"/>
        <w:left w:val="none" w:sz="0" w:space="0" w:color="auto"/>
        <w:bottom w:val="none" w:sz="0" w:space="0" w:color="auto"/>
        <w:right w:val="none" w:sz="0" w:space="0" w:color="auto"/>
      </w:divBdr>
      <w:divsChild>
        <w:div w:id="1724519371">
          <w:marLeft w:val="0"/>
          <w:marRight w:val="0"/>
          <w:marTop w:val="0"/>
          <w:marBottom w:val="120"/>
          <w:divBdr>
            <w:top w:val="none" w:sz="0" w:space="0" w:color="auto"/>
            <w:left w:val="none" w:sz="0" w:space="0" w:color="auto"/>
            <w:bottom w:val="none" w:sz="0" w:space="0" w:color="auto"/>
            <w:right w:val="none" w:sz="0" w:space="0" w:color="auto"/>
          </w:divBdr>
        </w:div>
      </w:divsChild>
    </w:div>
    <w:div w:id="1905872094">
      <w:marLeft w:val="0"/>
      <w:marRight w:val="0"/>
      <w:marTop w:val="0"/>
      <w:marBottom w:val="0"/>
      <w:divBdr>
        <w:top w:val="none" w:sz="0" w:space="0" w:color="auto"/>
        <w:left w:val="none" w:sz="0" w:space="0" w:color="auto"/>
        <w:bottom w:val="none" w:sz="0" w:space="0" w:color="auto"/>
        <w:right w:val="none" w:sz="0" w:space="0" w:color="auto"/>
      </w:divBdr>
      <w:divsChild>
        <w:div w:id="839276513">
          <w:marLeft w:val="0"/>
          <w:marRight w:val="0"/>
          <w:marTop w:val="0"/>
          <w:marBottom w:val="120"/>
          <w:divBdr>
            <w:top w:val="none" w:sz="0" w:space="0" w:color="auto"/>
            <w:left w:val="none" w:sz="0" w:space="0" w:color="auto"/>
            <w:bottom w:val="none" w:sz="0" w:space="0" w:color="auto"/>
            <w:right w:val="none" w:sz="0" w:space="0" w:color="auto"/>
          </w:divBdr>
        </w:div>
      </w:divsChild>
    </w:div>
    <w:div w:id="1909805952">
      <w:marLeft w:val="0"/>
      <w:marRight w:val="0"/>
      <w:marTop w:val="0"/>
      <w:marBottom w:val="0"/>
      <w:divBdr>
        <w:top w:val="none" w:sz="0" w:space="0" w:color="auto"/>
        <w:left w:val="none" w:sz="0" w:space="0" w:color="auto"/>
        <w:bottom w:val="none" w:sz="0" w:space="0" w:color="auto"/>
        <w:right w:val="none" w:sz="0" w:space="0" w:color="auto"/>
      </w:divBdr>
      <w:divsChild>
        <w:div w:id="1824196488">
          <w:marLeft w:val="0"/>
          <w:marRight w:val="0"/>
          <w:marTop w:val="0"/>
          <w:marBottom w:val="0"/>
          <w:divBdr>
            <w:top w:val="none" w:sz="0" w:space="0" w:color="auto"/>
            <w:left w:val="none" w:sz="0" w:space="0" w:color="auto"/>
            <w:bottom w:val="none" w:sz="0" w:space="0" w:color="auto"/>
            <w:right w:val="none" w:sz="0" w:space="0" w:color="auto"/>
          </w:divBdr>
          <w:divsChild>
            <w:div w:id="6040013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15696300">
      <w:marLeft w:val="0"/>
      <w:marRight w:val="0"/>
      <w:marTop w:val="0"/>
      <w:marBottom w:val="120"/>
      <w:divBdr>
        <w:top w:val="none" w:sz="0" w:space="0" w:color="auto"/>
        <w:left w:val="none" w:sz="0" w:space="0" w:color="auto"/>
        <w:bottom w:val="none" w:sz="0" w:space="0" w:color="auto"/>
        <w:right w:val="none" w:sz="0" w:space="0" w:color="auto"/>
      </w:divBdr>
    </w:div>
    <w:div w:id="1919633541">
      <w:marLeft w:val="0"/>
      <w:marRight w:val="0"/>
      <w:marTop w:val="0"/>
      <w:marBottom w:val="120"/>
      <w:divBdr>
        <w:top w:val="none" w:sz="0" w:space="0" w:color="auto"/>
        <w:left w:val="none" w:sz="0" w:space="0" w:color="auto"/>
        <w:bottom w:val="none" w:sz="0" w:space="0" w:color="auto"/>
        <w:right w:val="none" w:sz="0" w:space="0" w:color="auto"/>
      </w:divBdr>
    </w:div>
    <w:div w:id="1921672188">
      <w:marLeft w:val="0"/>
      <w:marRight w:val="0"/>
      <w:marTop w:val="0"/>
      <w:marBottom w:val="0"/>
      <w:divBdr>
        <w:top w:val="none" w:sz="0" w:space="0" w:color="auto"/>
        <w:left w:val="none" w:sz="0" w:space="0" w:color="auto"/>
        <w:bottom w:val="none" w:sz="0" w:space="0" w:color="auto"/>
        <w:right w:val="none" w:sz="0" w:space="0" w:color="auto"/>
      </w:divBdr>
      <w:divsChild>
        <w:div w:id="1272320474">
          <w:marLeft w:val="0"/>
          <w:marRight w:val="0"/>
          <w:marTop w:val="0"/>
          <w:marBottom w:val="120"/>
          <w:divBdr>
            <w:top w:val="none" w:sz="0" w:space="0" w:color="auto"/>
            <w:left w:val="none" w:sz="0" w:space="0" w:color="auto"/>
            <w:bottom w:val="none" w:sz="0" w:space="0" w:color="auto"/>
            <w:right w:val="none" w:sz="0" w:space="0" w:color="auto"/>
          </w:divBdr>
        </w:div>
      </w:divsChild>
    </w:div>
    <w:div w:id="1922106237">
      <w:marLeft w:val="0"/>
      <w:marRight w:val="0"/>
      <w:marTop w:val="0"/>
      <w:marBottom w:val="120"/>
      <w:divBdr>
        <w:top w:val="none" w:sz="0" w:space="0" w:color="auto"/>
        <w:left w:val="none" w:sz="0" w:space="0" w:color="auto"/>
        <w:bottom w:val="none" w:sz="0" w:space="0" w:color="auto"/>
        <w:right w:val="none" w:sz="0" w:space="0" w:color="auto"/>
      </w:divBdr>
    </w:div>
    <w:div w:id="1924492331">
      <w:marLeft w:val="0"/>
      <w:marRight w:val="0"/>
      <w:marTop w:val="0"/>
      <w:marBottom w:val="120"/>
      <w:divBdr>
        <w:top w:val="none" w:sz="0" w:space="0" w:color="auto"/>
        <w:left w:val="none" w:sz="0" w:space="0" w:color="auto"/>
        <w:bottom w:val="none" w:sz="0" w:space="0" w:color="auto"/>
        <w:right w:val="none" w:sz="0" w:space="0" w:color="auto"/>
      </w:divBdr>
    </w:div>
    <w:div w:id="1926189011">
      <w:marLeft w:val="0"/>
      <w:marRight w:val="0"/>
      <w:marTop w:val="0"/>
      <w:marBottom w:val="120"/>
      <w:divBdr>
        <w:top w:val="none" w:sz="0" w:space="0" w:color="auto"/>
        <w:left w:val="none" w:sz="0" w:space="0" w:color="auto"/>
        <w:bottom w:val="none" w:sz="0" w:space="0" w:color="auto"/>
        <w:right w:val="none" w:sz="0" w:space="0" w:color="auto"/>
      </w:divBdr>
    </w:div>
    <w:div w:id="1926373511">
      <w:marLeft w:val="0"/>
      <w:marRight w:val="0"/>
      <w:marTop w:val="0"/>
      <w:marBottom w:val="0"/>
      <w:divBdr>
        <w:top w:val="none" w:sz="0" w:space="0" w:color="auto"/>
        <w:left w:val="none" w:sz="0" w:space="0" w:color="auto"/>
        <w:bottom w:val="none" w:sz="0" w:space="0" w:color="auto"/>
        <w:right w:val="none" w:sz="0" w:space="0" w:color="auto"/>
      </w:divBdr>
      <w:divsChild>
        <w:div w:id="892041668">
          <w:marLeft w:val="0"/>
          <w:marRight w:val="0"/>
          <w:marTop w:val="0"/>
          <w:marBottom w:val="120"/>
          <w:divBdr>
            <w:top w:val="none" w:sz="0" w:space="0" w:color="auto"/>
            <w:left w:val="none" w:sz="0" w:space="0" w:color="auto"/>
            <w:bottom w:val="none" w:sz="0" w:space="0" w:color="auto"/>
            <w:right w:val="none" w:sz="0" w:space="0" w:color="auto"/>
          </w:divBdr>
        </w:div>
      </w:divsChild>
    </w:div>
    <w:div w:id="1927611859">
      <w:marLeft w:val="0"/>
      <w:marRight w:val="0"/>
      <w:marTop w:val="0"/>
      <w:marBottom w:val="0"/>
      <w:divBdr>
        <w:top w:val="none" w:sz="0" w:space="0" w:color="auto"/>
        <w:left w:val="none" w:sz="0" w:space="0" w:color="auto"/>
        <w:bottom w:val="none" w:sz="0" w:space="0" w:color="auto"/>
        <w:right w:val="none" w:sz="0" w:space="0" w:color="auto"/>
      </w:divBdr>
    </w:div>
    <w:div w:id="1928223197">
      <w:marLeft w:val="0"/>
      <w:marRight w:val="0"/>
      <w:marTop w:val="0"/>
      <w:marBottom w:val="0"/>
      <w:divBdr>
        <w:top w:val="none" w:sz="0" w:space="0" w:color="auto"/>
        <w:left w:val="none" w:sz="0" w:space="0" w:color="auto"/>
        <w:bottom w:val="none" w:sz="0" w:space="0" w:color="auto"/>
        <w:right w:val="none" w:sz="0" w:space="0" w:color="auto"/>
      </w:divBdr>
      <w:divsChild>
        <w:div w:id="313221210">
          <w:marLeft w:val="0"/>
          <w:marRight w:val="0"/>
          <w:marTop w:val="0"/>
          <w:marBottom w:val="120"/>
          <w:divBdr>
            <w:top w:val="none" w:sz="0" w:space="0" w:color="auto"/>
            <w:left w:val="none" w:sz="0" w:space="0" w:color="auto"/>
            <w:bottom w:val="none" w:sz="0" w:space="0" w:color="auto"/>
            <w:right w:val="none" w:sz="0" w:space="0" w:color="auto"/>
          </w:divBdr>
        </w:div>
      </w:divsChild>
    </w:div>
    <w:div w:id="1928806146">
      <w:marLeft w:val="0"/>
      <w:marRight w:val="0"/>
      <w:marTop w:val="0"/>
      <w:marBottom w:val="120"/>
      <w:divBdr>
        <w:top w:val="none" w:sz="0" w:space="0" w:color="auto"/>
        <w:left w:val="none" w:sz="0" w:space="0" w:color="auto"/>
        <w:bottom w:val="none" w:sz="0" w:space="0" w:color="auto"/>
        <w:right w:val="none" w:sz="0" w:space="0" w:color="auto"/>
      </w:divBdr>
    </w:div>
    <w:div w:id="1934317150">
      <w:marLeft w:val="0"/>
      <w:marRight w:val="0"/>
      <w:marTop w:val="0"/>
      <w:marBottom w:val="120"/>
      <w:divBdr>
        <w:top w:val="none" w:sz="0" w:space="0" w:color="auto"/>
        <w:left w:val="none" w:sz="0" w:space="0" w:color="auto"/>
        <w:bottom w:val="none" w:sz="0" w:space="0" w:color="auto"/>
        <w:right w:val="none" w:sz="0" w:space="0" w:color="auto"/>
      </w:divBdr>
    </w:div>
    <w:div w:id="1936743159">
      <w:marLeft w:val="0"/>
      <w:marRight w:val="0"/>
      <w:marTop w:val="0"/>
      <w:marBottom w:val="0"/>
      <w:divBdr>
        <w:top w:val="none" w:sz="0" w:space="0" w:color="auto"/>
        <w:left w:val="none" w:sz="0" w:space="0" w:color="auto"/>
        <w:bottom w:val="none" w:sz="0" w:space="0" w:color="auto"/>
        <w:right w:val="none" w:sz="0" w:space="0" w:color="auto"/>
      </w:divBdr>
      <w:divsChild>
        <w:div w:id="991450951">
          <w:marLeft w:val="0"/>
          <w:marRight w:val="0"/>
          <w:marTop w:val="0"/>
          <w:marBottom w:val="120"/>
          <w:divBdr>
            <w:top w:val="none" w:sz="0" w:space="0" w:color="auto"/>
            <w:left w:val="none" w:sz="0" w:space="0" w:color="auto"/>
            <w:bottom w:val="none" w:sz="0" w:space="0" w:color="auto"/>
            <w:right w:val="none" w:sz="0" w:space="0" w:color="auto"/>
          </w:divBdr>
        </w:div>
      </w:divsChild>
    </w:div>
    <w:div w:id="1937594711">
      <w:marLeft w:val="0"/>
      <w:marRight w:val="0"/>
      <w:marTop w:val="0"/>
      <w:marBottom w:val="120"/>
      <w:divBdr>
        <w:top w:val="none" w:sz="0" w:space="0" w:color="auto"/>
        <w:left w:val="none" w:sz="0" w:space="0" w:color="auto"/>
        <w:bottom w:val="none" w:sz="0" w:space="0" w:color="auto"/>
        <w:right w:val="none" w:sz="0" w:space="0" w:color="auto"/>
      </w:divBdr>
      <w:divsChild>
        <w:div w:id="657000989">
          <w:marLeft w:val="0"/>
          <w:marRight w:val="0"/>
          <w:marTop w:val="0"/>
          <w:marBottom w:val="0"/>
          <w:divBdr>
            <w:top w:val="none" w:sz="0" w:space="0" w:color="auto"/>
            <w:left w:val="none" w:sz="0" w:space="0" w:color="auto"/>
            <w:bottom w:val="none" w:sz="0" w:space="0" w:color="auto"/>
            <w:right w:val="none" w:sz="0" w:space="0" w:color="auto"/>
          </w:divBdr>
        </w:div>
        <w:div w:id="356932710">
          <w:marLeft w:val="0"/>
          <w:marRight w:val="0"/>
          <w:marTop w:val="0"/>
          <w:marBottom w:val="0"/>
          <w:divBdr>
            <w:top w:val="none" w:sz="0" w:space="0" w:color="auto"/>
            <w:left w:val="none" w:sz="0" w:space="0" w:color="auto"/>
            <w:bottom w:val="none" w:sz="0" w:space="0" w:color="auto"/>
            <w:right w:val="none" w:sz="0" w:space="0" w:color="auto"/>
          </w:divBdr>
        </w:div>
      </w:divsChild>
    </w:div>
    <w:div w:id="1937863330">
      <w:marLeft w:val="0"/>
      <w:marRight w:val="0"/>
      <w:marTop w:val="0"/>
      <w:marBottom w:val="0"/>
      <w:divBdr>
        <w:top w:val="none" w:sz="0" w:space="0" w:color="auto"/>
        <w:left w:val="none" w:sz="0" w:space="0" w:color="auto"/>
        <w:bottom w:val="none" w:sz="0" w:space="0" w:color="auto"/>
        <w:right w:val="none" w:sz="0" w:space="0" w:color="auto"/>
      </w:divBdr>
      <w:divsChild>
        <w:div w:id="1114053080">
          <w:marLeft w:val="0"/>
          <w:marRight w:val="0"/>
          <w:marTop w:val="0"/>
          <w:marBottom w:val="0"/>
          <w:divBdr>
            <w:top w:val="none" w:sz="0" w:space="0" w:color="auto"/>
            <w:left w:val="none" w:sz="0" w:space="0" w:color="auto"/>
            <w:bottom w:val="none" w:sz="0" w:space="0" w:color="auto"/>
            <w:right w:val="none" w:sz="0" w:space="0" w:color="auto"/>
          </w:divBdr>
          <w:divsChild>
            <w:div w:id="6065452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45109440">
      <w:marLeft w:val="0"/>
      <w:marRight w:val="0"/>
      <w:marTop w:val="0"/>
      <w:marBottom w:val="120"/>
      <w:divBdr>
        <w:top w:val="none" w:sz="0" w:space="0" w:color="auto"/>
        <w:left w:val="none" w:sz="0" w:space="0" w:color="auto"/>
        <w:bottom w:val="none" w:sz="0" w:space="0" w:color="auto"/>
        <w:right w:val="none" w:sz="0" w:space="0" w:color="auto"/>
      </w:divBdr>
    </w:div>
    <w:div w:id="1950045076">
      <w:marLeft w:val="0"/>
      <w:marRight w:val="0"/>
      <w:marTop w:val="240"/>
      <w:marBottom w:val="0"/>
      <w:divBdr>
        <w:top w:val="none" w:sz="0" w:space="0" w:color="auto"/>
        <w:left w:val="none" w:sz="0" w:space="0" w:color="auto"/>
        <w:bottom w:val="none" w:sz="0" w:space="0" w:color="auto"/>
        <w:right w:val="none" w:sz="0" w:space="0" w:color="auto"/>
      </w:divBdr>
    </w:div>
    <w:div w:id="1950316203">
      <w:marLeft w:val="0"/>
      <w:marRight w:val="0"/>
      <w:marTop w:val="240"/>
      <w:marBottom w:val="0"/>
      <w:divBdr>
        <w:top w:val="none" w:sz="0" w:space="0" w:color="auto"/>
        <w:left w:val="none" w:sz="0" w:space="0" w:color="auto"/>
        <w:bottom w:val="none" w:sz="0" w:space="0" w:color="auto"/>
        <w:right w:val="none" w:sz="0" w:space="0" w:color="auto"/>
      </w:divBdr>
    </w:div>
    <w:div w:id="1956326084">
      <w:marLeft w:val="0"/>
      <w:marRight w:val="0"/>
      <w:marTop w:val="0"/>
      <w:marBottom w:val="120"/>
      <w:divBdr>
        <w:top w:val="none" w:sz="0" w:space="0" w:color="auto"/>
        <w:left w:val="none" w:sz="0" w:space="0" w:color="auto"/>
        <w:bottom w:val="none" w:sz="0" w:space="0" w:color="auto"/>
        <w:right w:val="none" w:sz="0" w:space="0" w:color="auto"/>
      </w:divBdr>
    </w:div>
    <w:div w:id="1957446221">
      <w:marLeft w:val="0"/>
      <w:marRight w:val="0"/>
      <w:marTop w:val="0"/>
      <w:marBottom w:val="120"/>
      <w:divBdr>
        <w:top w:val="none" w:sz="0" w:space="0" w:color="auto"/>
        <w:left w:val="none" w:sz="0" w:space="0" w:color="auto"/>
        <w:bottom w:val="none" w:sz="0" w:space="0" w:color="auto"/>
        <w:right w:val="none" w:sz="0" w:space="0" w:color="auto"/>
      </w:divBdr>
    </w:div>
    <w:div w:id="1960068470">
      <w:marLeft w:val="0"/>
      <w:marRight w:val="0"/>
      <w:marTop w:val="0"/>
      <w:marBottom w:val="0"/>
      <w:divBdr>
        <w:top w:val="none" w:sz="0" w:space="0" w:color="auto"/>
        <w:left w:val="none" w:sz="0" w:space="0" w:color="auto"/>
        <w:bottom w:val="none" w:sz="0" w:space="0" w:color="auto"/>
        <w:right w:val="none" w:sz="0" w:space="0" w:color="auto"/>
      </w:divBdr>
      <w:divsChild>
        <w:div w:id="163054055">
          <w:marLeft w:val="0"/>
          <w:marRight w:val="0"/>
          <w:marTop w:val="0"/>
          <w:marBottom w:val="0"/>
          <w:divBdr>
            <w:top w:val="none" w:sz="0" w:space="0" w:color="auto"/>
            <w:left w:val="none" w:sz="0" w:space="0" w:color="auto"/>
            <w:bottom w:val="none" w:sz="0" w:space="0" w:color="auto"/>
            <w:right w:val="none" w:sz="0" w:space="0" w:color="auto"/>
          </w:divBdr>
          <w:divsChild>
            <w:div w:id="21102684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61378181">
      <w:marLeft w:val="0"/>
      <w:marRight w:val="0"/>
      <w:marTop w:val="0"/>
      <w:marBottom w:val="120"/>
      <w:divBdr>
        <w:top w:val="none" w:sz="0" w:space="0" w:color="auto"/>
        <w:left w:val="none" w:sz="0" w:space="0" w:color="auto"/>
        <w:bottom w:val="none" w:sz="0" w:space="0" w:color="auto"/>
        <w:right w:val="none" w:sz="0" w:space="0" w:color="auto"/>
      </w:divBdr>
    </w:div>
    <w:div w:id="1967538839">
      <w:marLeft w:val="0"/>
      <w:marRight w:val="0"/>
      <w:marTop w:val="0"/>
      <w:marBottom w:val="120"/>
      <w:divBdr>
        <w:top w:val="none" w:sz="0" w:space="0" w:color="auto"/>
        <w:left w:val="none" w:sz="0" w:space="0" w:color="auto"/>
        <w:bottom w:val="none" w:sz="0" w:space="0" w:color="auto"/>
        <w:right w:val="none" w:sz="0" w:space="0" w:color="auto"/>
      </w:divBdr>
    </w:div>
    <w:div w:id="1969048656">
      <w:marLeft w:val="0"/>
      <w:marRight w:val="0"/>
      <w:marTop w:val="0"/>
      <w:marBottom w:val="120"/>
      <w:divBdr>
        <w:top w:val="none" w:sz="0" w:space="0" w:color="auto"/>
        <w:left w:val="none" w:sz="0" w:space="0" w:color="auto"/>
        <w:bottom w:val="none" w:sz="0" w:space="0" w:color="auto"/>
        <w:right w:val="none" w:sz="0" w:space="0" w:color="auto"/>
      </w:divBdr>
    </w:div>
    <w:div w:id="1972246708">
      <w:marLeft w:val="0"/>
      <w:marRight w:val="0"/>
      <w:marTop w:val="0"/>
      <w:marBottom w:val="0"/>
      <w:divBdr>
        <w:top w:val="none" w:sz="0" w:space="0" w:color="auto"/>
        <w:left w:val="none" w:sz="0" w:space="0" w:color="auto"/>
        <w:bottom w:val="none" w:sz="0" w:space="0" w:color="auto"/>
        <w:right w:val="none" w:sz="0" w:space="0" w:color="auto"/>
      </w:divBdr>
      <w:divsChild>
        <w:div w:id="460924093">
          <w:marLeft w:val="0"/>
          <w:marRight w:val="0"/>
          <w:marTop w:val="0"/>
          <w:marBottom w:val="0"/>
          <w:divBdr>
            <w:top w:val="none" w:sz="0" w:space="0" w:color="auto"/>
            <w:left w:val="none" w:sz="0" w:space="0" w:color="auto"/>
            <w:bottom w:val="none" w:sz="0" w:space="0" w:color="auto"/>
            <w:right w:val="none" w:sz="0" w:space="0" w:color="auto"/>
          </w:divBdr>
          <w:divsChild>
            <w:div w:id="8814768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75452603">
      <w:marLeft w:val="0"/>
      <w:marRight w:val="0"/>
      <w:marTop w:val="240"/>
      <w:marBottom w:val="0"/>
      <w:divBdr>
        <w:top w:val="none" w:sz="0" w:space="0" w:color="auto"/>
        <w:left w:val="none" w:sz="0" w:space="0" w:color="auto"/>
        <w:bottom w:val="none" w:sz="0" w:space="0" w:color="auto"/>
        <w:right w:val="none" w:sz="0" w:space="0" w:color="auto"/>
      </w:divBdr>
    </w:div>
    <w:div w:id="1980916193">
      <w:marLeft w:val="0"/>
      <w:marRight w:val="0"/>
      <w:marTop w:val="0"/>
      <w:marBottom w:val="120"/>
      <w:divBdr>
        <w:top w:val="none" w:sz="0" w:space="0" w:color="auto"/>
        <w:left w:val="none" w:sz="0" w:space="0" w:color="auto"/>
        <w:bottom w:val="none" w:sz="0" w:space="0" w:color="auto"/>
        <w:right w:val="none" w:sz="0" w:space="0" w:color="auto"/>
      </w:divBdr>
    </w:div>
    <w:div w:id="1981374217">
      <w:marLeft w:val="0"/>
      <w:marRight w:val="0"/>
      <w:marTop w:val="0"/>
      <w:marBottom w:val="120"/>
      <w:divBdr>
        <w:top w:val="none" w:sz="0" w:space="0" w:color="auto"/>
        <w:left w:val="none" w:sz="0" w:space="0" w:color="auto"/>
        <w:bottom w:val="none" w:sz="0" w:space="0" w:color="auto"/>
        <w:right w:val="none" w:sz="0" w:space="0" w:color="auto"/>
      </w:divBdr>
    </w:div>
    <w:div w:id="1982418132">
      <w:marLeft w:val="0"/>
      <w:marRight w:val="0"/>
      <w:marTop w:val="0"/>
      <w:marBottom w:val="120"/>
      <w:divBdr>
        <w:top w:val="none" w:sz="0" w:space="0" w:color="auto"/>
        <w:left w:val="none" w:sz="0" w:space="0" w:color="auto"/>
        <w:bottom w:val="none" w:sz="0" w:space="0" w:color="auto"/>
        <w:right w:val="none" w:sz="0" w:space="0" w:color="auto"/>
      </w:divBdr>
    </w:div>
    <w:div w:id="1986081924">
      <w:marLeft w:val="0"/>
      <w:marRight w:val="0"/>
      <w:marTop w:val="0"/>
      <w:marBottom w:val="0"/>
      <w:divBdr>
        <w:top w:val="none" w:sz="0" w:space="0" w:color="auto"/>
        <w:left w:val="none" w:sz="0" w:space="0" w:color="auto"/>
        <w:bottom w:val="none" w:sz="0" w:space="0" w:color="auto"/>
        <w:right w:val="none" w:sz="0" w:space="0" w:color="auto"/>
      </w:divBdr>
      <w:divsChild>
        <w:div w:id="926351416">
          <w:marLeft w:val="0"/>
          <w:marRight w:val="0"/>
          <w:marTop w:val="0"/>
          <w:marBottom w:val="120"/>
          <w:divBdr>
            <w:top w:val="none" w:sz="0" w:space="0" w:color="auto"/>
            <w:left w:val="none" w:sz="0" w:space="0" w:color="auto"/>
            <w:bottom w:val="none" w:sz="0" w:space="0" w:color="auto"/>
            <w:right w:val="none" w:sz="0" w:space="0" w:color="auto"/>
          </w:divBdr>
        </w:div>
      </w:divsChild>
    </w:div>
    <w:div w:id="1986203983">
      <w:marLeft w:val="0"/>
      <w:marRight w:val="0"/>
      <w:marTop w:val="0"/>
      <w:marBottom w:val="120"/>
      <w:divBdr>
        <w:top w:val="none" w:sz="0" w:space="0" w:color="auto"/>
        <w:left w:val="none" w:sz="0" w:space="0" w:color="auto"/>
        <w:bottom w:val="none" w:sz="0" w:space="0" w:color="auto"/>
        <w:right w:val="none" w:sz="0" w:space="0" w:color="auto"/>
      </w:divBdr>
    </w:div>
    <w:div w:id="1993025552">
      <w:marLeft w:val="0"/>
      <w:marRight w:val="0"/>
      <w:marTop w:val="240"/>
      <w:marBottom w:val="0"/>
      <w:divBdr>
        <w:top w:val="none" w:sz="0" w:space="0" w:color="auto"/>
        <w:left w:val="none" w:sz="0" w:space="0" w:color="auto"/>
        <w:bottom w:val="none" w:sz="0" w:space="0" w:color="auto"/>
        <w:right w:val="none" w:sz="0" w:space="0" w:color="auto"/>
      </w:divBdr>
    </w:div>
    <w:div w:id="1995529110">
      <w:marLeft w:val="0"/>
      <w:marRight w:val="0"/>
      <w:marTop w:val="0"/>
      <w:marBottom w:val="120"/>
      <w:divBdr>
        <w:top w:val="none" w:sz="0" w:space="0" w:color="auto"/>
        <w:left w:val="none" w:sz="0" w:space="0" w:color="auto"/>
        <w:bottom w:val="none" w:sz="0" w:space="0" w:color="auto"/>
        <w:right w:val="none" w:sz="0" w:space="0" w:color="auto"/>
      </w:divBdr>
    </w:div>
    <w:div w:id="1996837006">
      <w:marLeft w:val="0"/>
      <w:marRight w:val="0"/>
      <w:marTop w:val="0"/>
      <w:marBottom w:val="120"/>
      <w:divBdr>
        <w:top w:val="none" w:sz="0" w:space="0" w:color="auto"/>
        <w:left w:val="none" w:sz="0" w:space="0" w:color="auto"/>
        <w:bottom w:val="none" w:sz="0" w:space="0" w:color="auto"/>
        <w:right w:val="none" w:sz="0" w:space="0" w:color="auto"/>
      </w:divBdr>
    </w:div>
    <w:div w:id="1998224710">
      <w:marLeft w:val="0"/>
      <w:marRight w:val="0"/>
      <w:marTop w:val="0"/>
      <w:marBottom w:val="120"/>
      <w:divBdr>
        <w:top w:val="none" w:sz="0" w:space="0" w:color="auto"/>
        <w:left w:val="none" w:sz="0" w:space="0" w:color="auto"/>
        <w:bottom w:val="none" w:sz="0" w:space="0" w:color="auto"/>
        <w:right w:val="none" w:sz="0" w:space="0" w:color="auto"/>
      </w:divBdr>
    </w:div>
    <w:div w:id="1998922836">
      <w:marLeft w:val="0"/>
      <w:marRight w:val="0"/>
      <w:marTop w:val="0"/>
      <w:marBottom w:val="0"/>
      <w:divBdr>
        <w:top w:val="none" w:sz="0" w:space="0" w:color="auto"/>
        <w:left w:val="none" w:sz="0" w:space="0" w:color="auto"/>
        <w:bottom w:val="none" w:sz="0" w:space="0" w:color="auto"/>
        <w:right w:val="none" w:sz="0" w:space="0" w:color="auto"/>
      </w:divBdr>
      <w:divsChild>
        <w:div w:id="1854680761">
          <w:marLeft w:val="0"/>
          <w:marRight w:val="0"/>
          <w:marTop w:val="0"/>
          <w:marBottom w:val="0"/>
          <w:divBdr>
            <w:top w:val="none" w:sz="0" w:space="0" w:color="auto"/>
            <w:left w:val="none" w:sz="0" w:space="0" w:color="auto"/>
            <w:bottom w:val="none" w:sz="0" w:space="0" w:color="auto"/>
            <w:right w:val="none" w:sz="0" w:space="0" w:color="auto"/>
          </w:divBdr>
          <w:divsChild>
            <w:div w:id="15265960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99990472">
      <w:marLeft w:val="0"/>
      <w:marRight w:val="0"/>
      <w:marTop w:val="0"/>
      <w:marBottom w:val="120"/>
      <w:divBdr>
        <w:top w:val="none" w:sz="0" w:space="0" w:color="auto"/>
        <w:left w:val="none" w:sz="0" w:space="0" w:color="auto"/>
        <w:bottom w:val="none" w:sz="0" w:space="0" w:color="auto"/>
        <w:right w:val="none" w:sz="0" w:space="0" w:color="auto"/>
      </w:divBdr>
    </w:div>
    <w:div w:id="2000384055">
      <w:marLeft w:val="0"/>
      <w:marRight w:val="0"/>
      <w:marTop w:val="0"/>
      <w:marBottom w:val="120"/>
      <w:divBdr>
        <w:top w:val="none" w:sz="0" w:space="0" w:color="auto"/>
        <w:left w:val="none" w:sz="0" w:space="0" w:color="auto"/>
        <w:bottom w:val="none" w:sz="0" w:space="0" w:color="auto"/>
        <w:right w:val="none" w:sz="0" w:space="0" w:color="auto"/>
      </w:divBdr>
    </w:div>
    <w:div w:id="2001343989">
      <w:marLeft w:val="0"/>
      <w:marRight w:val="0"/>
      <w:marTop w:val="0"/>
      <w:marBottom w:val="0"/>
      <w:divBdr>
        <w:top w:val="none" w:sz="0" w:space="0" w:color="auto"/>
        <w:left w:val="none" w:sz="0" w:space="0" w:color="auto"/>
        <w:bottom w:val="none" w:sz="0" w:space="0" w:color="auto"/>
        <w:right w:val="none" w:sz="0" w:space="0" w:color="auto"/>
      </w:divBdr>
    </w:div>
    <w:div w:id="2002125050">
      <w:marLeft w:val="0"/>
      <w:marRight w:val="0"/>
      <w:marTop w:val="240"/>
      <w:marBottom w:val="0"/>
      <w:divBdr>
        <w:top w:val="none" w:sz="0" w:space="0" w:color="auto"/>
        <w:left w:val="none" w:sz="0" w:space="0" w:color="auto"/>
        <w:bottom w:val="none" w:sz="0" w:space="0" w:color="auto"/>
        <w:right w:val="none" w:sz="0" w:space="0" w:color="auto"/>
      </w:divBdr>
    </w:div>
    <w:div w:id="2005156350">
      <w:marLeft w:val="0"/>
      <w:marRight w:val="0"/>
      <w:marTop w:val="0"/>
      <w:marBottom w:val="120"/>
      <w:divBdr>
        <w:top w:val="none" w:sz="0" w:space="0" w:color="auto"/>
        <w:left w:val="none" w:sz="0" w:space="0" w:color="auto"/>
        <w:bottom w:val="none" w:sz="0" w:space="0" w:color="auto"/>
        <w:right w:val="none" w:sz="0" w:space="0" w:color="auto"/>
      </w:divBdr>
    </w:div>
    <w:div w:id="2006474752">
      <w:marLeft w:val="0"/>
      <w:marRight w:val="0"/>
      <w:marTop w:val="0"/>
      <w:marBottom w:val="120"/>
      <w:divBdr>
        <w:top w:val="none" w:sz="0" w:space="0" w:color="auto"/>
        <w:left w:val="none" w:sz="0" w:space="0" w:color="auto"/>
        <w:bottom w:val="none" w:sz="0" w:space="0" w:color="auto"/>
        <w:right w:val="none" w:sz="0" w:space="0" w:color="auto"/>
      </w:divBdr>
    </w:div>
    <w:div w:id="2013994152">
      <w:marLeft w:val="0"/>
      <w:marRight w:val="0"/>
      <w:marTop w:val="0"/>
      <w:marBottom w:val="120"/>
      <w:divBdr>
        <w:top w:val="none" w:sz="0" w:space="0" w:color="auto"/>
        <w:left w:val="none" w:sz="0" w:space="0" w:color="auto"/>
        <w:bottom w:val="none" w:sz="0" w:space="0" w:color="auto"/>
        <w:right w:val="none" w:sz="0" w:space="0" w:color="auto"/>
      </w:divBdr>
    </w:div>
    <w:div w:id="2014452639">
      <w:marLeft w:val="0"/>
      <w:marRight w:val="0"/>
      <w:marTop w:val="0"/>
      <w:marBottom w:val="120"/>
      <w:divBdr>
        <w:top w:val="none" w:sz="0" w:space="0" w:color="auto"/>
        <w:left w:val="none" w:sz="0" w:space="0" w:color="auto"/>
        <w:bottom w:val="none" w:sz="0" w:space="0" w:color="auto"/>
        <w:right w:val="none" w:sz="0" w:space="0" w:color="auto"/>
      </w:divBdr>
    </w:div>
    <w:div w:id="2017149946">
      <w:marLeft w:val="0"/>
      <w:marRight w:val="0"/>
      <w:marTop w:val="0"/>
      <w:marBottom w:val="120"/>
      <w:divBdr>
        <w:top w:val="none" w:sz="0" w:space="0" w:color="auto"/>
        <w:left w:val="none" w:sz="0" w:space="0" w:color="auto"/>
        <w:bottom w:val="none" w:sz="0" w:space="0" w:color="auto"/>
        <w:right w:val="none" w:sz="0" w:space="0" w:color="auto"/>
      </w:divBdr>
    </w:div>
    <w:div w:id="2019234188">
      <w:marLeft w:val="0"/>
      <w:marRight w:val="0"/>
      <w:marTop w:val="0"/>
      <w:marBottom w:val="0"/>
      <w:divBdr>
        <w:top w:val="none" w:sz="0" w:space="0" w:color="auto"/>
        <w:left w:val="none" w:sz="0" w:space="0" w:color="auto"/>
        <w:bottom w:val="none" w:sz="0" w:space="0" w:color="auto"/>
        <w:right w:val="none" w:sz="0" w:space="0" w:color="auto"/>
      </w:divBdr>
      <w:divsChild>
        <w:div w:id="1516336343">
          <w:marLeft w:val="0"/>
          <w:marRight w:val="0"/>
          <w:marTop w:val="0"/>
          <w:marBottom w:val="0"/>
          <w:divBdr>
            <w:top w:val="none" w:sz="0" w:space="0" w:color="auto"/>
            <w:left w:val="none" w:sz="0" w:space="0" w:color="auto"/>
            <w:bottom w:val="none" w:sz="0" w:space="0" w:color="auto"/>
            <w:right w:val="none" w:sz="0" w:space="0" w:color="auto"/>
          </w:divBdr>
          <w:divsChild>
            <w:div w:id="3655219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20305927">
      <w:marLeft w:val="0"/>
      <w:marRight w:val="0"/>
      <w:marTop w:val="240"/>
      <w:marBottom w:val="0"/>
      <w:divBdr>
        <w:top w:val="none" w:sz="0" w:space="0" w:color="auto"/>
        <w:left w:val="none" w:sz="0" w:space="0" w:color="auto"/>
        <w:bottom w:val="none" w:sz="0" w:space="0" w:color="auto"/>
        <w:right w:val="none" w:sz="0" w:space="0" w:color="auto"/>
      </w:divBdr>
    </w:div>
    <w:div w:id="2021392609">
      <w:marLeft w:val="0"/>
      <w:marRight w:val="0"/>
      <w:marTop w:val="240"/>
      <w:marBottom w:val="240"/>
      <w:divBdr>
        <w:top w:val="none" w:sz="0" w:space="0" w:color="auto"/>
        <w:left w:val="none" w:sz="0" w:space="0" w:color="auto"/>
        <w:bottom w:val="none" w:sz="0" w:space="0" w:color="auto"/>
        <w:right w:val="none" w:sz="0" w:space="0" w:color="auto"/>
      </w:divBdr>
    </w:div>
    <w:div w:id="2025815184">
      <w:marLeft w:val="0"/>
      <w:marRight w:val="0"/>
      <w:marTop w:val="0"/>
      <w:marBottom w:val="0"/>
      <w:divBdr>
        <w:top w:val="none" w:sz="0" w:space="0" w:color="auto"/>
        <w:left w:val="none" w:sz="0" w:space="0" w:color="auto"/>
        <w:bottom w:val="none" w:sz="0" w:space="0" w:color="auto"/>
        <w:right w:val="none" w:sz="0" w:space="0" w:color="auto"/>
      </w:divBdr>
    </w:div>
    <w:div w:id="2027170339">
      <w:marLeft w:val="0"/>
      <w:marRight w:val="0"/>
      <w:marTop w:val="0"/>
      <w:marBottom w:val="20"/>
      <w:divBdr>
        <w:top w:val="none" w:sz="0" w:space="0" w:color="auto"/>
        <w:left w:val="none" w:sz="0" w:space="0" w:color="auto"/>
        <w:bottom w:val="none" w:sz="0" w:space="0" w:color="auto"/>
        <w:right w:val="none" w:sz="0" w:space="0" w:color="auto"/>
      </w:divBdr>
      <w:divsChild>
        <w:div w:id="486021352">
          <w:marLeft w:val="0"/>
          <w:marRight w:val="0"/>
          <w:marTop w:val="0"/>
          <w:marBottom w:val="0"/>
          <w:divBdr>
            <w:top w:val="none" w:sz="0" w:space="0" w:color="auto"/>
            <w:left w:val="none" w:sz="0" w:space="0" w:color="auto"/>
            <w:bottom w:val="none" w:sz="0" w:space="0" w:color="auto"/>
            <w:right w:val="none" w:sz="0" w:space="0" w:color="auto"/>
          </w:divBdr>
        </w:div>
        <w:div w:id="182986826">
          <w:marLeft w:val="0"/>
          <w:marRight w:val="0"/>
          <w:marTop w:val="0"/>
          <w:marBottom w:val="0"/>
          <w:divBdr>
            <w:top w:val="none" w:sz="0" w:space="0" w:color="auto"/>
            <w:left w:val="none" w:sz="0" w:space="0" w:color="auto"/>
            <w:bottom w:val="none" w:sz="0" w:space="0" w:color="auto"/>
            <w:right w:val="none" w:sz="0" w:space="0" w:color="auto"/>
          </w:divBdr>
        </w:div>
        <w:div w:id="731461435">
          <w:marLeft w:val="0"/>
          <w:marRight w:val="0"/>
          <w:marTop w:val="0"/>
          <w:marBottom w:val="0"/>
          <w:divBdr>
            <w:top w:val="none" w:sz="0" w:space="0" w:color="auto"/>
            <w:left w:val="none" w:sz="0" w:space="0" w:color="auto"/>
            <w:bottom w:val="none" w:sz="0" w:space="0" w:color="auto"/>
            <w:right w:val="none" w:sz="0" w:space="0" w:color="auto"/>
          </w:divBdr>
        </w:div>
        <w:div w:id="1475753770">
          <w:marLeft w:val="0"/>
          <w:marRight w:val="0"/>
          <w:marTop w:val="0"/>
          <w:marBottom w:val="0"/>
          <w:divBdr>
            <w:top w:val="none" w:sz="0" w:space="0" w:color="auto"/>
            <w:left w:val="none" w:sz="0" w:space="0" w:color="auto"/>
            <w:bottom w:val="none" w:sz="0" w:space="0" w:color="auto"/>
            <w:right w:val="none" w:sz="0" w:space="0" w:color="auto"/>
          </w:divBdr>
        </w:div>
        <w:div w:id="1705783937">
          <w:marLeft w:val="0"/>
          <w:marRight w:val="0"/>
          <w:marTop w:val="0"/>
          <w:marBottom w:val="0"/>
          <w:divBdr>
            <w:top w:val="none" w:sz="0" w:space="0" w:color="auto"/>
            <w:left w:val="none" w:sz="0" w:space="0" w:color="auto"/>
            <w:bottom w:val="none" w:sz="0" w:space="0" w:color="auto"/>
            <w:right w:val="none" w:sz="0" w:space="0" w:color="auto"/>
          </w:divBdr>
        </w:div>
        <w:div w:id="346449865">
          <w:marLeft w:val="0"/>
          <w:marRight w:val="0"/>
          <w:marTop w:val="0"/>
          <w:marBottom w:val="0"/>
          <w:divBdr>
            <w:top w:val="none" w:sz="0" w:space="0" w:color="auto"/>
            <w:left w:val="none" w:sz="0" w:space="0" w:color="auto"/>
            <w:bottom w:val="none" w:sz="0" w:space="0" w:color="auto"/>
            <w:right w:val="none" w:sz="0" w:space="0" w:color="auto"/>
          </w:divBdr>
        </w:div>
        <w:div w:id="1143541085">
          <w:marLeft w:val="0"/>
          <w:marRight w:val="0"/>
          <w:marTop w:val="0"/>
          <w:marBottom w:val="0"/>
          <w:divBdr>
            <w:top w:val="none" w:sz="0" w:space="0" w:color="auto"/>
            <w:left w:val="none" w:sz="0" w:space="0" w:color="auto"/>
            <w:bottom w:val="none" w:sz="0" w:space="0" w:color="auto"/>
            <w:right w:val="none" w:sz="0" w:space="0" w:color="auto"/>
          </w:divBdr>
        </w:div>
        <w:div w:id="750393156">
          <w:marLeft w:val="0"/>
          <w:marRight w:val="0"/>
          <w:marTop w:val="0"/>
          <w:marBottom w:val="0"/>
          <w:divBdr>
            <w:top w:val="none" w:sz="0" w:space="0" w:color="auto"/>
            <w:left w:val="none" w:sz="0" w:space="0" w:color="auto"/>
            <w:bottom w:val="none" w:sz="0" w:space="0" w:color="auto"/>
            <w:right w:val="none" w:sz="0" w:space="0" w:color="auto"/>
          </w:divBdr>
        </w:div>
        <w:div w:id="654989112">
          <w:marLeft w:val="0"/>
          <w:marRight w:val="0"/>
          <w:marTop w:val="0"/>
          <w:marBottom w:val="0"/>
          <w:divBdr>
            <w:top w:val="none" w:sz="0" w:space="0" w:color="auto"/>
            <w:left w:val="none" w:sz="0" w:space="0" w:color="auto"/>
            <w:bottom w:val="none" w:sz="0" w:space="0" w:color="auto"/>
            <w:right w:val="none" w:sz="0" w:space="0" w:color="auto"/>
          </w:divBdr>
        </w:div>
        <w:div w:id="733235742">
          <w:marLeft w:val="0"/>
          <w:marRight w:val="0"/>
          <w:marTop w:val="0"/>
          <w:marBottom w:val="0"/>
          <w:divBdr>
            <w:top w:val="none" w:sz="0" w:space="0" w:color="auto"/>
            <w:left w:val="none" w:sz="0" w:space="0" w:color="auto"/>
            <w:bottom w:val="none" w:sz="0" w:space="0" w:color="auto"/>
            <w:right w:val="none" w:sz="0" w:space="0" w:color="auto"/>
          </w:divBdr>
        </w:div>
        <w:div w:id="2132477442">
          <w:marLeft w:val="0"/>
          <w:marRight w:val="0"/>
          <w:marTop w:val="0"/>
          <w:marBottom w:val="0"/>
          <w:divBdr>
            <w:top w:val="none" w:sz="0" w:space="0" w:color="auto"/>
            <w:left w:val="none" w:sz="0" w:space="0" w:color="auto"/>
            <w:bottom w:val="none" w:sz="0" w:space="0" w:color="auto"/>
            <w:right w:val="none" w:sz="0" w:space="0" w:color="auto"/>
          </w:divBdr>
        </w:div>
        <w:div w:id="2144351587">
          <w:marLeft w:val="0"/>
          <w:marRight w:val="0"/>
          <w:marTop w:val="0"/>
          <w:marBottom w:val="0"/>
          <w:divBdr>
            <w:top w:val="none" w:sz="0" w:space="0" w:color="auto"/>
            <w:left w:val="none" w:sz="0" w:space="0" w:color="auto"/>
            <w:bottom w:val="none" w:sz="0" w:space="0" w:color="auto"/>
            <w:right w:val="none" w:sz="0" w:space="0" w:color="auto"/>
          </w:divBdr>
        </w:div>
        <w:div w:id="984161510">
          <w:marLeft w:val="0"/>
          <w:marRight w:val="0"/>
          <w:marTop w:val="0"/>
          <w:marBottom w:val="0"/>
          <w:divBdr>
            <w:top w:val="none" w:sz="0" w:space="0" w:color="auto"/>
            <w:left w:val="none" w:sz="0" w:space="0" w:color="auto"/>
            <w:bottom w:val="none" w:sz="0" w:space="0" w:color="auto"/>
            <w:right w:val="none" w:sz="0" w:space="0" w:color="auto"/>
          </w:divBdr>
        </w:div>
        <w:div w:id="1182282748">
          <w:marLeft w:val="0"/>
          <w:marRight w:val="0"/>
          <w:marTop w:val="0"/>
          <w:marBottom w:val="0"/>
          <w:divBdr>
            <w:top w:val="none" w:sz="0" w:space="0" w:color="auto"/>
            <w:left w:val="none" w:sz="0" w:space="0" w:color="auto"/>
            <w:bottom w:val="none" w:sz="0" w:space="0" w:color="auto"/>
            <w:right w:val="none" w:sz="0" w:space="0" w:color="auto"/>
          </w:divBdr>
        </w:div>
      </w:divsChild>
    </w:div>
    <w:div w:id="2027974658">
      <w:marLeft w:val="0"/>
      <w:marRight w:val="0"/>
      <w:marTop w:val="0"/>
      <w:marBottom w:val="120"/>
      <w:divBdr>
        <w:top w:val="none" w:sz="0" w:space="0" w:color="auto"/>
        <w:left w:val="none" w:sz="0" w:space="0" w:color="auto"/>
        <w:bottom w:val="none" w:sz="0" w:space="0" w:color="auto"/>
        <w:right w:val="none" w:sz="0" w:space="0" w:color="auto"/>
      </w:divBdr>
    </w:div>
    <w:div w:id="2029209560">
      <w:marLeft w:val="0"/>
      <w:marRight w:val="0"/>
      <w:marTop w:val="0"/>
      <w:marBottom w:val="120"/>
      <w:divBdr>
        <w:top w:val="none" w:sz="0" w:space="0" w:color="auto"/>
        <w:left w:val="none" w:sz="0" w:space="0" w:color="auto"/>
        <w:bottom w:val="none" w:sz="0" w:space="0" w:color="auto"/>
        <w:right w:val="none" w:sz="0" w:space="0" w:color="auto"/>
      </w:divBdr>
    </w:div>
    <w:div w:id="2036036296">
      <w:marLeft w:val="0"/>
      <w:marRight w:val="0"/>
      <w:marTop w:val="0"/>
      <w:marBottom w:val="20"/>
      <w:divBdr>
        <w:top w:val="none" w:sz="0" w:space="0" w:color="auto"/>
        <w:left w:val="none" w:sz="0" w:space="0" w:color="auto"/>
        <w:bottom w:val="none" w:sz="0" w:space="0" w:color="auto"/>
        <w:right w:val="none" w:sz="0" w:space="0" w:color="auto"/>
      </w:divBdr>
    </w:div>
    <w:div w:id="2036536016">
      <w:marLeft w:val="0"/>
      <w:marRight w:val="0"/>
      <w:marTop w:val="240"/>
      <w:marBottom w:val="0"/>
      <w:divBdr>
        <w:top w:val="none" w:sz="0" w:space="0" w:color="auto"/>
        <w:left w:val="none" w:sz="0" w:space="0" w:color="auto"/>
        <w:bottom w:val="none" w:sz="0" w:space="0" w:color="auto"/>
        <w:right w:val="none" w:sz="0" w:space="0" w:color="auto"/>
      </w:divBdr>
    </w:div>
    <w:div w:id="2042046865">
      <w:marLeft w:val="0"/>
      <w:marRight w:val="0"/>
      <w:marTop w:val="0"/>
      <w:marBottom w:val="120"/>
      <w:divBdr>
        <w:top w:val="none" w:sz="0" w:space="0" w:color="auto"/>
        <w:left w:val="none" w:sz="0" w:space="0" w:color="auto"/>
        <w:bottom w:val="none" w:sz="0" w:space="0" w:color="auto"/>
        <w:right w:val="none" w:sz="0" w:space="0" w:color="auto"/>
      </w:divBdr>
    </w:div>
    <w:div w:id="2045786971">
      <w:marLeft w:val="0"/>
      <w:marRight w:val="0"/>
      <w:marTop w:val="240"/>
      <w:marBottom w:val="0"/>
      <w:divBdr>
        <w:top w:val="none" w:sz="0" w:space="0" w:color="auto"/>
        <w:left w:val="none" w:sz="0" w:space="0" w:color="auto"/>
        <w:bottom w:val="none" w:sz="0" w:space="0" w:color="auto"/>
        <w:right w:val="none" w:sz="0" w:space="0" w:color="auto"/>
      </w:divBdr>
    </w:div>
    <w:div w:id="2049641190">
      <w:marLeft w:val="0"/>
      <w:marRight w:val="0"/>
      <w:marTop w:val="0"/>
      <w:marBottom w:val="120"/>
      <w:divBdr>
        <w:top w:val="none" w:sz="0" w:space="0" w:color="auto"/>
        <w:left w:val="none" w:sz="0" w:space="0" w:color="auto"/>
        <w:bottom w:val="none" w:sz="0" w:space="0" w:color="auto"/>
        <w:right w:val="none" w:sz="0" w:space="0" w:color="auto"/>
      </w:divBdr>
    </w:div>
    <w:div w:id="2050258998">
      <w:marLeft w:val="0"/>
      <w:marRight w:val="0"/>
      <w:marTop w:val="0"/>
      <w:marBottom w:val="120"/>
      <w:divBdr>
        <w:top w:val="none" w:sz="0" w:space="0" w:color="auto"/>
        <w:left w:val="none" w:sz="0" w:space="0" w:color="auto"/>
        <w:bottom w:val="none" w:sz="0" w:space="0" w:color="auto"/>
        <w:right w:val="none" w:sz="0" w:space="0" w:color="auto"/>
      </w:divBdr>
    </w:div>
    <w:div w:id="2051151803">
      <w:marLeft w:val="0"/>
      <w:marRight w:val="0"/>
      <w:marTop w:val="0"/>
      <w:marBottom w:val="120"/>
      <w:divBdr>
        <w:top w:val="none" w:sz="0" w:space="0" w:color="auto"/>
        <w:left w:val="none" w:sz="0" w:space="0" w:color="auto"/>
        <w:bottom w:val="none" w:sz="0" w:space="0" w:color="auto"/>
        <w:right w:val="none" w:sz="0" w:space="0" w:color="auto"/>
      </w:divBdr>
    </w:div>
    <w:div w:id="2053075112">
      <w:marLeft w:val="0"/>
      <w:marRight w:val="0"/>
      <w:marTop w:val="0"/>
      <w:marBottom w:val="120"/>
      <w:divBdr>
        <w:top w:val="none" w:sz="0" w:space="0" w:color="auto"/>
        <w:left w:val="none" w:sz="0" w:space="0" w:color="auto"/>
        <w:bottom w:val="none" w:sz="0" w:space="0" w:color="auto"/>
        <w:right w:val="none" w:sz="0" w:space="0" w:color="auto"/>
      </w:divBdr>
    </w:div>
    <w:div w:id="2053112664">
      <w:marLeft w:val="0"/>
      <w:marRight w:val="0"/>
      <w:marTop w:val="240"/>
      <w:marBottom w:val="0"/>
      <w:divBdr>
        <w:top w:val="none" w:sz="0" w:space="0" w:color="auto"/>
        <w:left w:val="none" w:sz="0" w:space="0" w:color="auto"/>
        <w:bottom w:val="none" w:sz="0" w:space="0" w:color="auto"/>
        <w:right w:val="none" w:sz="0" w:space="0" w:color="auto"/>
      </w:divBdr>
    </w:div>
    <w:div w:id="2053188089">
      <w:marLeft w:val="0"/>
      <w:marRight w:val="0"/>
      <w:marTop w:val="0"/>
      <w:marBottom w:val="120"/>
      <w:divBdr>
        <w:top w:val="none" w:sz="0" w:space="0" w:color="auto"/>
        <w:left w:val="none" w:sz="0" w:space="0" w:color="auto"/>
        <w:bottom w:val="none" w:sz="0" w:space="0" w:color="auto"/>
        <w:right w:val="none" w:sz="0" w:space="0" w:color="auto"/>
      </w:divBdr>
    </w:div>
    <w:div w:id="2054697579">
      <w:marLeft w:val="0"/>
      <w:marRight w:val="0"/>
      <w:marTop w:val="0"/>
      <w:marBottom w:val="0"/>
      <w:divBdr>
        <w:top w:val="none" w:sz="0" w:space="0" w:color="auto"/>
        <w:left w:val="none" w:sz="0" w:space="0" w:color="auto"/>
        <w:bottom w:val="none" w:sz="0" w:space="0" w:color="auto"/>
        <w:right w:val="none" w:sz="0" w:space="0" w:color="auto"/>
      </w:divBdr>
      <w:divsChild>
        <w:div w:id="422998501">
          <w:marLeft w:val="0"/>
          <w:marRight w:val="0"/>
          <w:marTop w:val="0"/>
          <w:marBottom w:val="120"/>
          <w:divBdr>
            <w:top w:val="none" w:sz="0" w:space="0" w:color="auto"/>
            <w:left w:val="none" w:sz="0" w:space="0" w:color="auto"/>
            <w:bottom w:val="none" w:sz="0" w:space="0" w:color="auto"/>
            <w:right w:val="none" w:sz="0" w:space="0" w:color="auto"/>
          </w:divBdr>
        </w:div>
      </w:divsChild>
    </w:div>
    <w:div w:id="2054771526">
      <w:marLeft w:val="0"/>
      <w:marRight w:val="0"/>
      <w:marTop w:val="0"/>
      <w:marBottom w:val="240"/>
      <w:divBdr>
        <w:top w:val="none" w:sz="0" w:space="0" w:color="auto"/>
        <w:left w:val="none" w:sz="0" w:space="0" w:color="auto"/>
        <w:bottom w:val="none" w:sz="0" w:space="0" w:color="auto"/>
        <w:right w:val="none" w:sz="0" w:space="0" w:color="auto"/>
      </w:divBdr>
      <w:divsChild>
        <w:div w:id="639699679">
          <w:marLeft w:val="0"/>
          <w:marRight w:val="0"/>
          <w:marTop w:val="0"/>
          <w:marBottom w:val="0"/>
          <w:divBdr>
            <w:top w:val="none" w:sz="0" w:space="0" w:color="auto"/>
            <w:left w:val="none" w:sz="0" w:space="0" w:color="auto"/>
            <w:bottom w:val="none" w:sz="0" w:space="0" w:color="auto"/>
            <w:right w:val="none" w:sz="0" w:space="0" w:color="auto"/>
          </w:divBdr>
        </w:div>
        <w:div w:id="202719362">
          <w:marLeft w:val="0"/>
          <w:marRight w:val="0"/>
          <w:marTop w:val="0"/>
          <w:marBottom w:val="0"/>
          <w:divBdr>
            <w:top w:val="none" w:sz="0" w:space="0" w:color="auto"/>
            <w:left w:val="none" w:sz="0" w:space="0" w:color="auto"/>
            <w:bottom w:val="none" w:sz="0" w:space="0" w:color="auto"/>
            <w:right w:val="none" w:sz="0" w:space="0" w:color="auto"/>
          </w:divBdr>
        </w:div>
        <w:div w:id="1643996106">
          <w:marLeft w:val="0"/>
          <w:marRight w:val="0"/>
          <w:marTop w:val="0"/>
          <w:marBottom w:val="0"/>
          <w:divBdr>
            <w:top w:val="none" w:sz="0" w:space="0" w:color="auto"/>
            <w:left w:val="none" w:sz="0" w:space="0" w:color="auto"/>
            <w:bottom w:val="none" w:sz="0" w:space="0" w:color="auto"/>
            <w:right w:val="none" w:sz="0" w:space="0" w:color="auto"/>
          </w:divBdr>
        </w:div>
        <w:div w:id="1664356429">
          <w:marLeft w:val="0"/>
          <w:marRight w:val="0"/>
          <w:marTop w:val="0"/>
          <w:marBottom w:val="0"/>
          <w:divBdr>
            <w:top w:val="none" w:sz="0" w:space="0" w:color="auto"/>
            <w:left w:val="none" w:sz="0" w:space="0" w:color="auto"/>
            <w:bottom w:val="none" w:sz="0" w:space="0" w:color="auto"/>
            <w:right w:val="none" w:sz="0" w:space="0" w:color="auto"/>
          </w:divBdr>
        </w:div>
        <w:div w:id="1563177645">
          <w:marLeft w:val="0"/>
          <w:marRight w:val="0"/>
          <w:marTop w:val="0"/>
          <w:marBottom w:val="0"/>
          <w:divBdr>
            <w:top w:val="none" w:sz="0" w:space="0" w:color="auto"/>
            <w:left w:val="none" w:sz="0" w:space="0" w:color="auto"/>
            <w:bottom w:val="none" w:sz="0" w:space="0" w:color="auto"/>
            <w:right w:val="none" w:sz="0" w:space="0" w:color="auto"/>
          </w:divBdr>
        </w:div>
        <w:div w:id="1050762267">
          <w:marLeft w:val="0"/>
          <w:marRight w:val="0"/>
          <w:marTop w:val="0"/>
          <w:marBottom w:val="0"/>
          <w:divBdr>
            <w:top w:val="none" w:sz="0" w:space="0" w:color="auto"/>
            <w:left w:val="none" w:sz="0" w:space="0" w:color="auto"/>
            <w:bottom w:val="none" w:sz="0" w:space="0" w:color="auto"/>
            <w:right w:val="none" w:sz="0" w:space="0" w:color="auto"/>
          </w:divBdr>
        </w:div>
        <w:div w:id="573053970">
          <w:marLeft w:val="0"/>
          <w:marRight w:val="0"/>
          <w:marTop w:val="0"/>
          <w:marBottom w:val="0"/>
          <w:divBdr>
            <w:top w:val="none" w:sz="0" w:space="0" w:color="auto"/>
            <w:left w:val="none" w:sz="0" w:space="0" w:color="auto"/>
            <w:bottom w:val="none" w:sz="0" w:space="0" w:color="auto"/>
            <w:right w:val="none" w:sz="0" w:space="0" w:color="auto"/>
          </w:divBdr>
        </w:div>
      </w:divsChild>
    </w:div>
    <w:div w:id="2060088778">
      <w:marLeft w:val="0"/>
      <w:marRight w:val="0"/>
      <w:marTop w:val="0"/>
      <w:marBottom w:val="0"/>
      <w:divBdr>
        <w:top w:val="none" w:sz="0" w:space="0" w:color="auto"/>
        <w:left w:val="none" w:sz="0" w:space="0" w:color="auto"/>
        <w:bottom w:val="none" w:sz="0" w:space="0" w:color="auto"/>
        <w:right w:val="none" w:sz="0" w:space="0" w:color="auto"/>
      </w:divBdr>
      <w:divsChild>
        <w:div w:id="1953900673">
          <w:marLeft w:val="0"/>
          <w:marRight w:val="0"/>
          <w:marTop w:val="0"/>
          <w:marBottom w:val="120"/>
          <w:divBdr>
            <w:top w:val="none" w:sz="0" w:space="0" w:color="auto"/>
            <w:left w:val="none" w:sz="0" w:space="0" w:color="auto"/>
            <w:bottom w:val="none" w:sz="0" w:space="0" w:color="auto"/>
            <w:right w:val="none" w:sz="0" w:space="0" w:color="auto"/>
          </w:divBdr>
        </w:div>
      </w:divsChild>
    </w:div>
    <w:div w:id="2060585526">
      <w:marLeft w:val="0"/>
      <w:marRight w:val="0"/>
      <w:marTop w:val="0"/>
      <w:marBottom w:val="120"/>
      <w:divBdr>
        <w:top w:val="none" w:sz="0" w:space="0" w:color="auto"/>
        <w:left w:val="none" w:sz="0" w:space="0" w:color="auto"/>
        <w:bottom w:val="none" w:sz="0" w:space="0" w:color="auto"/>
        <w:right w:val="none" w:sz="0" w:space="0" w:color="auto"/>
      </w:divBdr>
    </w:div>
    <w:div w:id="2061436782">
      <w:marLeft w:val="0"/>
      <w:marRight w:val="0"/>
      <w:marTop w:val="0"/>
      <w:marBottom w:val="120"/>
      <w:divBdr>
        <w:top w:val="none" w:sz="0" w:space="0" w:color="auto"/>
        <w:left w:val="none" w:sz="0" w:space="0" w:color="auto"/>
        <w:bottom w:val="none" w:sz="0" w:space="0" w:color="auto"/>
        <w:right w:val="none" w:sz="0" w:space="0" w:color="auto"/>
      </w:divBdr>
    </w:div>
    <w:div w:id="2070378073">
      <w:marLeft w:val="0"/>
      <w:marRight w:val="0"/>
      <w:marTop w:val="0"/>
      <w:marBottom w:val="120"/>
      <w:divBdr>
        <w:top w:val="none" w:sz="0" w:space="0" w:color="auto"/>
        <w:left w:val="none" w:sz="0" w:space="0" w:color="auto"/>
        <w:bottom w:val="none" w:sz="0" w:space="0" w:color="auto"/>
        <w:right w:val="none" w:sz="0" w:space="0" w:color="auto"/>
      </w:divBdr>
    </w:div>
    <w:div w:id="2071465578">
      <w:marLeft w:val="0"/>
      <w:marRight w:val="0"/>
      <w:marTop w:val="0"/>
      <w:marBottom w:val="120"/>
      <w:divBdr>
        <w:top w:val="none" w:sz="0" w:space="0" w:color="auto"/>
        <w:left w:val="none" w:sz="0" w:space="0" w:color="auto"/>
        <w:bottom w:val="none" w:sz="0" w:space="0" w:color="auto"/>
        <w:right w:val="none" w:sz="0" w:space="0" w:color="auto"/>
      </w:divBdr>
    </w:div>
    <w:div w:id="2076657847">
      <w:marLeft w:val="0"/>
      <w:marRight w:val="0"/>
      <w:marTop w:val="0"/>
      <w:marBottom w:val="160"/>
      <w:divBdr>
        <w:top w:val="none" w:sz="0" w:space="0" w:color="auto"/>
        <w:left w:val="none" w:sz="0" w:space="0" w:color="auto"/>
        <w:bottom w:val="none" w:sz="0" w:space="0" w:color="auto"/>
        <w:right w:val="none" w:sz="0" w:space="0" w:color="auto"/>
      </w:divBdr>
      <w:divsChild>
        <w:div w:id="967246210">
          <w:marLeft w:val="0"/>
          <w:marRight w:val="0"/>
          <w:marTop w:val="0"/>
          <w:marBottom w:val="0"/>
          <w:divBdr>
            <w:top w:val="none" w:sz="0" w:space="0" w:color="auto"/>
            <w:left w:val="none" w:sz="0" w:space="0" w:color="auto"/>
            <w:bottom w:val="none" w:sz="0" w:space="0" w:color="auto"/>
            <w:right w:val="none" w:sz="0" w:space="0" w:color="auto"/>
          </w:divBdr>
        </w:div>
      </w:divsChild>
    </w:div>
    <w:div w:id="2077774017">
      <w:marLeft w:val="0"/>
      <w:marRight w:val="0"/>
      <w:marTop w:val="240"/>
      <w:marBottom w:val="0"/>
      <w:divBdr>
        <w:top w:val="none" w:sz="0" w:space="0" w:color="auto"/>
        <w:left w:val="none" w:sz="0" w:space="0" w:color="auto"/>
        <w:bottom w:val="none" w:sz="0" w:space="0" w:color="auto"/>
        <w:right w:val="none" w:sz="0" w:space="0" w:color="auto"/>
      </w:divBdr>
    </w:div>
    <w:div w:id="2077823619">
      <w:marLeft w:val="0"/>
      <w:marRight w:val="0"/>
      <w:marTop w:val="0"/>
      <w:marBottom w:val="120"/>
      <w:divBdr>
        <w:top w:val="none" w:sz="0" w:space="0" w:color="auto"/>
        <w:left w:val="none" w:sz="0" w:space="0" w:color="auto"/>
        <w:bottom w:val="none" w:sz="0" w:space="0" w:color="auto"/>
        <w:right w:val="none" w:sz="0" w:space="0" w:color="auto"/>
      </w:divBdr>
    </w:div>
    <w:div w:id="2078506573">
      <w:marLeft w:val="0"/>
      <w:marRight w:val="0"/>
      <w:marTop w:val="0"/>
      <w:marBottom w:val="120"/>
      <w:divBdr>
        <w:top w:val="none" w:sz="0" w:space="0" w:color="auto"/>
        <w:left w:val="none" w:sz="0" w:space="0" w:color="auto"/>
        <w:bottom w:val="none" w:sz="0" w:space="0" w:color="auto"/>
        <w:right w:val="none" w:sz="0" w:space="0" w:color="auto"/>
      </w:divBdr>
    </w:div>
    <w:div w:id="2079740791">
      <w:marLeft w:val="0"/>
      <w:marRight w:val="0"/>
      <w:marTop w:val="0"/>
      <w:marBottom w:val="120"/>
      <w:divBdr>
        <w:top w:val="none" w:sz="0" w:space="0" w:color="auto"/>
        <w:left w:val="none" w:sz="0" w:space="0" w:color="auto"/>
        <w:bottom w:val="none" w:sz="0" w:space="0" w:color="auto"/>
        <w:right w:val="none" w:sz="0" w:space="0" w:color="auto"/>
      </w:divBdr>
    </w:div>
    <w:div w:id="2080012222">
      <w:marLeft w:val="0"/>
      <w:marRight w:val="0"/>
      <w:marTop w:val="0"/>
      <w:marBottom w:val="0"/>
      <w:divBdr>
        <w:top w:val="none" w:sz="0" w:space="0" w:color="auto"/>
        <w:left w:val="none" w:sz="0" w:space="0" w:color="auto"/>
        <w:bottom w:val="none" w:sz="0" w:space="0" w:color="auto"/>
        <w:right w:val="none" w:sz="0" w:space="0" w:color="auto"/>
      </w:divBdr>
    </w:div>
    <w:div w:id="2083404744">
      <w:marLeft w:val="0"/>
      <w:marRight w:val="0"/>
      <w:marTop w:val="0"/>
      <w:marBottom w:val="0"/>
      <w:divBdr>
        <w:top w:val="none" w:sz="0" w:space="0" w:color="auto"/>
        <w:left w:val="none" w:sz="0" w:space="0" w:color="auto"/>
        <w:bottom w:val="none" w:sz="0" w:space="0" w:color="auto"/>
        <w:right w:val="none" w:sz="0" w:space="0" w:color="auto"/>
      </w:divBdr>
      <w:divsChild>
        <w:div w:id="577524885">
          <w:marLeft w:val="0"/>
          <w:marRight w:val="0"/>
          <w:marTop w:val="0"/>
          <w:marBottom w:val="120"/>
          <w:divBdr>
            <w:top w:val="none" w:sz="0" w:space="0" w:color="auto"/>
            <w:left w:val="none" w:sz="0" w:space="0" w:color="auto"/>
            <w:bottom w:val="none" w:sz="0" w:space="0" w:color="auto"/>
            <w:right w:val="none" w:sz="0" w:space="0" w:color="auto"/>
          </w:divBdr>
        </w:div>
      </w:divsChild>
    </w:div>
    <w:div w:id="2083868540">
      <w:marLeft w:val="0"/>
      <w:marRight w:val="0"/>
      <w:marTop w:val="0"/>
      <w:marBottom w:val="120"/>
      <w:divBdr>
        <w:top w:val="none" w:sz="0" w:space="0" w:color="auto"/>
        <w:left w:val="none" w:sz="0" w:space="0" w:color="auto"/>
        <w:bottom w:val="none" w:sz="0" w:space="0" w:color="auto"/>
        <w:right w:val="none" w:sz="0" w:space="0" w:color="auto"/>
      </w:divBdr>
    </w:div>
    <w:div w:id="2084064258">
      <w:marLeft w:val="0"/>
      <w:marRight w:val="0"/>
      <w:marTop w:val="0"/>
      <w:marBottom w:val="120"/>
      <w:divBdr>
        <w:top w:val="none" w:sz="0" w:space="0" w:color="auto"/>
        <w:left w:val="none" w:sz="0" w:space="0" w:color="auto"/>
        <w:bottom w:val="none" w:sz="0" w:space="0" w:color="auto"/>
        <w:right w:val="none" w:sz="0" w:space="0" w:color="auto"/>
      </w:divBdr>
    </w:div>
    <w:div w:id="2084524212">
      <w:marLeft w:val="0"/>
      <w:marRight w:val="0"/>
      <w:marTop w:val="0"/>
      <w:marBottom w:val="120"/>
      <w:divBdr>
        <w:top w:val="none" w:sz="0" w:space="0" w:color="auto"/>
        <w:left w:val="none" w:sz="0" w:space="0" w:color="auto"/>
        <w:bottom w:val="none" w:sz="0" w:space="0" w:color="auto"/>
        <w:right w:val="none" w:sz="0" w:space="0" w:color="auto"/>
      </w:divBdr>
    </w:div>
    <w:div w:id="2086948025">
      <w:marLeft w:val="0"/>
      <w:marRight w:val="0"/>
      <w:marTop w:val="240"/>
      <w:marBottom w:val="0"/>
      <w:divBdr>
        <w:top w:val="none" w:sz="0" w:space="0" w:color="auto"/>
        <w:left w:val="none" w:sz="0" w:space="0" w:color="auto"/>
        <w:bottom w:val="none" w:sz="0" w:space="0" w:color="auto"/>
        <w:right w:val="none" w:sz="0" w:space="0" w:color="auto"/>
      </w:divBdr>
    </w:div>
    <w:div w:id="2096126864">
      <w:marLeft w:val="0"/>
      <w:marRight w:val="0"/>
      <w:marTop w:val="0"/>
      <w:marBottom w:val="120"/>
      <w:divBdr>
        <w:top w:val="none" w:sz="0" w:space="0" w:color="auto"/>
        <w:left w:val="none" w:sz="0" w:space="0" w:color="auto"/>
        <w:bottom w:val="none" w:sz="0" w:space="0" w:color="auto"/>
        <w:right w:val="none" w:sz="0" w:space="0" w:color="auto"/>
      </w:divBdr>
    </w:div>
    <w:div w:id="2098593835">
      <w:marLeft w:val="0"/>
      <w:marRight w:val="0"/>
      <w:marTop w:val="0"/>
      <w:marBottom w:val="120"/>
      <w:divBdr>
        <w:top w:val="none" w:sz="0" w:space="0" w:color="auto"/>
        <w:left w:val="none" w:sz="0" w:space="0" w:color="auto"/>
        <w:bottom w:val="none" w:sz="0" w:space="0" w:color="auto"/>
        <w:right w:val="none" w:sz="0" w:space="0" w:color="auto"/>
      </w:divBdr>
    </w:div>
    <w:div w:id="2099672403">
      <w:marLeft w:val="0"/>
      <w:marRight w:val="0"/>
      <w:marTop w:val="0"/>
      <w:marBottom w:val="120"/>
      <w:divBdr>
        <w:top w:val="none" w:sz="0" w:space="0" w:color="auto"/>
        <w:left w:val="none" w:sz="0" w:space="0" w:color="auto"/>
        <w:bottom w:val="none" w:sz="0" w:space="0" w:color="auto"/>
        <w:right w:val="none" w:sz="0" w:space="0" w:color="auto"/>
      </w:divBdr>
    </w:div>
    <w:div w:id="2108765708">
      <w:marLeft w:val="0"/>
      <w:marRight w:val="0"/>
      <w:marTop w:val="0"/>
      <w:marBottom w:val="120"/>
      <w:divBdr>
        <w:top w:val="none" w:sz="0" w:space="0" w:color="auto"/>
        <w:left w:val="none" w:sz="0" w:space="0" w:color="auto"/>
        <w:bottom w:val="none" w:sz="0" w:space="0" w:color="auto"/>
        <w:right w:val="none" w:sz="0" w:space="0" w:color="auto"/>
      </w:divBdr>
    </w:div>
    <w:div w:id="2114352428">
      <w:marLeft w:val="0"/>
      <w:marRight w:val="0"/>
      <w:marTop w:val="0"/>
      <w:marBottom w:val="120"/>
      <w:divBdr>
        <w:top w:val="none" w:sz="0" w:space="0" w:color="auto"/>
        <w:left w:val="none" w:sz="0" w:space="0" w:color="auto"/>
        <w:bottom w:val="none" w:sz="0" w:space="0" w:color="auto"/>
        <w:right w:val="none" w:sz="0" w:space="0" w:color="auto"/>
      </w:divBdr>
    </w:div>
    <w:div w:id="2115199284">
      <w:marLeft w:val="0"/>
      <w:marRight w:val="0"/>
      <w:marTop w:val="0"/>
      <w:marBottom w:val="120"/>
      <w:divBdr>
        <w:top w:val="none" w:sz="0" w:space="0" w:color="auto"/>
        <w:left w:val="none" w:sz="0" w:space="0" w:color="auto"/>
        <w:bottom w:val="none" w:sz="0" w:space="0" w:color="auto"/>
        <w:right w:val="none" w:sz="0" w:space="0" w:color="auto"/>
      </w:divBdr>
    </w:div>
    <w:div w:id="2115396392">
      <w:marLeft w:val="0"/>
      <w:marRight w:val="0"/>
      <w:marTop w:val="240"/>
      <w:marBottom w:val="0"/>
      <w:divBdr>
        <w:top w:val="none" w:sz="0" w:space="0" w:color="auto"/>
        <w:left w:val="none" w:sz="0" w:space="0" w:color="auto"/>
        <w:bottom w:val="none" w:sz="0" w:space="0" w:color="auto"/>
        <w:right w:val="none" w:sz="0" w:space="0" w:color="auto"/>
      </w:divBdr>
    </w:div>
    <w:div w:id="2116171407">
      <w:marLeft w:val="0"/>
      <w:marRight w:val="0"/>
      <w:marTop w:val="0"/>
      <w:marBottom w:val="120"/>
      <w:divBdr>
        <w:top w:val="none" w:sz="0" w:space="0" w:color="auto"/>
        <w:left w:val="none" w:sz="0" w:space="0" w:color="auto"/>
        <w:bottom w:val="none" w:sz="0" w:space="0" w:color="auto"/>
        <w:right w:val="none" w:sz="0" w:space="0" w:color="auto"/>
      </w:divBdr>
    </w:div>
    <w:div w:id="2116289550">
      <w:marLeft w:val="0"/>
      <w:marRight w:val="0"/>
      <w:marTop w:val="0"/>
      <w:marBottom w:val="120"/>
      <w:divBdr>
        <w:top w:val="none" w:sz="0" w:space="0" w:color="auto"/>
        <w:left w:val="none" w:sz="0" w:space="0" w:color="auto"/>
        <w:bottom w:val="none" w:sz="0" w:space="0" w:color="auto"/>
        <w:right w:val="none" w:sz="0" w:space="0" w:color="auto"/>
      </w:divBdr>
    </w:div>
    <w:div w:id="2118138030">
      <w:marLeft w:val="0"/>
      <w:marRight w:val="0"/>
      <w:marTop w:val="0"/>
      <w:marBottom w:val="120"/>
      <w:divBdr>
        <w:top w:val="none" w:sz="0" w:space="0" w:color="auto"/>
        <w:left w:val="none" w:sz="0" w:space="0" w:color="auto"/>
        <w:bottom w:val="none" w:sz="0" w:space="0" w:color="auto"/>
        <w:right w:val="none" w:sz="0" w:space="0" w:color="auto"/>
      </w:divBdr>
    </w:div>
    <w:div w:id="2118479327">
      <w:marLeft w:val="0"/>
      <w:marRight w:val="0"/>
      <w:marTop w:val="0"/>
      <w:marBottom w:val="120"/>
      <w:divBdr>
        <w:top w:val="none" w:sz="0" w:space="0" w:color="auto"/>
        <w:left w:val="none" w:sz="0" w:space="0" w:color="auto"/>
        <w:bottom w:val="none" w:sz="0" w:space="0" w:color="auto"/>
        <w:right w:val="none" w:sz="0" w:space="0" w:color="auto"/>
      </w:divBdr>
    </w:div>
    <w:div w:id="2118595421">
      <w:marLeft w:val="0"/>
      <w:marRight w:val="0"/>
      <w:marTop w:val="140"/>
      <w:marBottom w:val="120"/>
      <w:divBdr>
        <w:top w:val="none" w:sz="0" w:space="0" w:color="auto"/>
        <w:left w:val="none" w:sz="0" w:space="0" w:color="auto"/>
        <w:bottom w:val="none" w:sz="0" w:space="0" w:color="auto"/>
        <w:right w:val="none" w:sz="0" w:space="0" w:color="auto"/>
      </w:divBdr>
    </w:div>
    <w:div w:id="2119447452">
      <w:marLeft w:val="0"/>
      <w:marRight w:val="0"/>
      <w:marTop w:val="0"/>
      <w:marBottom w:val="120"/>
      <w:divBdr>
        <w:top w:val="none" w:sz="0" w:space="0" w:color="auto"/>
        <w:left w:val="none" w:sz="0" w:space="0" w:color="auto"/>
        <w:bottom w:val="none" w:sz="0" w:space="0" w:color="auto"/>
        <w:right w:val="none" w:sz="0" w:space="0" w:color="auto"/>
      </w:divBdr>
    </w:div>
    <w:div w:id="2123959567">
      <w:marLeft w:val="0"/>
      <w:marRight w:val="0"/>
      <w:marTop w:val="0"/>
      <w:marBottom w:val="120"/>
      <w:divBdr>
        <w:top w:val="none" w:sz="0" w:space="0" w:color="auto"/>
        <w:left w:val="none" w:sz="0" w:space="0" w:color="auto"/>
        <w:bottom w:val="none" w:sz="0" w:space="0" w:color="auto"/>
        <w:right w:val="none" w:sz="0" w:space="0" w:color="auto"/>
      </w:divBdr>
    </w:div>
    <w:div w:id="2124954248">
      <w:marLeft w:val="0"/>
      <w:marRight w:val="0"/>
      <w:marTop w:val="0"/>
      <w:marBottom w:val="120"/>
      <w:divBdr>
        <w:top w:val="none" w:sz="0" w:space="0" w:color="auto"/>
        <w:left w:val="none" w:sz="0" w:space="0" w:color="auto"/>
        <w:bottom w:val="none" w:sz="0" w:space="0" w:color="auto"/>
        <w:right w:val="none" w:sz="0" w:space="0" w:color="auto"/>
      </w:divBdr>
    </w:div>
    <w:div w:id="2127118814">
      <w:marLeft w:val="0"/>
      <w:marRight w:val="0"/>
      <w:marTop w:val="0"/>
      <w:marBottom w:val="120"/>
      <w:divBdr>
        <w:top w:val="none" w:sz="0" w:space="0" w:color="auto"/>
        <w:left w:val="none" w:sz="0" w:space="0" w:color="auto"/>
        <w:bottom w:val="none" w:sz="0" w:space="0" w:color="auto"/>
        <w:right w:val="none" w:sz="0" w:space="0" w:color="auto"/>
      </w:divBdr>
    </w:div>
    <w:div w:id="2131121492">
      <w:marLeft w:val="0"/>
      <w:marRight w:val="0"/>
      <w:marTop w:val="0"/>
      <w:marBottom w:val="120"/>
      <w:divBdr>
        <w:top w:val="none" w:sz="0" w:space="0" w:color="auto"/>
        <w:left w:val="none" w:sz="0" w:space="0" w:color="auto"/>
        <w:bottom w:val="none" w:sz="0" w:space="0" w:color="auto"/>
        <w:right w:val="none" w:sz="0" w:space="0" w:color="auto"/>
      </w:divBdr>
    </w:div>
    <w:div w:id="2131969928">
      <w:marLeft w:val="0"/>
      <w:marRight w:val="0"/>
      <w:marTop w:val="0"/>
      <w:marBottom w:val="0"/>
      <w:divBdr>
        <w:top w:val="none" w:sz="0" w:space="0" w:color="auto"/>
        <w:left w:val="none" w:sz="0" w:space="0" w:color="auto"/>
        <w:bottom w:val="none" w:sz="0" w:space="0" w:color="auto"/>
        <w:right w:val="none" w:sz="0" w:space="0" w:color="auto"/>
      </w:divBdr>
      <w:divsChild>
        <w:div w:id="2097433208">
          <w:marLeft w:val="0"/>
          <w:marRight w:val="0"/>
          <w:marTop w:val="0"/>
          <w:marBottom w:val="120"/>
          <w:divBdr>
            <w:top w:val="none" w:sz="0" w:space="0" w:color="auto"/>
            <w:left w:val="none" w:sz="0" w:space="0" w:color="auto"/>
            <w:bottom w:val="none" w:sz="0" w:space="0" w:color="auto"/>
            <w:right w:val="none" w:sz="0" w:space="0" w:color="auto"/>
          </w:divBdr>
        </w:div>
      </w:divsChild>
    </w:div>
    <w:div w:id="2132361254">
      <w:marLeft w:val="0"/>
      <w:marRight w:val="0"/>
      <w:marTop w:val="240"/>
      <w:marBottom w:val="0"/>
      <w:divBdr>
        <w:top w:val="none" w:sz="0" w:space="0" w:color="auto"/>
        <w:left w:val="none" w:sz="0" w:space="0" w:color="auto"/>
        <w:bottom w:val="none" w:sz="0" w:space="0" w:color="auto"/>
        <w:right w:val="none" w:sz="0" w:space="0" w:color="auto"/>
      </w:divBdr>
    </w:div>
    <w:div w:id="2137066781">
      <w:marLeft w:val="0"/>
      <w:marRight w:val="0"/>
      <w:marTop w:val="240"/>
      <w:marBottom w:val="0"/>
      <w:divBdr>
        <w:top w:val="none" w:sz="0" w:space="0" w:color="auto"/>
        <w:left w:val="none" w:sz="0" w:space="0" w:color="auto"/>
        <w:bottom w:val="none" w:sz="0" w:space="0" w:color="auto"/>
        <w:right w:val="none" w:sz="0" w:space="0" w:color="auto"/>
      </w:divBdr>
    </w:div>
    <w:div w:id="2140489435">
      <w:marLeft w:val="0"/>
      <w:marRight w:val="0"/>
      <w:marTop w:val="0"/>
      <w:marBottom w:val="120"/>
      <w:divBdr>
        <w:top w:val="none" w:sz="0" w:space="0" w:color="auto"/>
        <w:left w:val="none" w:sz="0" w:space="0" w:color="auto"/>
        <w:bottom w:val="none" w:sz="0" w:space="0" w:color="auto"/>
        <w:right w:val="none" w:sz="0" w:space="0" w:color="auto"/>
      </w:divBdr>
    </w:div>
    <w:div w:id="2141919406">
      <w:marLeft w:val="0"/>
      <w:marRight w:val="0"/>
      <w:marTop w:val="0"/>
      <w:marBottom w:val="0"/>
      <w:divBdr>
        <w:top w:val="none" w:sz="0" w:space="0" w:color="auto"/>
        <w:left w:val="none" w:sz="0" w:space="0" w:color="auto"/>
        <w:bottom w:val="none" w:sz="0" w:space="0" w:color="auto"/>
        <w:right w:val="none" w:sz="0" w:space="0" w:color="auto"/>
      </w:divBdr>
      <w:divsChild>
        <w:div w:id="464546209">
          <w:marLeft w:val="0"/>
          <w:marRight w:val="0"/>
          <w:marTop w:val="0"/>
          <w:marBottom w:val="120"/>
          <w:divBdr>
            <w:top w:val="none" w:sz="0" w:space="0" w:color="auto"/>
            <w:left w:val="none" w:sz="0" w:space="0" w:color="auto"/>
            <w:bottom w:val="none" w:sz="0" w:space="0" w:color="auto"/>
            <w:right w:val="none" w:sz="0" w:space="0" w:color="auto"/>
          </w:divBdr>
        </w:div>
      </w:divsChild>
    </w:div>
    <w:div w:id="2147238774">
      <w:marLeft w:val="0"/>
      <w:marRight w:val="0"/>
      <w:marTop w:val="24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789460/000110465920066201/tm2020851d1_ex10-1.htm" TargetMode="External"/><Relationship Id="rId18" Type="http://schemas.openxmlformats.org/officeDocument/2006/relationships/hyperlink" Target="ex107-formofperformancexba.htm" TargetMode="External"/><Relationship Id="rId26" Type="http://schemas.openxmlformats.org/officeDocument/2006/relationships/hyperlink" Target="http://www.sec.gov/Archives/edgar/data/789460/000162828017001482/a2016q4ex1015.htm" TargetMode="External"/><Relationship Id="rId39" Type="http://schemas.openxmlformats.org/officeDocument/2006/relationships/hyperlink" Target="http://www.sec.gov/Archives/edgar/data/789460/000162828018002457/a2017q4ex1030.htm" TargetMode="External"/><Relationship Id="rId21" Type="http://schemas.openxmlformats.org/officeDocument/2006/relationships/hyperlink" Target="http://www.sec.gov/Archives/edgar/data/789460/000155837016003246/int-20151231ex1024bff55.htm" TargetMode="External"/><Relationship Id="rId34" Type="http://schemas.openxmlformats.org/officeDocument/2006/relationships/hyperlink" Target="http://www.sec.gov/Archives/edgar/data/789460/000115752322000361/a52617469ex10_1.htm" TargetMode="External"/><Relationship Id="rId42" Type="http://schemas.openxmlformats.org/officeDocument/2006/relationships/hyperlink" Target="http://www.sec.gov/Archives/edgar/data/789460/000162828022004028/ex1033_boacreditfacilityam.htm" TargetMode="External"/><Relationship Id="rId47" Type="http://schemas.openxmlformats.org/officeDocument/2006/relationships/hyperlink" Target="ex231_2022q4.htm" TargetMode="External"/><Relationship Id="rId50" Type="http://schemas.openxmlformats.org/officeDocument/2006/relationships/hyperlink" Target="ex321_2022q4.htm" TargetMode="External"/><Relationship Id="rId7" Type="http://schemas.openxmlformats.org/officeDocument/2006/relationships/image" Target="file:///E:\projects\LLMs\new_data_collection\data_new\htm\WORLD%20KINECT%20CORP\int-20221231_g4.jpg" TargetMode="External"/><Relationship Id="rId2" Type="http://schemas.openxmlformats.org/officeDocument/2006/relationships/settings" Target="settings.xml"/><Relationship Id="rId16" Type="http://schemas.openxmlformats.org/officeDocument/2006/relationships/hyperlink" Target="http://www.sec.gov/Archives/edgar/data/789460/000119312507081302/dex102.htm" TargetMode="External"/><Relationship Id="rId29" Type="http://schemas.openxmlformats.org/officeDocument/2006/relationships/hyperlink" Target="http://www.sec.gov/Archives/edgar/data/789460/000162828018002457/a2017q4ex1021.htm" TargetMode="External"/><Relationship Id="rId11" Type="http://schemas.openxmlformats.org/officeDocument/2006/relationships/hyperlink" Target="http://www.sec.gov/Archives/edgar/data/789460/000162828020002590/a2019q410kex41.htm" TargetMode="External"/><Relationship Id="rId24" Type="http://schemas.openxmlformats.org/officeDocument/2006/relationships/hyperlink" Target="http://www.sec.gov/Archives/edgar/data/789460/000162828018002457/a2017q4ex1014.htm" TargetMode="External"/><Relationship Id="rId32" Type="http://schemas.openxmlformats.org/officeDocument/2006/relationships/hyperlink" Target="http://www.sec.gov/Archives/edgar/data/789460/000162828021003481/a202010kex1024.htm" TargetMode="External"/><Relationship Id="rId37" Type="http://schemas.openxmlformats.org/officeDocument/2006/relationships/hyperlink" Target="http://www.sec.gov/Archives/edgar/data/789460/000162828016020385/amendmentno2.htm" TargetMode="External"/><Relationship Id="rId40" Type="http://schemas.openxmlformats.org/officeDocument/2006/relationships/hyperlink" Target="http://www.sec.gov/Archives/edgar/data/789460/000162828019008923/annexitoamendmentno5.htm" TargetMode="External"/><Relationship Id="rId45" Type="http://schemas.openxmlformats.org/officeDocument/2006/relationships/hyperlink" Target="http://www.sec.gov/Archives/edgar/data/789460/000162828022004028/projectskywalkermipaexecut.htm" TargetMode="External"/><Relationship Id="rId5" Type="http://schemas.openxmlformats.org/officeDocument/2006/relationships/image" Target="file:///E:\projects\LLMs\new_data_collection\data_new\htm\WORLD%20KINECT%20CORP\int-20221231_g2.jpg" TargetMode="External"/><Relationship Id="rId15" Type="http://schemas.openxmlformats.org/officeDocument/2006/relationships/hyperlink" Target="http://www.sec.gov/Archives/edgar/data/789460/000115752322001611/a52968266ex10_1.htm" TargetMode="External"/><Relationship Id="rId23" Type="http://schemas.openxmlformats.org/officeDocument/2006/relationships/hyperlink" Target="http://www.sec.gov/Archives/edgar/data/789460/000162828018002457/a2017q4ex1010.htm" TargetMode="External"/><Relationship Id="rId28" Type="http://schemas.openxmlformats.org/officeDocument/2006/relationships/hyperlink" Target="http://www.sec.gov/Archives/edgar/data/789460/000110465914054975/a14-13976_1ex10d2.htm" TargetMode="External"/><Relationship Id="rId36" Type="http://schemas.openxmlformats.org/officeDocument/2006/relationships/hyperlink" Target="http://www.sec.gov/Archives/edgar/data/789460/000155837015000030/int-20150130ex10147ad65.htm" TargetMode="External"/><Relationship Id="rId49" Type="http://schemas.openxmlformats.org/officeDocument/2006/relationships/hyperlink" Target="ex312_2022q4.htm" TargetMode="External"/><Relationship Id="rId10" Type="http://schemas.openxmlformats.org/officeDocument/2006/relationships/hyperlink" Target="http://www.sec.gov/Archives/edgar/data/789460/000115752311005202/a6842908_ex31.htm" TargetMode="External"/><Relationship Id="rId19" Type="http://schemas.openxmlformats.org/officeDocument/2006/relationships/hyperlink" Target="ex108-formofservicexbasedr.htm" TargetMode="External"/><Relationship Id="rId31" Type="http://schemas.openxmlformats.org/officeDocument/2006/relationships/hyperlink" Target="http://www.sec.gov/Archives/edgar/data/789460/000162828018002457/a2017q4ex1024.htm" TargetMode="External"/><Relationship Id="rId44" Type="http://schemas.openxmlformats.org/officeDocument/2006/relationships/hyperlink" Target="http://www.sec.gov/Archives/edgar/data/789460/000162828022019810/ex101_2022q2cfamendment9xw.htm" TargetMode="External"/><Relationship Id="rId52" Type="http://schemas.openxmlformats.org/officeDocument/2006/relationships/theme" Target="theme/theme1.xml"/><Relationship Id="rId4" Type="http://schemas.openxmlformats.org/officeDocument/2006/relationships/image" Target="file:///E:\projects\LLMs\new_data_collection\data_new\htm\WORLD%20KINECT%20CORP\int-20221231_g1.jpg" TargetMode="External"/><Relationship Id="rId9" Type="http://schemas.openxmlformats.org/officeDocument/2006/relationships/hyperlink" Target="http://www.sec.gov/Archives/edgar/data/789460/000115752309008255/a6106663ex3_1.txt" TargetMode="External"/><Relationship Id="rId14" Type="http://schemas.openxmlformats.org/officeDocument/2006/relationships/hyperlink" Target="http://www.sec.gov/Archives/edgar/data/789460/000162828021011056/a2021-omnibusplanexhibit101.htm" TargetMode="External"/><Relationship Id="rId22" Type="http://schemas.openxmlformats.org/officeDocument/2006/relationships/hyperlink" Target="http://www.sec.gov/Archives/edgar/data/789460/000162828019002382/a2018q4ex1010.htm" TargetMode="External"/><Relationship Id="rId27" Type="http://schemas.openxmlformats.org/officeDocument/2006/relationships/hyperlink" Target="http://www.sec.gov/Archives/edgar/data/789460/000162828018002457/a2017q4ex1017.htm" TargetMode="External"/><Relationship Id="rId30" Type="http://schemas.openxmlformats.org/officeDocument/2006/relationships/hyperlink" Target="http://www.sec.gov/Archives/edgar/data/789460/000162828017007371/a2017q2ex104.htm" TargetMode="External"/><Relationship Id="rId35" Type="http://schemas.openxmlformats.org/officeDocument/2006/relationships/hyperlink" Target="http://www.sec.gov/Archives/edgar/data/789460/000110465913075419/a13-22173_1ex10d1.htm" TargetMode="External"/><Relationship Id="rId43" Type="http://schemas.openxmlformats.org/officeDocument/2006/relationships/hyperlink" Target="http://www.sec.gov/Archives/edgar/data/789460/000162828022008268/exhibit101_creditfacilitya.htm" TargetMode="External"/><Relationship Id="rId48" Type="http://schemas.openxmlformats.org/officeDocument/2006/relationships/hyperlink" Target="ex311_2022q4.htm" TargetMode="External"/><Relationship Id="rId8" Type="http://schemas.openxmlformats.org/officeDocument/2006/relationships/hyperlink" Target="http://www.sec.gov/Archives/edgar/data/789460/000119312505018689/dex992.htm"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sec.gov/Archives/edgar/data/789460/000110465916125102/a16-12742_1ex10d1.htm" TargetMode="External"/><Relationship Id="rId17" Type="http://schemas.openxmlformats.org/officeDocument/2006/relationships/hyperlink" Target="http://www.sec.gov/Archives/edgar/data/789460/000162828017007371/a2017q2ex101.htm" TargetMode="External"/><Relationship Id="rId25" Type="http://schemas.openxmlformats.org/officeDocument/2006/relationships/hyperlink" Target="http://www.sec.gov/Archives/edgar/data/789460/000110465914054975/a14-13976_1ex10d1.htm" TargetMode="External"/><Relationship Id="rId33" Type="http://schemas.openxmlformats.org/officeDocument/2006/relationships/hyperlink" Target="http://www.sec.gov/Archives/edgar/data/789460/000115752322001610/a52968264ex10_1.htm" TargetMode="External"/><Relationship Id="rId38" Type="http://schemas.openxmlformats.org/officeDocument/2006/relationships/hyperlink" Target="http://www.sec.gov/Archives/edgar/data/789460/000162828017007371/a2017q2ex102.htm" TargetMode="External"/><Relationship Id="rId46" Type="http://schemas.openxmlformats.org/officeDocument/2006/relationships/hyperlink" Target="ex211_2022q4.htm" TargetMode="External"/><Relationship Id="rId20" Type="http://schemas.openxmlformats.org/officeDocument/2006/relationships/hyperlink" Target="http://www.sec.gov/Archives/edgar/data/789460/000115752322001611/a52968266ex10_2.htm" TargetMode="External"/><Relationship Id="rId41" Type="http://schemas.openxmlformats.org/officeDocument/2006/relationships/hyperlink" Target="http://www.sec.gov/Archives/edgar/data/789460/000162828022004028/cfamend6boa.htm" TargetMode="External"/><Relationship Id="rId1" Type="http://schemas.openxmlformats.org/officeDocument/2006/relationships/styles" Target="styles.xml"/><Relationship Id="rId6" Type="http://schemas.openxmlformats.org/officeDocument/2006/relationships/image" Target="file:///E:\projects\LLMs\new_data_collection\data_new\htm\WORLD%20KINECT%20CORP\int-20221231_g3.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57601</Words>
  <Characters>328329</Characters>
  <Application>Microsoft Office Word</Application>
  <DocSecurity>0</DocSecurity>
  <Lines>2736</Lines>
  <Paragraphs>770</Paragraphs>
  <ScaleCrop>false</ScaleCrop>
  <Company/>
  <LinksUpToDate>false</LinksUpToDate>
  <CharactersWithSpaces>385160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int-20221231</dc:title>
  <dc:subject/>
  <dc:creator>Chongjian.Yue</dc:creator>
  <cp:keywords/>
  <dc:description/>
  <cp:lastModifiedBy>Yue Chongjian</cp:lastModifiedBy>
  <cp:revision>1</cp:revision>
  <dcterms:created xsi:type="dcterms:W3CDTF">2024-01-04T16:05:00Z</dcterms:created>
  <dcterms:modified xsi:type="dcterms:W3CDTF">2024-01-04T16:05:00Z</dcterms:modified>
</cp:coreProperties>
</file>