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107FC" w14:textId="2AC9F3C8" w:rsidR="00BB68E1" w:rsidRDefault="005D2D5E">
      <w:pPr>
        <w:rPr>
          <w:rFonts w:ascii="Times New Roman" w:hAnsi="Times New Roman"/>
          <w:vanish/>
          <w:sz w:val="20"/>
          <w:szCs w:val="20"/>
        </w:rPr>
      </w:pPr>
      <w:r>
        <w:rPr>
          <w:rFonts w:ascii="Times New Roman" w:eastAsia="宋体" w:hAnsi="Times New Roman"/>
          <w:sz w:val="20"/>
          <w:szCs w:val="20"/>
        </w:rPr>
        <w:t xml:space="preserve"> </w:t>
      </w:r>
      <w:r>
        <w:rPr>
          <w:rFonts w:ascii="Times New Roman" w:eastAsia="宋体" w:hAnsi="Times New Roman"/>
          <w:vanish/>
          <w:sz w:val="20"/>
          <w:szCs w:val="20"/>
        </w:rPr>
        <w:t xml:space="preserve">false--01-31FY20200000104169077000000009500000000000.10110000000000.00750.00101400000000390000000004000000000.00040.00015180000000030000000001600000000P40YP30YP15YP3YP1YP3YP1YP4Y 0000104169 2019-02-01 2020-01-31 0000104169 2019-07-31 0000104169 2020-03-18 </w:t>
      </w:r>
      <w:r>
        <w:rPr>
          <w:rFonts w:ascii="Times New Roman" w:eastAsia="宋体" w:hAnsi="Times New Roman"/>
          <w:vanish/>
          <w:sz w:val="20"/>
          <w:szCs w:val="20"/>
        </w:rPr>
        <w:t>0000104169 wmt:CommonStockparvalue0.10pershareMember 2019-02-01 2020-01-31 0000104169 wmt:A2.550NotesDue2026Member 2019-02-01 2020-01-31 0000104169 wmt:A1.900NotesDue2022Member 2019-02-01 2020-01-31 0000104169 2018-02-01 2019-01-31 0000104169 2017-02-01 20</w:t>
      </w:r>
      <w:r>
        <w:rPr>
          <w:rFonts w:ascii="Times New Roman" w:eastAsia="宋体" w:hAnsi="Times New Roman"/>
          <w:vanish/>
          <w:sz w:val="20"/>
          <w:szCs w:val="20"/>
        </w:rPr>
        <w:t>18-01-31 0000104169 2020-01-31 0000104169 2019-01-31 0000104169 us-gaap:ParentMember 2020-01-31 0000104169 us-gaap:CommonStockMember 2018-01-31 0000104169 us-gaap:AccumulatedOtherComprehensiveIncomeMember 2017-02-01 2018-01-31 0000104169 us-gaap:CommonStoc</w:t>
      </w:r>
      <w:r>
        <w:rPr>
          <w:rFonts w:ascii="Times New Roman" w:eastAsia="宋体" w:hAnsi="Times New Roman"/>
          <w:vanish/>
          <w:sz w:val="20"/>
          <w:szCs w:val="20"/>
        </w:rPr>
        <w:t>kMember 2018-02-01 2019-01-31 0000104169 us-gaap:CommonStockMember 2019-02-01 2020-01-31 0000104169 us-gaap:RetainedEarningsMember 2020-01-31 0000104169 us-gaap:AdditionalPaidInCapitalMember 2019-01-31 0000104169 us-gaap:NoncontrollingInterestMember 2017-0</w:t>
      </w:r>
      <w:r>
        <w:rPr>
          <w:rFonts w:ascii="Times New Roman" w:eastAsia="宋体" w:hAnsi="Times New Roman"/>
          <w:vanish/>
          <w:sz w:val="20"/>
          <w:szCs w:val="20"/>
        </w:rPr>
        <w:t>1-31 0000104169 us-gaap:AccumulatedOtherComprehensiveIncomeMember 2020-01-31 0000104169 us-gaap:RetainedEarningsMember 2018-01-31 0000104169 us-gaap:ParentMember 2017-01-31 0000104169 us-gaap:AdditionalPaidInCapitalMember 2017-01-31 0000104169 us-gaap:Comm</w:t>
      </w:r>
      <w:r>
        <w:rPr>
          <w:rFonts w:ascii="Times New Roman" w:eastAsia="宋体" w:hAnsi="Times New Roman"/>
          <w:vanish/>
          <w:sz w:val="20"/>
          <w:szCs w:val="20"/>
        </w:rPr>
        <w:t>onStockMember 2017-02-01 2018-01-31 0000104169 us-gaap:NoncontrollingInterestMember 2017-02-01 2018-01-31 0000104169 us-gaap:NoncontrollingInterestMember 2018-02-01 2019-01-31 0000104169 us-gaap:ParentMember 2019-02-01 2020-01-31 0000104169 us-gaap:Accumul</w:t>
      </w:r>
      <w:r>
        <w:rPr>
          <w:rFonts w:ascii="Times New Roman" w:eastAsia="宋体" w:hAnsi="Times New Roman"/>
          <w:vanish/>
          <w:sz w:val="20"/>
          <w:szCs w:val="20"/>
        </w:rPr>
        <w:t>atedOtherComprehensiveIncomeMember 2019-02-01 2020-01-31 0000104169 us-gaap:AdditionalPaidInCapitalMember 2018-02-01 2019-01-31 0000104169 us-gaap:ParentMember 2017-02-01 2018-01-31 0000104169 us-gaap:RetainedEarningsMember 2018-02-01 2019-01-31 0000104169</w:t>
      </w:r>
      <w:r>
        <w:rPr>
          <w:rFonts w:ascii="Times New Roman" w:eastAsia="宋体" w:hAnsi="Times New Roman"/>
          <w:vanish/>
          <w:sz w:val="20"/>
          <w:szCs w:val="20"/>
        </w:rPr>
        <w:t xml:space="preserve"> us-gaap:ParentMember 2018-02-01 2019-01-31 0000104169 us-gaap:RetainedEarningsMember 2017-02-01 2018-01-31 0000104169 us-gaap:RetainedEarningsMember 2019-02-01 2020-01-31 0000104169 us-gaap:ParentMember 2019-01-31 0000104169 us-gaap:NoncontrollingInterest</w:t>
      </w:r>
      <w:r>
        <w:rPr>
          <w:rFonts w:ascii="Times New Roman" w:eastAsia="宋体" w:hAnsi="Times New Roman"/>
          <w:vanish/>
          <w:sz w:val="20"/>
          <w:szCs w:val="20"/>
        </w:rPr>
        <w:t>Member 2019-02-01 2020-01-31 0000104169 us-gaap:AccumulatedOtherComprehensiveIncomeMember 2018-02-01 2019-01-31 0000104169 us-gaap:ParentMember 2018-01-31 0000104169 us-gaap:AdditionalPaidInCapitalMember 2019-02-01 2020-01-31 0000104169 us-gaap:Accumulated</w:t>
      </w:r>
      <w:r>
        <w:rPr>
          <w:rFonts w:ascii="Times New Roman" w:eastAsia="宋体" w:hAnsi="Times New Roman"/>
          <w:vanish/>
          <w:sz w:val="20"/>
          <w:szCs w:val="20"/>
        </w:rPr>
        <w:t>OtherComprehensiveIncomeMember 2019-01-31 0000104169 us-gaap:AdditionalPaidInCapitalMember 2017-02-01 2018-01-31 0000104169 us-gaap:CommonStockMember 2020-01-31 0000104169 us-gaap:RetainedEarningsMember 2019-01-31 0000104169 2017-01-31 0000104169 us-gaap:A</w:t>
      </w:r>
      <w:r>
        <w:rPr>
          <w:rFonts w:ascii="Times New Roman" w:eastAsia="宋体" w:hAnsi="Times New Roman"/>
          <w:vanish/>
          <w:sz w:val="20"/>
          <w:szCs w:val="20"/>
        </w:rPr>
        <w:t>ccumulatedOtherComprehensiveIncomeMember 2018-01-31 0000104169 us-gaap:RetainedEarningsMember 2017-01-31 0000104169 us-gaap:CommonStockMember 2019-01-31 0000104169 us-gaap:CommonStockMember 2017-01-31 0000104169 2018-01-31 0000104169 us-gaap:AdditionalPaid</w:t>
      </w:r>
      <w:r>
        <w:rPr>
          <w:rFonts w:ascii="Times New Roman" w:eastAsia="宋体" w:hAnsi="Times New Roman"/>
          <w:vanish/>
          <w:sz w:val="20"/>
          <w:szCs w:val="20"/>
        </w:rPr>
        <w:t>InCapitalMember 2020-01-31 0000104169 us-gaap:NoncontrollingInterestMember 2018-01-31 0000104169 us-gaap:NoncontrollingInterestMember 2019-01-31 0000104169 us-gaap:AccumulatedOtherComprehensiveIncomeMember 2017-01-31 0000104169 us-gaap:NoncontrollingIntere</w:t>
      </w:r>
      <w:r>
        <w:rPr>
          <w:rFonts w:ascii="Times New Roman" w:eastAsia="宋体" w:hAnsi="Times New Roman"/>
          <w:vanish/>
          <w:sz w:val="20"/>
          <w:szCs w:val="20"/>
        </w:rPr>
        <w:t>stMember 2020-01-31 0000104169 us-gaap:AdditionalPaidInCapitalMember 2018-01-31 0000104169 wmt:FlipkartMember wmt:NonrepatriableCashandCashEquivalentsFlipkartDomain 2020-01-31 0000104169 us-gaap:AccountingStandardsUpdate201602Member 2019-04-30 0000104169 w</w:t>
      </w:r>
      <w:r>
        <w:rPr>
          <w:rFonts w:ascii="Times New Roman" w:eastAsia="宋体" w:hAnsi="Times New Roman"/>
          <w:vanish/>
          <w:sz w:val="20"/>
          <w:szCs w:val="20"/>
        </w:rPr>
        <w:t>mt:AmountsDuefromBanksMember 2019-01-31 0000104169 wmt:NonrepatriableCashandCashEquivalentsDomain 2020-01-31 0000104169 wmt:NonrepatriableCashandCashEquivalentsDomain 2019-01-31 0000104169 us-gaap:AccountingStandardsUpdate201601Member 2018-02-01 0000104169</w:t>
      </w:r>
      <w:r>
        <w:rPr>
          <w:rFonts w:ascii="Times New Roman" w:eastAsia="宋体" w:hAnsi="Times New Roman"/>
          <w:vanish/>
          <w:sz w:val="20"/>
          <w:szCs w:val="20"/>
        </w:rPr>
        <w:t xml:space="preserve"> us-gaap:LongTermDebtMember us-gaap:NetInvestmentHedgingMember 2020-01-31 0000104169 wmt:AmountsDuefromBanksMember 2020-01-31 0000104169 us-gaap:ConstructionInProgressMember 2020-01-31 0000104169 us-gaap:LandMember 2019-01-31 0000104169 us-gaap:Transportat</w:t>
      </w:r>
      <w:r>
        <w:rPr>
          <w:rFonts w:ascii="Times New Roman" w:eastAsia="宋体" w:hAnsi="Times New Roman"/>
          <w:vanish/>
          <w:sz w:val="20"/>
          <w:szCs w:val="20"/>
        </w:rPr>
        <w:t>ionEquipmentMember 2020-01-31 0000104169 us-gaap:ConstructionInProgressMember 2019-01-31 0000104169 us-gaap:BuildingAndBuildingImprovementsMember 2020-01-31 0000104169 us-gaap:FurnitureAndFixturesMember 2020-01-31 0000104169 us-gaap:LandMember 2020-01-31 0</w:t>
      </w:r>
      <w:r>
        <w:rPr>
          <w:rFonts w:ascii="Times New Roman" w:eastAsia="宋体" w:hAnsi="Times New Roman"/>
          <w:vanish/>
          <w:sz w:val="20"/>
          <w:szCs w:val="20"/>
        </w:rPr>
        <w:t>000104169 us-gaap:FurnitureAndFixturesMember 2019-01-31 0000104169 us-gaap:BuildingAndBuildingImprovementsMember 2019-01-31 0000104169 us-gaap:TransportationEquipmentMember 2019-01-31 0000104169 wmt:WalmartInternationalMember 2018-02-01 2019-01-31 00001041</w:t>
      </w:r>
      <w:r>
        <w:rPr>
          <w:rFonts w:ascii="Times New Roman" w:eastAsia="宋体" w:hAnsi="Times New Roman"/>
          <w:vanish/>
          <w:sz w:val="20"/>
          <w:szCs w:val="20"/>
        </w:rPr>
        <w:t>69 wmt:SamsClubMember 2018-01-31 0000104169 wmt:WalmartInternationalMember 2019-01-31 0000104169 wmt:WalmartUSMember 2018-02-01 2019-01-31 0000104169 wmt:SamsClubMember 2018-02-01 2019-01-31 0000104169 wmt:WalmartInternationalMember 2019-02-01 2020-01-31 0</w:t>
      </w:r>
      <w:r>
        <w:rPr>
          <w:rFonts w:ascii="Times New Roman" w:eastAsia="宋体" w:hAnsi="Times New Roman"/>
          <w:vanish/>
          <w:sz w:val="20"/>
          <w:szCs w:val="20"/>
        </w:rPr>
        <w:t>000104169 wmt:SamsClubMember 2019-02-01 2020-01-31 0000104169 wmt:WalmartInternationalMember 2020-01-31 0000104169 wmt:WalmartUSMember 2019-02-01 2020-01-31 0000104169 wmt:WalmartUSMember 2019-01-31 0000104169 wmt:WalmartUSMember 2018-01-31 0000104169 wmt:</w:t>
      </w:r>
      <w:r>
        <w:rPr>
          <w:rFonts w:ascii="Times New Roman" w:eastAsia="宋体" w:hAnsi="Times New Roman"/>
          <w:vanish/>
          <w:sz w:val="20"/>
          <w:szCs w:val="20"/>
        </w:rPr>
        <w:t>SamsClubMember 2020-01-31 0000104169 wmt:SamsClubMember 2019-01-31 0000104169 wmt:WalmartUSMember 2020-01-31 0000104169 wmt:WalmartInternationalMember 2018-01-31 0000104169 srt:MinimumMember us-gaap:TransportationEquipmentMember 2019-02-01 2020-01-31 00001</w:t>
      </w:r>
      <w:r>
        <w:rPr>
          <w:rFonts w:ascii="Times New Roman" w:eastAsia="宋体" w:hAnsi="Times New Roman"/>
          <w:vanish/>
          <w:sz w:val="20"/>
          <w:szCs w:val="20"/>
        </w:rPr>
        <w:t>04169 srt:MaximumMember us-gaap:FurnitureAndFixturesMember 2019-02-01 2020-01-31 0000104169 us-gaap:LongTermDebtMember us-gaap:NetInvestmentHedgingMember 2019-01-31 0000104169 srt:MaximumMember us-gaap:BuildingAndBuildingImprovementsMember 2019-02-01 2020-</w:t>
      </w:r>
      <w:r>
        <w:rPr>
          <w:rFonts w:ascii="Times New Roman" w:eastAsia="宋体" w:hAnsi="Times New Roman"/>
          <w:vanish/>
          <w:sz w:val="20"/>
          <w:szCs w:val="20"/>
        </w:rPr>
        <w:t xml:space="preserve">01-31 0000104169 srt:MaximumMember us-gaap:TransportationEquipmentMember 2019-02-01 2020-01-31 0000104169 srt:MinimumMember us-gaap:FurnitureAndFixturesMember 2019-02-01 2020-01-31 0000104169 srt:MinimumMember us-gaap:BuildingAndBuildingImprovementsMember </w:t>
      </w:r>
      <w:r>
        <w:rPr>
          <w:rFonts w:ascii="Times New Roman" w:eastAsia="宋体" w:hAnsi="Times New Roman"/>
          <w:vanish/>
          <w:sz w:val="20"/>
          <w:szCs w:val="20"/>
        </w:rPr>
        <w:t>2019-02-01 2020-01-31 0000104169 us-gaap:PerformanceSharesMember 2019-02-01 2020-01-31 0000104169 2018-02-01 0000104169 us-gaap:RestrictedStockMember 2017-02-01 2018-01-31 0000104169 us-gaap:RestrictedStockMember wmt:AnnualMember 2019-02-01 2020-01-31 0000</w:t>
      </w:r>
      <w:r>
        <w:rPr>
          <w:rFonts w:ascii="Times New Roman" w:eastAsia="宋体" w:hAnsi="Times New Roman"/>
          <w:vanish/>
          <w:sz w:val="20"/>
          <w:szCs w:val="20"/>
        </w:rPr>
        <w:t>104169 srt:MaximumMember us-gaap:PerformanceSharesMember 2019-02-01 2020-01-31 0000104169 wmt:FlipkartStockOptionPlanMember 2019-02-01 2020-01-31 0000104169 us-gaap:CommonStockMember 2020-01-31 0000104169 us-gaap:RestrictedStockMember wmt:ThreeYearsfromGra</w:t>
      </w:r>
      <w:r>
        <w:rPr>
          <w:rFonts w:ascii="Times New Roman" w:eastAsia="宋体" w:hAnsi="Times New Roman"/>
          <w:vanish/>
          <w:sz w:val="20"/>
          <w:szCs w:val="20"/>
        </w:rPr>
        <w:t>ntDateMember 2018-02-01 2019-01-31 0000104169 us-gaap:RestrictedStockMember 2018-02-01 2019-01-31 0000104169 us-gaap:PerformanceSharesMember 2017-02-01 2018-01-31 0000104169 us-gaap:StockOptionMember wmt:UnitedKingdomStockOptionPlanMember 2019-02-01 2020-0</w:t>
      </w:r>
      <w:r>
        <w:rPr>
          <w:rFonts w:ascii="Times New Roman" w:eastAsia="宋体" w:hAnsi="Times New Roman"/>
          <w:vanish/>
          <w:sz w:val="20"/>
          <w:szCs w:val="20"/>
        </w:rPr>
        <w:t>1-31 0000104169 us-gaap:PerformanceSharesMember 2018-02-01 2019-01-31 0000104169 srt:MinimumMember us-gaap:PerformanceSharesMember 2019-02-01 2020-01-31 0000104169 srt:MaximumMember wmt:RestrictedStockAndPerformanceShareAwardsMember 2019-02-01 2020-01-31 0</w:t>
      </w:r>
      <w:r>
        <w:rPr>
          <w:rFonts w:ascii="Times New Roman" w:eastAsia="宋体" w:hAnsi="Times New Roman"/>
          <w:vanish/>
          <w:sz w:val="20"/>
          <w:szCs w:val="20"/>
        </w:rPr>
        <w:t>000104169 us-gaap:RestrictedStockMember 2019-02-01 2020-01-31 0000104169 wmt:TwoThousandAndSeventeenShareRepurchaseProgramMember 2017-10-09 0000104169 srt:MinimumMember us-gaap:RestrictedStockMember 2018-02-01 2019-01-31 0000104169 us-gaap:RestrictedStockM</w:t>
      </w:r>
      <w:r>
        <w:rPr>
          <w:rFonts w:ascii="Times New Roman" w:eastAsia="宋体" w:hAnsi="Times New Roman"/>
          <w:vanish/>
          <w:sz w:val="20"/>
          <w:szCs w:val="20"/>
        </w:rPr>
        <w:t>ember wmt:FiveYearsfromGrantDateMemberMember 2018-02-01 2019-01-31 0000104169 wmt:TwoThousandAndSeventeenShareRepurchaseProgramMember 2020-01-31 0000104169 srt:MaximumMember us-gaap:RestrictedStockMember 2018-02-01 2019-01-31 0000104169 us-gaap:CommonStock</w:t>
      </w:r>
      <w:r>
        <w:rPr>
          <w:rFonts w:ascii="Times New Roman" w:eastAsia="宋体" w:hAnsi="Times New Roman"/>
          <w:vanish/>
          <w:sz w:val="20"/>
          <w:szCs w:val="20"/>
        </w:rPr>
        <w:t>Member 2019-01-31 0000104169 us-gaap:StockOptionMember 2017-02-01 2018-01-31 0000104169 wmt:RestrictedStockAndPerformanceShareAwardsMember 2017-02-01 2018-01-31 0000104169 us-gaap:StockOptionMember 2018-02-01 2019-01-31 0000104169 wmt:RestrictedStockAndPer</w:t>
      </w:r>
      <w:r>
        <w:rPr>
          <w:rFonts w:ascii="Times New Roman" w:eastAsia="宋体" w:hAnsi="Times New Roman"/>
          <w:vanish/>
          <w:sz w:val="20"/>
          <w:szCs w:val="20"/>
        </w:rPr>
        <w:t>formanceShareAwardsMember 2018-02-01 2019-01-31 0000104169 us-gaap:StockOptionMember 2019-02-01 2020-01-31 0000104169 wmt:RestrictedStockAndPerformanceShareAwardsMember 2019-02-01 2020-01-31 0000104169 us-gaap:RestrictedStockMember 2020-01-31 0000104169 wm</w:t>
      </w:r>
      <w:r>
        <w:rPr>
          <w:rFonts w:ascii="Times New Roman" w:eastAsia="宋体" w:hAnsi="Times New Roman"/>
          <w:vanish/>
          <w:sz w:val="20"/>
          <w:szCs w:val="20"/>
        </w:rPr>
        <w:t>t:RestrictedStockAndPerformanceShareAwardsMember 2019-01-31 0000104169 us-gaap:RestrictedStockMember 2019-01-31 0000104169 wmt:RestrictedStockAndPerformanceShareAwardsMember 2020-01-31 0000104169 wmt:RestrictedStockAndPerformanceShareAwardsMember 2018-01-3</w:t>
      </w:r>
      <w:r>
        <w:rPr>
          <w:rFonts w:ascii="Times New Roman" w:eastAsia="宋体" w:hAnsi="Times New Roman"/>
          <w:vanish/>
          <w:sz w:val="20"/>
          <w:szCs w:val="20"/>
        </w:rPr>
        <w:t>1 0000104169 us-gaap:RestrictedStockMember 2018-01-31 0000104169 wmt:FlipkartStockOptionPlanMember 2018-02-01 2019-01-31 0000104169 srt:MinimumMember wmt:RestrictedStockAndPerformanceShareAwardsMember 2019-02-01 2020-01-31 0000104169 wmt:WalmartBrazilMembe</w:t>
      </w:r>
      <w:r>
        <w:rPr>
          <w:rFonts w:ascii="Times New Roman" w:eastAsia="宋体" w:hAnsi="Times New Roman"/>
          <w:vanish/>
          <w:sz w:val="20"/>
          <w:szCs w:val="20"/>
        </w:rPr>
        <w:t>r 2018-02-01 2019-01-31 0000104169 us-gaap:AccumulatedNetInvestmentGainLossIncludingPortionAttributableToNoncontrollingInterestMember 2018-01-31 0000104169 us-gaap:AccumulatedNetInvestmentGainLossIncludingPortionAttributableToNoncontrollingInterestMember 2</w:t>
      </w:r>
      <w:r>
        <w:rPr>
          <w:rFonts w:ascii="Times New Roman" w:eastAsia="宋体" w:hAnsi="Times New Roman"/>
          <w:vanish/>
          <w:sz w:val="20"/>
          <w:szCs w:val="20"/>
        </w:rPr>
        <w:t>017-01-31 0000104169 us-gaap:AccumulatedNetUnrealizedInvestmentGainLossMember 2017-01-31 0000104169 us-gaap:AccumulatedGainLossCashFlowHedgeIncludingNoncontrollingInterestMember 2018-02-01 2019-01-31 0000104169 us-gaap:AccumulatedNetUnrealizedInvestmentGai</w:t>
      </w:r>
      <w:r>
        <w:rPr>
          <w:rFonts w:ascii="Times New Roman" w:eastAsia="宋体" w:hAnsi="Times New Roman"/>
          <w:vanish/>
          <w:sz w:val="20"/>
          <w:szCs w:val="20"/>
        </w:rPr>
        <w:t>nLossMember 2019-01-31 0000104169 us-gaap:AccumulatedDefinedBenefitPlansAdjustmentMember 2017-02-01 2018-01-31 0000104169 us-gaap:AccumulatedDefinedBenefitPlansAdjustmentMember 2018-02-01 2019-01-31 0000104169 us-gaap:AccumulatedGainLossCashFlowHedgeInclud</w:t>
      </w:r>
      <w:r>
        <w:rPr>
          <w:rFonts w:ascii="Times New Roman" w:eastAsia="宋体" w:hAnsi="Times New Roman"/>
          <w:vanish/>
          <w:sz w:val="20"/>
          <w:szCs w:val="20"/>
        </w:rPr>
        <w:t>ingNoncontrollingInterestMember 2019-01-31 0000104169 us-gaap:AccumulatedNetInvestmentGainLossIncludingPortionAttributableToNoncontrollingInterestMember 2019-01-31 0000104169 us-gaap:AccumulatedNetInvestmentGainLossIncludingPortionAttributableToNoncontroll</w:t>
      </w:r>
      <w:r>
        <w:rPr>
          <w:rFonts w:ascii="Times New Roman" w:eastAsia="宋体" w:hAnsi="Times New Roman"/>
          <w:vanish/>
          <w:sz w:val="20"/>
          <w:szCs w:val="20"/>
        </w:rPr>
        <w:t>ingInterestMember 2017-02-01 2018-01-31 0000104169 us-gaap:AccumulatedNetUnrealizedInvestmentGainLossMember 2018-02-01 2019-01-31 0000104169 us-gaap:AccumulatedGainLossCashFlowHedgeIncludingNoncontrollingInterestMember 2017-02-01 2018-01-31 0000104169 us-g</w:t>
      </w:r>
      <w:r>
        <w:rPr>
          <w:rFonts w:ascii="Times New Roman" w:eastAsia="宋体" w:hAnsi="Times New Roman"/>
          <w:vanish/>
          <w:sz w:val="20"/>
          <w:szCs w:val="20"/>
        </w:rPr>
        <w:t>aap:AccumulatedDefinedBenefitPlansAdjustmentMember 2020-01-31 0000104169 us-gaap:AccumulatedTranslationAdjustmentMember 2017-01-31 0000104169 us-gaap:AccumulatedGainLossCashFlowHedgeIncludingNoncontrollingInterestMember 2017-01-31 0000104169 us-gaap:Accumu</w:t>
      </w:r>
      <w:r>
        <w:rPr>
          <w:rFonts w:ascii="Times New Roman" w:eastAsia="宋体" w:hAnsi="Times New Roman"/>
          <w:vanish/>
          <w:sz w:val="20"/>
          <w:szCs w:val="20"/>
        </w:rPr>
        <w:t>latedNetInvestmentGainLossIncludingPortionAttributableToNoncontrollingInterestMember 2019-02-01 2020-01-31 0000104169 us-gaap:AccumulatedNetUnrealizedInvestmentGainLossMember 2018-01-31 0000104169 us-gaap:AccumulatedDefinedBenefitPlansAdjustmentMember 2019</w:t>
      </w:r>
      <w:r>
        <w:rPr>
          <w:rFonts w:ascii="Times New Roman" w:eastAsia="宋体" w:hAnsi="Times New Roman"/>
          <w:vanish/>
          <w:sz w:val="20"/>
          <w:szCs w:val="20"/>
        </w:rPr>
        <w:t>-02-01 2020-01-31 0000104169 us-gaap:AccumulatedTranslationAdjustmentMember 2018-02-01 2019-01-31 0000104169 us-gaap:AccumulatedNetUnrealizedInvestmentGainLossMember 2019-02-01 2020-01-31 0000104169 us-gaap:AccumulatedDefinedBenefitPlansAdjustmentMember 20</w:t>
      </w:r>
      <w:r>
        <w:rPr>
          <w:rFonts w:ascii="Times New Roman" w:eastAsia="宋体" w:hAnsi="Times New Roman"/>
          <w:vanish/>
          <w:sz w:val="20"/>
          <w:szCs w:val="20"/>
        </w:rPr>
        <w:t>19-01-31 0000104169 us-gaap:AccumulatedDefinedBenefitPlansAdjustmentMember 2018-01-31 0000104169 us-gaap:AccumulatedNetUnrealizedInvestmentGainLossMember 2017-02-01 2018-01-31 0000104169 us-gaap:AccumulatedNetInvestmentGainLossIncludingPortionAttributableT</w:t>
      </w:r>
      <w:r>
        <w:rPr>
          <w:rFonts w:ascii="Times New Roman" w:eastAsia="宋体" w:hAnsi="Times New Roman"/>
          <w:vanish/>
          <w:sz w:val="20"/>
          <w:szCs w:val="20"/>
        </w:rPr>
        <w:t>oNoncontrollingInterestMember 2018-02-01 2019-01-31 0000104169 us-gaap:AccumulatedTranslationAdjustmentMember 2018-01-31 0000104169 us-gaap:AccumulatedNetInvestmentGainLossIncludingPortionAttributableToNoncontrollingInterestMember 2020-01-31 0000104169 us-</w:t>
      </w:r>
      <w:r>
        <w:rPr>
          <w:rFonts w:ascii="Times New Roman" w:eastAsia="宋体" w:hAnsi="Times New Roman"/>
          <w:vanish/>
          <w:sz w:val="20"/>
          <w:szCs w:val="20"/>
        </w:rPr>
        <w:t>gaap:AccumulatedGainLossCashFlowHedgeIncludingNoncontrollingInterestMember 2018-01-31 0000104169 us-gaap:AccumulatedTranslationAdjustmentMember 2019-02-01 2020-01-31 0000104169 us-gaap:AccumulatedTranslationAdjustmentMember 2019-01-31 0000104169 us-gaap:Ac</w:t>
      </w:r>
      <w:r>
        <w:rPr>
          <w:rFonts w:ascii="Times New Roman" w:eastAsia="宋体" w:hAnsi="Times New Roman"/>
          <w:vanish/>
          <w:sz w:val="20"/>
          <w:szCs w:val="20"/>
        </w:rPr>
        <w:t>cumulatedNetUnrealizedInvestmentGainLossMember 2020-01-31 0000104169 us-gaap:AccumulatedGainLossCashFlowHedgeIncludingNoncontrollingInterestMember 2019-02-01 2020-01-31 0000104169 us-gaap:AccumulatedGainLossCashFlowHedgeIncludingNoncontrollingInterestMembe</w:t>
      </w:r>
      <w:r>
        <w:rPr>
          <w:rFonts w:ascii="Times New Roman" w:eastAsia="宋体" w:hAnsi="Times New Roman"/>
          <w:vanish/>
          <w:sz w:val="20"/>
          <w:szCs w:val="20"/>
        </w:rPr>
        <w:t>r 2020-01-31 0000104169 us-gaap:AccumulatedTranslationAdjustmentMember 2020-01-31 0000104169 us-gaap:AccumulatedTranslationAdjustmentMember 2017-02-01 2018-01-31 0000104169 us-gaap:AccumulatedDefinedBenefitPlansAdjustmentMember 2017-01-31 0000104169 wmt:Va</w:t>
      </w:r>
      <w:r>
        <w:rPr>
          <w:rFonts w:ascii="Times New Roman" w:eastAsia="宋体" w:hAnsi="Times New Roman"/>
          <w:vanish/>
          <w:sz w:val="20"/>
          <w:szCs w:val="20"/>
        </w:rPr>
        <w:t>riousRatesDueVariousMember us-gaap:UnsecuredDebtMember 2018-02-01 2019-01-31 0000104169 wmt:A1.125DebtDue2018Member us-gaap:UnsecuredDebtMember 2018-04-11 0000104169 us-gaap:UnsecuredDebtMember 2018-02-01 2019-01-31 0000104169 wmt:A5.800DebtDue2018Member u</w:t>
      </w:r>
      <w:r>
        <w:rPr>
          <w:rFonts w:ascii="Times New Roman" w:eastAsia="宋体" w:hAnsi="Times New Roman"/>
          <w:vanish/>
          <w:sz w:val="20"/>
          <w:szCs w:val="20"/>
        </w:rPr>
        <w:t>s-gaap:UnsecuredDebtMember 2018-02-01 2019-01-31 0000104169 wmt:VariableRateDebtDue2018Member us-gaap:UnsecuredDebtMember 2018-06-01 0000104169 wmt:A1.950DebtDue2018Member us-gaap:UnsecuredDebtMember 2018-12-15 0000104169 wmt:A1.950DebtDue2018Member us-gaa</w:t>
      </w:r>
      <w:r>
        <w:rPr>
          <w:rFonts w:ascii="Times New Roman" w:eastAsia="宋体" w:hAnsi="Times New Roman"/>
          <w:vanish/>
          <w:sz w:val="20"/>
          <w:szCs w:val="20"/>
        </w:rPr>
        <w:t xml:space="preserve">p:UnsecuredDebtMember 2018-02-01 2019-01-31 0000104169 wmt:VariableRateDebtDue2018Member us-gaap:UnsecuredDebtMember 2018-02-01 2019-01-31 0000104169 wmt:A5.800DebtDue2018Member us-gaap:UnsecuredDebtMember 2018-02-15 0000104169 wmt:A1.125DebtDue2018Member </w:t>
      </w:r>
      <w:r>
        <w:rPr>
          <w:rFonts w:ascii="Times New Roman" w:eastAsia="宋体" w:hAnsi="Times New Roman"/>
          <w:vanish/>
          <w:sz w:val="20"/>
          <w:szCs w:val="20"/>
        </w:rPr>
        <w:t>us-gaap:UnsecuredDebtMember 2018-02-01 2019-01-31 0000104169 wmt:VariousRatesDueVariousforRepaymentsMember us-gaap:UnsecuredDebtMember 2019-01-31 0000104169 wmt:VariableRateDebtDue2020Member us-gaap:UnsecuredDebtMember 2018-06-27 0000104169 wmt:A3.125DebtD</w:t>
      </w:r>
      <w:r>
        <w:rPr>
          <w:rFonts w:ascii="Times New Roman" w:eastAsia="宋体" w:hAnsi="Times New Roman"/>
          <w:vanish/>
          <w:sz w:val="20"/>
          <w:szCs w:val="20"/>
        </w:rPr>
        <w:t>ue2021Member us-gaap:UnsecuredDebtMember 2018-06-27 0000104169 wmt:A3.950DebtDue2038Member us-gaap:UnsecuredDebtMember 2018-06-27 0000104169 wmt:A3.550DebtDue2025Member us-gaap:UnsecuredDebtMember 2018-06-27 0000104169 wmt:VariableRateDebtDue2021Member us-</w:t>
      </w:r>
      <w:r>
        <w:rPr>
          <w:rFonts w:ascii="Times New Roman" w:eastAsia="宋体" w:hAnsi="Times New Roman"/>
          <w:vanish/>
          <w:sz w:val="20"/>
          <w:szCs w:val="20"/>
        </w:rPr>
        <w:t>gaap:UnsecuredDebtMember 2018-06-27 0000104169 wmt:VariableRateDebtDue2021Member us-gaap:UnsecuredDebtMember 2018-02-01 2019-01-31 0000104169 wmt:VariousRatesDueVariousMember us-gaap:UnsecuredDebtMember 2019-01-31 0000104169 wmt:A4.050DebtDue2048Member us-</w:t>
      </w:r>
      <w:r>
        <w:rPr>
          <w:rFonts w:ascii="Times New Roman" w:eastAsia="宋体" w:hAnsi="Times New Roman"/>
          <w:vanish/>
          <w:sz w:val="20"/>
          <w:szCs w:val="20"/>
        </w:rPr>
        <w:t>gaap:UnsecuredDebtMember 2018-06-27 0000104169 wmt:A3.700DebtDue2028Member us-gaap:UnsecuredDebtMember 2018-06-27 0000104169 wmt:A4.050DebtDue2048Member us-gaap:UnsecuredDebtMember 2018-02-01 2019-01-31 0000104169 wmt:A2.850DebtDue2020Member us-gaap:Unsecu</w:t>
      </w:r>
      <w:r>
        <w:rPr>
          <w:rFonts w:ascii="Times New Roman" w:eastAsia="宋体" w:hAnsi="Times New Roman"/>
          <w:vanish/>
          <w:sz w:val="20"/>
          <w:szCs w:val="20"/>
        </w:rPr>
        <w:t>redDebtMember 2018-02-01 2019-01-31 0000104169 wmt:A3.125DebtDue2021Member us-gaap:UnsecuredDebtMember 2018-02-01 2019-01-31 0000104169 wmt:A2.850DebtDue2020Member us-gaap:UnsecuredDebtMember 2018-06-27 0000104169 wmt:VariableRateDebtDue2020Member us-gaap:</w:t>
      </w:r>
      <w:r>
        <w:rPr>
          <w:rFonts w:ascii="Times New Roman" w:eastAsia="宋体" w:hAnsi="Times New Roman"/>
          <w:vanish/>
          <w:sz w:val="20"/>
          <w:szCs w:val="20"/>
        </w:rPr>
        <w:t>UnsecuredDebtMember 2018-02-01 2019-01-31 0000104169 wmt:A3.700DebtDue2028Member us-gaap:UnsecuredDebtMember 2018-02-01 2019-01-31 0000104169 wmt:A3.550DebtDue2025Member us-gaap:UnsecuredDebtMember 2018-02-01 2019-01-31 0000104169 wmt:A3.400DebtDue2023Memb</w:t>
      </w:r>
      <w:r>
        <w:rPr>
          <w:rFonts w:ascii="Times New Roman" w:eastAsia="宋体" w:hAnsi="Times New Roman"/>
          <w:vanish/>
          <w:sz w:val="20"/>
          <w:szCs w:val="20"/>
        </w:rPr>
        <w:t>er us-gaap:UnsecuredDebtMember 2018-06-27 0000104169 wmt:A3.400DebtDue2023Member us-gaap:UnsecuredDebtMember 2018-02-01 2019-01-31 0000104169 wmt:A3.950DebtDue2038Member us-gaap:UnsecuredDebtMember 2018-02-01 2019-01-31 0000104169 us-gaap:UnsecuredDebtMemb</w:t>
      </w:r>
      <w:r>
        <w:rPr>
          <w:rFonts w:ascii="Times New Roman" w:eastAsia="宋体" w:hAnsi="Times New Roman"/>
          <w:vanish/>
          <w:sz w:val="20"/>
          <w:szCs w:val="20"/>
        </w:rPr>
        <w:t>er 2020-01-31 0000104169 us-gaap:ForeignLineOfCreditMember 2019-01-31 0000104169 wmt:FrontedandSyndicatedLinesofCreditMember 2020-01-31 0000104169 us-gaap:DomesticLineOfCreditMember 2020-01-31 0000104169 us-gaap:ForeignLineOfCreditMember 2020-01-31 0000104</w:t>
      </w:r>
      <w:r>
        <w:rPr>
          <w:rFonts w:ascii="Times New Roman" w:eastAsia="宋体" w:hAnsi="Times New Roman"/>
          <w:vanish/>
          <w:sz w:val="20"/>
          <w:szCs w:val="20"/>
        </w:rPr>
        <w:t>169 us-gaap:DomesticLineOfCreditMember wmt:FiveYearCreditFacilityMember 2020-01-31 0000104169 us-gaap:DomesticLineOfCreditMember us-gaap:RevolvingCreditFacilityMember 2020-01-31 0000104169 us-gaap:DomesticLineOfCreditMember wmt:FiveYearCreditFacilityMember</w:t>
      </w:r>
      <w:r>
        <w:rPr>
          <w:rFonts w:ascii="Times New Roman" w:eastAsia="宋体" w:hAnsi="Times New Roman"/>
          <w:vanish/>
          <w:sz w:val="20"/>
          <w:szCs w:val="20"/>
        </w:rPr>
        <w:t xml:space="preserve"> 2019-01-31 0000104169 us-gaap:DomesticLineOfCreditMember 2019-01-31 0000104169 us-gaap:DomesticLineOfCreditMember us-gaap:RevolvingCreditFacilityMember 2019-01-31 0000104169 wmt:DenominatedYenMember 2020-01-31 0000104169 wmt:DenominatedEurowithVariableRat</w:t>
      </w:r>
      <w:r>
        <w:rPr>
          <w:rFonts w:ascii="Times New Roman" w:eastAsia="宋体" w:hAnsi="Times New Roman"/>
          <w:vanish/>
          <w:sz w:val="20"/>
          <w:szCs w:val="20"/>
        </w:rPr>
        <w:t>eMember 2019-01-31 0000104169 wmt:DenominatedSterlingwithVariableRateMember 2020-01-31 0000104169 wmt:DenominatedSterlingwithVariableRateMember 2019-01-31 0000104169 wmt:DenominatedSterlingwithFixedRateMember 2020-01-31 0000104169 wmt:DenominatedSterlingwi</w:t>
      </w:r>
      <w:r>
        <w:rPr>
          <w:rFonts w:ascii="Times New Roman" w:eastAsia="宋体" w:hAnsi="Times New Roman"/>
          <w:vanish/>
          <w:sz w:val="20"/>
          <w:szCs w:val="20"/>
        </w:rPr>
        <w:t>thFixedRateMember us-gaap:UnsecuredDebtMember 2019-01-31 0000104169 wmt:DenominatedSterlingMember 2019-01-31 0000104169 wmt:DenominatedUSDollarwithFixedRateMember 2019-01-31 0000104169 wmt:DenominatedYenwithFixedRateMember us-gaap:UnsecuredDebtMember 2019-</w:t>
      </w:r>
      <w:r>
        <w:rPr>
          <w:rFonts w:ascii="Times New Roman" w:eastAsia="宋体" w:hAnsi="Times New Roman"/>
          <w:vanish/>
          <w:sz w:val="20"/>
          <w:szCs w:val="20"/>
        </w:rPr>
        <w:t xml:space="preserve">01-31 0000104169 wmt:DenominatedSterlingwithFixedRateMember 2019-01-31 0000104169 wmt:DenominatedUSDollarMember 2020-01-31 0000104169 wmt:DenominatedEurowithFixedRateMember 2019-01-31 0000104169 wmt:DenominatedEurowithFixedRateMember 2020-01-31 0000104169 </w:t>
      </w:r>
      <w:r>
        <w:rPr>
          <w:rFonts w:ascii="Times New Roman" w:eastAsia="宋体" w:hAnsi="Times New Roman"/>
          <w:vanish/>
          <w:sz w:val="20"/>
          <w:szCs w:val="20"/>
        </w:rPr>
        <w:t>wmt:DenominatedYenwithVariableRateMember 2019-01-31 0000104169 wmt:DenominatedEuroMember 2020-01-31 0000104169 wmt:DenominatedUSDollarwithFixedRateMember us-gaap:UnsecuredDebtMember 2019-01-31 0000104169 wmt:DenominatedEurowithFixedRateMember us-gaap:Unsec</w:t>
      </w:r>
      <w:r>
        <w:rPr>
          <w:rFonts w:ascii="Times New Roman" w:eastAsia="宋体" w:hAnsi="Times New Roman"/>
          <w:vanish/>
          <w:sz w:val="20"/>
          <w:szCs w:val="20"/>
        </w:rPr>
        <w:t>uredDebtMember 2019-01-31 0000104169 wmt:DenominatedUSDollarwithVariableRateMember us-gaap:UnsecuredDebtMember 2020-01-31 0000104169 wmt:DenominatedSterlingwithFixedRateMember us-gaap:UnsecuredDebtMember 2020-01-31 0000104169 wmt:DenominatedEuroMember 2019</w:t>
      </w:r>
      <w:r>
        <w:rPr>
          <w:rFonts w:ascii="Times New Roman" w:eastAsia="宋体" w:hAnsi="Times New Roman"/>
          <w:vanish/>
          <w:sz w:val="20"/>
          <w:szCs w:val="20"/>
        </w:rPr>
        <w:t>-01-31 0000104169 us-gaap:OtherDebtSecuritiesMember 2019-01-31 0000104169 wmt:DenominatedYenMember 2019-01-31 0000104169 us-gaap:OtherDebtSecuritiesMember 2020-01-31 0000104169 wmt:DenominatedYenwithFixedRateMember 2020-01-31 0000104169 wmt:DenominatedEuro</w:t>
      </w:r>
      <w:r>
        <w:rPr>
          <w:rFonts w:ascii="Times New Roman" w:eastAsia="宋体" w:hAnsi="Times New Roman"/>
          <w:vanish/>
          <w:sz w:val="20"/>
          <w:szCs w:val="20"/>
        </w:rPr>
        <w:t>withFixedRateMember us-gaap:UnsecuredDebtMember 2020-01-31 0000104169 wmt:DenominatedSterlingMember 2020-01-31 0000104169 wmt:DenominatedUSDollarwithFixedRateMember us-gaap:UnsecuredDebtMember 2020-01-31 0000104169 wmt:DenominatedUSDollarwithVariableRateMe</w:t>
      </w:r>
      <w:r>
        <w:rPr>
          <w:rFonts w:ascii="Times New Roman" w:eastAsia="宋体" w:hAnsi="Times New Roman"/>
          <w:vanish/>
          <w:sz w:val="20"/>
          <w:szCs w:val="20"/>
        </w:rPr>
        <w:t>mber 2019-01-31 0000104169 wmt:DenominatedUSDollarwithVariableRateMember 2020-01-31 0000104169 wmt:DenominatedUSDollarMember 2019-01-31 0000104169 wmt:DenominatedEurowithVariableRateMember 2020-01-31 0000104169 wmt:DenominatedUSDollarwithFixedRateMember 20</w:t>
      </w:r>
      <w:r>
        <w:rPr>
          <w:rFonts w:ascii="Times New Roman" w:eastAsia="宋体" w:hAnsi="Times New Roman"/>
          <w:vanish/>
          <w:sz w:val="20"/>
          <w:szCs w:val="20"/>
        </w:rPr>
        <w:t>20-01-31 0000104169 wmt:DenominatedUSDollarwithVariableRateMember us-gaap:UnsecuredDebtMember 2019-01-31 0000104169 wmt:DenominatedYenwithFixedRateMember us-gaap:UnsecuredDebtMember 2020-01-31 0000104169 wmt:DenominatedYenwithFixedRateMember 2019-01-31 000</w:t>
      </w:r>
      <w:r>
        <w:rPr>
          <w:rFonts w:ascii="Times New Roman" w:eastAsia="宋体" w:hAnsi="Times New Roman"/>
          <w:vanish/>
          <w:sz w:val="20"/>
          <w:szCs w:val="20"/>
        </w:rPr>
        <w:t>0104169 wmt:DenominatedYenwithVariableRateMember 2020-01-31 0000104169 wmt:A3.050DebtDue2026Member us-gaap:UnsecuredDebtMember 2019-04-23 0000104169 wmt:A2.950DebtDue2049Member us-gaap:UnsecuredDebtMember 2019-02-01 2020-01-31 0000104169 wmt:A3.250DebtDue2</w:t>
      </w:r>
      <w:r>
        <w:rPr>
          <w:rFonts w:ascii="Times New Roman" w:eastAsia="宋体" w:hAnsi="Times New Roman"/>
          <w:vanish/>
          <w:sz w:val="20"/>
          <w:szCs w:val="20"/>
        </w:rPr>
        <w:t>029Member us-gaap:UnsecuredDebtMember 2019-04-23 0000104169 wmt:A2.950DebtDue2049Member us-gaap:UnsecuredDebtMember 2019-09-24 0000104169 wmt:A3.250DebtDue2029Member us-gaap:UnsecuredDebtMember 2019-02-01 2020-01-31 0000104169 wmt:A2.850DebtDue2024Member u</w:t>
      </w:r>
      <w:r>
        <w:rPr>
          <w:rFonts w:ascii="Times New Roman" w:eastAsia="宋体" w:hAnsi="Times New Roman"/>
          <w:vanish/>
          <w:sz w:val="20"/>
          <w:szCs w:val="20"/>
        </w:rPr>
        <w:t>s-gaap:UnsecuredDebtMember 2019-04-23 0000104169 wmt:A2.375DebtDue2029Member us-gaap:UnsecuredDebtMember 2019-09-24 0000104169 wmt:A3.050DebtDue2026Member us-gaap:UnsecuredDebtMember 2019-02-01 2020-01-31 0000104169 wmt:A2.375DebtDue2029Member us-gaap:Unse</w:t>
      </w:r>
      <w:r>
        <w:rPr>
          <w:rFonts w:ascii="Times New Roman" w:eastAsia="宋体" w:hAnsi="Times New Roman"/>
          <w:vanish/>
          <w:sz w:val="20"/>
          <w:szCs w:val="20"/>
        </w:rPr>
        <w:t>curedDebtMember 2019-02-01 2020-01-31 0000104169 us-gaap:UnsecuredDebtMember 2019-02-01 2020-01-31 0000104169 wmt:VariousRatesDueVariousMember us-gaap:UnsecuredDebtMember 2020-01-31 0000104169 wmt:VariousRatesDueVariousMember us-gaap:UnsecuredDebtMember 20</w:t>
      </w:r>
      <w:r>
        <w:rPr>
          <w:rFonts w:ascii="Times New Roman" w:eastAsia="宋体" w:hAnsi="Times New Roman"/>
          <w:vanish/>
          <w:sz w:val="20"/>
          <w:szCs w:val="20"/>
        </w:rPr>
        <w:t>19-02-01 2020-01-31 0000104169 wmt:A2.850DebtDue2024Member us-gaap:UnsecuredDebtMember 2019-02-01 2020-01-31 0000104169 wmt:A1.750DebtDue2019Member us-gaap:UnsecuredDebtMember 2019-10-20 0000104169 wmt:A4.125DebtDue2019Member us-gaap:UnsecuredDebtMember 20</w:t>
      </w:r>
      <w:r>
        <w:rPr>
          <w:rFonts w:ascii="Times New Roman" w:eastAsia="宋体" w:hAnsi="Times New Roman"/>
          <w:vanish/>
          <w:sz w:val="20"/>
          <w:szCs w:val="20"/>
        </w:rPr>
        <w:t>19-02-01 0000104169 wmt:VariableRateDebtDue2019Member us-gaap:UnsecuredDebtMember 2019-02-01 2020-01-31 0000104169 wmt:VariousRatesDueVariousforRepaymentsMember us-gaap:UnsecuredDebtMember 2020-01-31 0000104169 wmt:A4.125DebtDue2019Member us-gaap:Unsecured</w:t>
      </w:r>
      <w:r>
        <w:rPr>
          <w:rFonts w:ascii="Times New Roman" w:eastAsia="宋体" w:hAnsi="Times New Roman"/>
          <w:vanish/>
          <w:sz w:val="20"/>
          <w:szCs w:val="20"/>
        </w:rPr>
        <w:t>DebtMember 2019-02-01 2020-01-31 0000104169 wmt:VariableRateDebtDue2019Member us-gaap:UnsecuredDebtMember 2019-10-20 0000104169 wmt:A1.750DebtDue2019Member us-gaap:UnsecuredDebtMember 2019-02-01 2020-01-31 0000104169 srt:MinimumMember 2019-02-01 2020-01-31</w:t>
      </w:r>
      <w:r>
        <w:rPr>
          <w:rFonts w:ascii="Times New Roman" w:eastAsia="宋体" w:hAnsi="Times New Roman"/>
          <w:vanish/>
          <w:sz w:val="20"/>
          <w:szCs w:val="20"/>
        </w:rPr>
        <w:t xml:space="preserve"> 0000104169 wmt:FrontedandSyndicatedLinesofCreditMember 2019-01-31 0000104169 srt:MaximumMember us-gaap:DomesticLineOfCreditMember us-gaap:LondonInterbankOfferedRateLIBORMember 2019-02-01 2020-01-31 0000104169 srt:MinimumMember us-gaap:DomesticLineOfCredit</w:t>
      </w:r>
      <w:r>
        <w:rPr>
          <w:rFonts w:ascii="Times New Roman" w:eastAsia="宋体" w:hAnsi="Times New Roman"/>
          <w:vanish/>
          <w:sz w:val="20"/>
          <w:szCs w:val="20"/>
        </w:rPr>
        <w:t>Member us-gaap:LondonInterbankOfferedRateLIBORMember 2019-02-01 2020-01-31 0000104169 srt:MaximumMember 2019-02-01 2020-01-31 0000104169 wmt:OtherlongtermassetsMember us-gaap:CrossCurrencyInterestRateContractMember us-gaap:CashFlowHedgingMember us-gaap:Fai</w:t>
      </w:r>
      <w:r>
        <w:rPr>
          <w:rFonts w:ascii="Times New Roman" w:eastAsia="宋体" w:hAnsi="Times New Roman"/>
          <w:vanish/>
          <w:sz w:val="20"/>
          <w:szCs w:val="20"/>
        </w:rPr>
        <w:t>rValueInputsLevel2Member us-gaap:FairValueMeasurementsRecurringMember 2019-01-31 0000104169 wmt:WalmartBrazilMember 2018-07-31 0000104169 wmt:DeferredIncomeTaxesandOtherMember us-gaap:CrossCurrencyInterestRateContractMember us-gaap:CashFlowHedgingMember us</w:t>
      </w:r>
      <w:r>
        <w:rPr>
          <w:rFonts w:ascii="Times New Roman" w:eastAsia="宋体" w:hAnsi="Times New Roman"/>
          <w:vanish/>
          <w:sz w:val="20"/>
          <w:szCs w:val="20"/>
        </w:rPr>
        <w:t>-gaap:FairValueInputsLevel2Member us-gaap:FairValueMeasurementsRecurringMember 2019-01-31 0000104169 us-gaap:FairValueInputsLevel2Member 2020-01-31 0000104169 us-gaap:FairValueInputsLevel2Member 2019-01-31 0000104169 us-gaap:FairValueInputsLevel2Member us-</w:t>
      </w:r>
      <w:r>
        <w:rPr>
          <w:rFonts w:ascii="Times New Roman" w:eastAsia="宋体" w:hAnsi="Times New Roman"/>
          <w:vanish/>
          <w:sz w:val="20"/>
          <w:szCs w:val="20"/>
        </w:rPr>
        <w:t xml:space="preserve">gaap:FairValueMeasurementsRecurringMember 2019-01-31 0000104169 us-gaap:FairValueInputsLevel2Member us-gaap:FairValueMeasurementsRecurringMember 2020-01-31 0000104169 us-gaap:CrossCurrencyInterestRateContractMember us-gaap:CashFlowHedgingMember 2019-01-31 </w:t>
      </w:r>
      <w:r>
        <w:rPr>
          <w:rFonts w:ascii="Times New Roman" w:eastAsia="宋体" w:hAnsi="Times New Roman"/>
          <w:vanish/>
          <w:sz w:val="20"/>
          <w:szCs w:val="20"/>
        </w:rPr>
        <w:t>0000104169 wmt:OtherlongtermassetsMember us-gaap:InterestRateSwapMember us-gaap:FairValueHedgingMember us-gaap:FairValueInputsLevel2Member us-gaap:FairValueMeasurementsRecurringMember 2020-01-31 0000104169 wmt:DeferredIncomeTaxesandOtherMember us-gaap:Cros</w:t>
      </w:r>
      <w:r>
        <w:rPr>
          <w:rFonts w:ascii="Times New Roman" w:eastAsia="宋体" w:hAnsi="Times New Roman"/>
          <w:vanish/>
          <w:sz w:val="20"/>
          <w:szCs w:val="20"/>
        </w:rPr>
        <w:t>sCurrencyInterestRateContractMember us-gaap:CashFlowHedgingMember us-gaap:FairValueInputsLevel2Member us-gaap:FairValueMeasurementsRecurringMember 2020-01-31 0000104169 us-gaap:InterestRateSwapMember us-gaap:FairValueHedgingMember 2020-01-31 0000104169 wmt</w:t>
      </w:r>
      <w:r>
        <w:rPr>
          <w:rFonts w:ascii="Times New Roman" w:eastAsia="宋体" w:hAnsi="Times New Roman"/>
          <w:vanish/>
          <w:sz w:val="20"/>
          <w:szCs w:val="20"/>
        </w:rPr>
        <w:t>:OtherlongtermassetsMember us-gaap:CrossCurrencyInterestRateContractMember us-gaap:NetInvestmentHedgingMember us-gaap:FairValueInputsLevel2Member us-gaap:FairValueMeasurementsRecurringMember 2019-01-31 0000104169 us-gaap:CrossCurrencyInterestRateContractMe</w:t>
      </w:r>
      <w:r>
        <w:rPr>
          <w:rFonts w:ascii="Times New Roman" w:eastAsia="宋体" w:hAnsi="Times New Roman"/>
          <w:vanish/>
          <w:sz w:val="20"/>
          <w:szCs w:val="20"/>
        </w:rPr>
        <w:t>mber us-gaap:CashFlowHedgingMember us-gaap:FairValueInputsLevel2Member us-gaap:FairValueMeasurementsRecurringMember 2019-01-31 0000104169 us-gaap:InterestRateSwapMember us-gaap:FairValueHedgingMember 2019-01-31 0000104169 wmt:OtherlongtermassetsMember us-g</w:t>
      </w:r>
      <w:r>
        <w:rPr>
          <w:rFonts w:ascii="Times New Roman" w:eastAsia="宋体" w:hAnsi="Times New Roman"/>
          <w:vanish/>
          <w:sz w:val="20"/>
          <w:szCs w:val="20"/>
        </w:rPr>
        <w:t>aap:CrossCurrencyInterestRateContractMember us-gaap:NetInvestmentHedgingMember us-gaap:FairValueInputsLevel2Member us-gaap:FairValueMeasurementsRecurringMember 2020-01-31 0000104169 us-gaap:CrossCurrencyInterestRateContractMember us-gaap:CashFlowHedgingMem</w:t>
      </w:r>
      <w:r>
        <w:rPr>
          <w:rFonts w:ascii="Times New Roman" w:eastAsia="宋体" w:hAnsi="Times New Roman"/>
          <w:vanish/>
          <w:sz w:val="20"/>
          <w:szCs w:val="20"/>
        </w:rPr>
        <w:t>ber 2020-01-31 0000104169 us-gaap:CrossCurrencyInterestRateContractMember us-gaap:NetInvestmentHedgingMember 2020-01-31 0000104169 wmt:DeferredIncomeTaxesandOtherMember us-gaap:InterestRateSwapMember us-gaap:FairValueHedgingMember us-gaap:FairValueInputsLe</w:t>
      </w:r>
      <w:r>
        <w:rPr>
          <w:rFonts w:ascii="Times New Roman" w:eastAsia="宋体" w:hAnsi="Times New Roman"/>
          <w:vanish/>
          <w:sz w:val="20"/>
          <w:szCs w:val="20"/>
        </w:rPr>
        <w:t>vel2Member us-gaap:FairValueMeasurementsRecurringMember 2019-01-31 0000104169 us-gaap:CrossCurrencyInterestRateContractMember us-gaap:NetInvestmentHedgingMember 2019-01-31 0000104169 wmt:JD.comMember us-gaap:FairValueInputsLevel2Member 2019-01-31 000010416</w:t>
      </w:r>
      <w:r>
        <w:rPr>
          <w:rFonts w:ascii="Times New Roman" w:eastAsia="宋体" w:hAnsi="Times New Roman"/>
          <w:vanish/>
          <w:sz w:val="20"/>
          <w:szCs w:val="20"/>
        </w:rPr>
        <w:t>9 wmt:JD.comMember 2019-01-31 0000104169 wmt:JD.comMember 2020-01-31 0000104169 wmt:JD.comMember us-gaap:FairValueInputsLevel1Member 2020-01-31 0000104169 wmt:JD.comMember us-gaap:FairValueInputsLevel2Member 2020-01-31 0000104169 wmt:JD.comMember us-gaap:F</w:t>
      </w:r>
      <w:r>
        <w:rPr>
          <w:rFonts w:ascii="Times New Roman" w:eastAsia="宋体" w:hAnsi="Times New Roman"/>
          <w:vanish/>
          <w:sz w:val="20"/>
          <w:szCs w:val="20"/>
        </w:rPr>
        <w:t>airValueInputsLevel1Member 2019-01-31 0000104169 2018-01-01 2018-01-31 0000104169 us-gaap:CapitalLossCarryforwardMember 2019-02-01 2020-01-31 0000104169 wmt:Operatinglossandcapitallosscarryforwardexpiringby2040Member 2020-01-31 0000104169 wmt:Otherlongterm</w:t>
      </w:r>
      <w:r>
        <w:rPr>
          <w:rFonts w:ascii="Times New Roman" w:eastAsia="宋体" w:hAnsi="Times New Roman"/>
          <w:vanish/>
          <w:sz w:val="20"/>
          <w:szCs w:val="20"/>
        </w:rPr>
        <w:t>assetsMember 2019-01-31 0000104169 wmt:OtherlongtermassetsMember 2020-01-31 0000104169 wmt:DeferredIncomeTaxesandOtherMember 2020-01-31 0000104169 wmt:DeferredIncomeTaxesandOtherMember 2019-01-31 0000104169 wmt:DepartmentofJusticeMember wmt:ForeignCorruptP</w:t>
      </w:r>
      <w:r>
        <w:rPr>
          <w:rFonts w:ascii="Times New Roman" w:eastAsia="宋体" w:hAnsi="Times New Roman"/>
          <w:vanish/>
          <w:sz w:val="20"/>
          <w:szCs w:val="20"/>
        </w:rPr>
        <w:t>racticesActMember 2019-06-01 2019-06-30 0000104169 wmt:SecuritiesandExchangeCommissionMember wmt:ForeignCorruptPracticesActMember 2019-06-01 2019-06-30 0000104169 wmt:AsdaEqualValueLawsuitMember 2020-01-31 0000104169 wmt:ForeignCorruptPracticesActMember 20</w:t>
      </w:r>
      <w:r>
        <w:rPr>
          <w:rFonts w:ascii="Times New Roman" w:eastAsia="宋体" w:hAnsi="Times New Roman"/>
          <w:vanish/>
          <w:sz w:val="20"/>
          <w:szCs w:val="20"/>
        </w:rPr>
        <w:t>19-06-01 2019-06-30 0000104169 wmt:WMTBrasiliaS.a.r.l.Member wmt:DepartmentofJusticeMember wmt:ForeignCorruptPracticesActMember 2019-06-01 2019-06-30 0000104169 country:JP wmt:DeferredIncomeTaxesandOtherMember 2020-01-31 0000104169 wmt:AsdaGroupPensionSche</w:t>
      </w:r>
      <w:r>
        <w:rPr>
          <w:rFonts w:ascii="Times New Roman" w:eastAsia="宋体" w:hAnsi="Times New Roman"/>
          <w:vanish/>
          <w:sz w:val="20"/>
          <w:szCs w:val="20"/>
        </w:rPr>
        <w:t>meMember us-gaap:PensionPlansDefinedBenefitMember 2019-11-01 2020-01-31 0000104169 country:JP wmt:DeferredIncomeTaxesandOtherMember 2019-01-31 0000104169 us-gaap:ForeignPlanMember 2017-02-01 2018-01-31 0000104169 country:US 2018-02-01 2019-01-31 0000104169</w:t>
      </w:r>
      <w:r>
        <w:rPr>
          <w:rFonts w:ascii="Times New Roman" w:eastAsia="宋体" w:hAnsi="Times New Roman"/>
          <w:vanish/>
          <w:sz w:val="20"/>
          <w:szCs w:val="20"/>
        </w:rPr>
        <w:t xml:space="preserve"> country:US 2019-02-01 2020-01-31 0000104169 country:US 2017-02-01 2018-01-31 0000104169 us-gaap:ForeignPlanMember 2018-02-01 2019-01-31 0000104169 us-gaap:ForeignPlanMember 2019-02-01 2020-01-31 0000104169 wmt:FlipkartMember 2018-08-18 0000104169 wmt:Walm</w:t>
      </w:r>
      <w:r>
        <w:rPr>
          <w:rFonts w:ascii="Times New Roman" w:eastAsia="宋体" w:hAnsi="Times New Roman"/>
          <w:vanish/>
          <w:sz w:val="20"/>
          <w:szCs w:val="20"/>
        </w:rPr>
        <w:t>artBrazilMember 2018-08-01 0000104169 2018-08-18 2018-08-18 0000104169 wmt:WalmartBrazilMember 2020-01-31 0000104169 wmt:FlipkartMember 2018-08-18 2018-08-18 0000104169 wmt:CorporateAndSupportMember 2017-02-01 2018-01-31 0000104169 wmt:CorporateAndSupportM</w:t>
      </w:r>
      <w:r>
        <w:rPr>
          <w:rFonts w:ascii="Times New Roman" w:eastAsia="宋体" w:hAnsi="Times New Roman"/>
          <w:vanish/>
          <w:sz w:val="20"/>
          <w:szCs w:val="20"/>
        </w:rPr>
        <w:t>ember 2018-02-01 2019-01-31 0000104169 wmt:CorporateAndSupportMember 2019-02-01 2020-01-31 0000104169 wmt:WalmartInternationalMember 2017-02-01 2018-01-31 0000104169 wmt:WalmartUSMember 2017-02-01 2018-01-31 0000104169 wmt:CorporateAndSupportMember 2019-01</w:t>
      </w:r>
      <w:r>
        <w:rPr>
          <w:rFonts w:ascii="Times New Roman" w:eastAsia="宋体" w:hAnsi="Times New Roman"/>
          <w:vanish/>
          <w:sz w:val="20"/>
          <w:szCs w:val="20"/>
        </w:rPr>
        <w:t>-31 0000104169 wmt:SamsClubMember 2017-02-01 2018-01-31 0000104169 wmt:CorporateAndSupportMember 2020-01-31 0000104169 wmt:CorporateAndSupportMember 2018-01-31 0000104169 wmt:HealthandWellnessMember wmt:WalmartUSMember 2018-02-01 2019-01-31 0000104169 wmt:</w:t>
      </w:r>
      <w:r>
        <w:rPr>
          <w:rFonts w:ascii="Times New Roman" w:eastAsia="宋体" w:hAnsi="Times New Roman"/>
          <w:vanish/>
          <w:sz w:val="20"/>
          <w:szCs w:val="20"/>
        </w:rPr>
        <w:t>GeneralMerchandiseMember wmt:WalmartUSMember 2018-02-01 2019-01-31 0000104169 wmt:GeneralMerchandiseMember wmt:WalmartUSMember 2019-02-01 2020-01-31 0000104169 wmt:GroceryMember wmt:WalmartUSMember 2019-02-01 2020-01-31 0000104169 wmt:OtherCategoriesMember</w:t>
      </w:r>
      <w:r>
        <w:rPr>
          <w:rFonts w:ascii="Times New Roman" w:eastAsia="宋体" w:hAnsi="Times New Roman"/>
          <w:vanish/>
          <w:sz w:val="20"/>
          <w:szCs w:val="20"/>
        </w:rPr>
        <w:t xml:space="preserve"> wmt:WalmartUSMember 2019-02-01 2020-01-31 0000104169 wmt:GroceryMember wmt:WalmartUSMember 2018-02-01 2019-01-31 0000104169 wmt:OtherCategoriesMember wmt:WalmartUSMember 2018-02-01 2019-01-31 0000104169 wmt:HealthandWellnessMember wmt:WalmartUSMember 2019</w:t>
      </w:r>
      <w:r>
        <w:rPr>
          <w:rFonts w:ascii="Times New Roman" w:eastAsia="宋体" w:hAnsi="Times New Roman"/>
          <w:vanish/>
          <w:sz w:val="20"/>
          <w:szCs w:val="20"/>
        </w:rPr>
        <w:t>-02-01 2020-01-31 0000104169 country:US 2017-02-01 2018-01-31 0000104169 wmt:WalmartInternationalMember 2018-02-01 2019-01-31 0000104169 wmt:WalmartInternationalMember 2019-01-31 0000104169 country:US 2018-02-01 2019-01-31 0000104169 wmt:WalmartInternation</w:t>
      </w:r>
      <w:r>
        <w:rPr>
          <w:rFonts w:ascii="Times New Roman" w:eastAsia="宋体" w:hAnsi="Times New Roman"/>
          <w:vanish/>
          <w:sz w:val="20"/>
          <w:szCs w:val="20"/>
        </w:rPr>
        <w:t>alMember 2020-01-31 0000104169 country:US 2019-02-01 2020-01-31 0000104169 wmt:WalmartInternationalMember 2017-02-01 2018-01-31 0000104169 country:US 2020-01-31 0000104169 wmt:WalmartInternationalMember 2019-02-01 2020-01-31 0000104169 country:US 2019-01-3</w:t>
      </w:r>
      <w:r>
        <w:rPr>
          <w:rFonts w:ascii="Times New Roman" w:eastAsia="宋体" w:hAnsi="Times New Roman"/>
          <w:vanish/>
          <w:sz w:val="20"/>
          <w:szCs w:val="20"/>
        </w:rPr>
        <w:t>1 0000104169 country:US 2018-01-31 0000104169 wmt:WalmartInternationalMember 2018-01-31 0000104169 wmt:TechnologyofficesandentertainmentMember wmt:SamsClubMember 2019-02-01 2020-01-31 0000104169 wmt:HomeandapparelMember wmt:SamsClubMember 2018-02-01 2019-0</w:t>
      </w:r>
      <w:r>
        <w:rPr>
          <w:rFonts w:ascii="Times New Roman" w:eastAsia="宋体" w:hAnsi="Times New Roman"/>
          <w:vanish/>
          <w:sz w:val="20"/>
          <w:szCs w:val="20"/>
        </w:rPr>
        <w:t>1-31 0000104169 wmt:FueltobaccoandothercategoriesMember wmt:SamsClubMember 2018-02-01 2019-01-31 0000104169 wmt:HealthandWellnessMember wmt:SamsClubMember 2019-02-01 2020-01-31 0000104169 wmt:FueltobaccoandothercategoriesMember wmt:SamsClubMember 2019-02-0</w:t>
      </w:r>
      <w:r>
        <w:rPr>
          <w:rFonts w:ascii="Times New Roman" w:eastAsia="宋体" w:hAnsi="Times New Roman"/>
          <w:vanish/>
          <w:sz w:val="20"/>
          <w:szCs w:val="20"/>
        </w:rPr>
        <w:t>1 2020-01-31 0000104169 wmt:GroceryandconsumablesMember wmt:SamsClubMember 2019-02-01 2020-01-31 0000104169 wmt:HomeandapparelMember wmt:SamsClubMember 2019-02-01 2020-01-31 0000104169 wmt:GroceryandconsumablesMember wmt:SamsClubMember 2018-02-01 2019-01-3</w:t>
      </w:r>
      <w:r>
        <w:rPr>
          <w:rFonts w:ascii="Times New Roman" w:eastAsia="宋体" w:hAnsi="Times New Roman"/>
          <w:vanish/>
          <w:sz w:val="20"/>
          <w:szCs w:val="20"/>
        </w:rPr>
        <w:t>1 0000104169 wmt:HealthandWellnessMember wmt:SamsClubMember 2018-02-01 2019-01-31 0000104169 wmt:TechnologyofficesandentertainmentMember wmt:SamsClubMember 2018-02-01 2019-01-31 0000104169 wmt:ECommerceMember wmt:WalmartInternationalMember 2018-02-01 2019-</w:t>
      </w:r>
      <w:r>
        <w:rPr>
          <w:rFonts w:ascii="Times New Roman" w:eastAsia="宋体" w:hAnsi="Times New Roman"/>
          <w:vanish/>
          <w:sz w:val="20"/>
          <w:szCs w:val="20"/>
        </w:rPr>
        <w:t>01-31 0000104169 wmt:ECommerceMember wmt:SamsClubMember 2019-02-01 2020-01-31 0000104169 wmt:ECommerceMember wmt:WalmartUSMember 2019-02-01 2020-01-31 0000104169 wmt:ECommerceMember wmt:WalmartInternationalMember 2019-02-01 2020-01-31 0000104169 wmt:EComme</w:t>
      </w:r>
      <w:r>
        <w:rPr>
          <w:rFonts w:ascii="Times New Roman" w:eastAsia="宋体" w:hAnsi="Times New Roman"/>
          <w:vanish/>
          <w:sz w:val="20"/>
          <w:szCs w:val="20"/>
        </w:rPr>
        <w:t>rceMember wmt:SamsClubMember 2018-02-01 2019-01-31 0000104169 wmt:ECommerceMember wmt:WalmartUSMember 2018-02-01 2019-01-31 0000104169 wmt:OtherMember wmt:WalmartInternationalMember 2019-02-01 2020-01-31 0000104169 wmt:MexicoandCentralAmericaMember wmt:Wal</w:t>
      </w:r>
      <w:r>
        <w:rPr>
          <w:rFonts w:ascii="Times New Roman" w:eastAsia="宋体" w:hAnsi="Times New Roman"/>
          <w:vanish/>
          <w:sz w:val="20"/>
          <w:szCs w:val="20"/>
        </w:rPr>
        <w:t>martInternationalMember 2018-02-01 2019-01-31 0000104169 country:CN wmt:WalmartInternationalMember 2019-02-01 2020-01-31 0000104169 country:CA wmt:WalmartInternationalMember 2018-02-01 2019-01-31 0000104169 country:CA wmt:WalmartInternationalMember 2019-02</w:t>
      </w:r>
      <w:r>
        <w:rPr>
          <w:rFonts w:ascii="Times New Roman" w:eastAsia="宋体" w:hAnsi="Times New Roman"/>
          <w:vanish/>
          <w:sz w:val="20"/>
          <w:szCs w:val="20"/>
        </w:rPr>
        <w:t xml:space="preserve">-01 2020-01-31 0000104169 wmt:OtherMember wmt:WalmartInternationalMember 2018-02-01 2019-01-31 0000104169 country:GB wmt:WalmartInternationalMember 2019-02-01 2020-01-31 0000104169 country:GB wmt:WalmartInternationalMember 2018-02-01 2019-01-31 0000104169 </w:t>
      </w:r>
      <w:r>
        <w:rPr>
          <w:rFonts w:ascii="Times New Roman" w:eastAsia="宋体" w:hAnsi="Times New Roman"/>
          <w:vanish/>
          <w:sz w:val="20"/>
          <w:szCs w:val="20"/>
        </w:rPr>
        <w:t>country:CN wmt:WalmartInternationalMember 2018-02-01 2019-01-31 0000104169 wmt:MexicoandCentralAmericaMember wmt:WalmartInternationalMember 2019-02-01 2020-01-31 0000104169 us-gaap:SubsequentEventMember 2020-02-18 2020-02-18 0000104169 us-gaap:SubsequentEv</w:t>
      </w:r>
      <w:r>
        <w:rPr>
          <w:rFonts w:ascii="Times New Roman" w:eastAsia="宋体" w:hAnsi="Times New Roman"/>
          <w:vanish/>
          <w:sz w:val="20"/>
          <w:szCs w:val="20"/>
        </w:rPr>
        <w:t>entMember 2020-02-18 0000104169 2018-05-01 2018-07-31 0000104169 2019-11-01 2020-01-31 0000104169 2019-05-01 2019-07-31 0000104169 2018-02-01 2018-04-30 0000104169 2018-11-01 2019-01-31 0000104169 2019-08-01 2019-10-31 0000104169 2019-02-01 2019-04-30 0000</w:t>
      </w:r>
      <w:r>
        <w:rPr>
          <w:rFonts w:ascii="Times New Roman" w:eastAsia="宋体" w:hAnsi="Times New Roman"/>
          <w:vanish/>
          <w:sz w:val="20"/>
          <w:szCs w:val="20"/>
        </w:rPr>
        <w:t xml:space="preserve">104169 2018-08-01 2018-10-31 wmt:banners wmt:country wmt:segment wmt:stores xbrli:shares iso4217:USD iso4217:USD xbrli:shares xbrli:pure iso4217:BRL </w:t>
      </w:r>
    </w:p>
    <w:p w14:paraId="42A107FD" w14:textId="77777777" w:rsidR="00BB68E1" w:rsidRDefault="005D2D5E">
      <w:pPr>
        <w:spacing w:line="288" w:lineRule="auto"/>
        <w:jc w:val="center"/>
        <w:rPr>
          <w:rFonts w:ascii="Times New Roman" w:hAnsi="Times New Roman"/>
          <w:sz w:val="32"/>
          <w:szCs w:val="32"/>
        </w:rPr>
      </w:pPr>
      <w:r>
        <w:rPr>
          <w:rFonts w:ascii="Times New Roman" w:eastAsia="宋体" w:hAnsi="Times New Roman"/>
          <w:b/>
          <w:bCs/>
          <w:sz w:val="32"/>
          <w:szCs w:val="32"/>
        </w:rPr>
        <w:t>UNITED STATES</w:t>
      </w:r>
    </w:p>
    <w:p w14:paraId="42A107FE" w14:textId="77777777" w:rsidR="00BB68E1" w:rsidRDefault="005D2D5E">
      <w:pPr>
        <w:spacing w:line="288" w:lineRule="auto"/>
        <w:jc w:val="center"/>
        <w:rPr>
          <w:rFonts w:ascii="Times New Roman" w:hAnsi="Times New Roman"/>
          <w:sz w:val="32"/>
          <w:szCs w:val="32"/>
        </w:rPr>
      </w:pPr>
      <w:r>
        <w:rPr>
          <w:rFonts w:ascii="Times New Roman" w:eastAsia="宋体" w:hAnsi="Times New Roman"/>
          <w:b/>
          <w:bCs/>
          <w:sz w:val="32"/>
          <w:szCs w:val="32"/>
        </w:rPr>
        <w:t>SECURITIES AND EXCHANGE COMMISSION</w:t>
      </w:r>
    </w:p>
    <w:p w14:paraId="42A107FF" w14:textId="77777777" w:rsidR="00BB68E1" w:rsidRDefault="005D2D5E">
      <w:pPr>
        <w:spacing w:line="288" w:lineRule="auto"/>
        <w:jc w:val="center"/>
        <w:rPr>
          <w:rFonts w:ascii="Times New Roman" w:hAnsi="Times New Roman"/>
          <w:sz w:val="22"/>
          <w:szCs w:val="22"/>
        </w:rPr>
      </w:pPr>
      <w:r>
        <w:rPr>
          <w:rFonts w:ascii="Times New Roman" w:eastAsia="宋体" w:hAnsi="Times New Roman"/>
          <w:b/>
          <w:bCs/>
          <w:sz w:val="22"/>
          <w:szCs w:val="22"/>
        </w:rPr>
        <w:t>Washington, D.C. 20549</w:t>
      </w:r>
    </w:p>
    <w:p w14:paraId="42A10800" w14:textId="77777777" w:rsidR="00BB68E1" w:rsidRDefault="005D2D5E">
      <w:pPr>
        <w:spacing w:line="288" w:lineRule="auto"/>
        <w:jc w:val="center"/>
        <w:rPr>
          <w:rFonts w:ascii="Times New Roman" w:hAnsi="Times New Roman"/>
          <w:sz w:val="16"/>
          <w:szCs w:val="16"/>
        </w:rPr>
      </w:pPr>
      <w:r>
        <w:rPr>
          <w:rFonts w:ascii="Times New Roman" w:eastAsia="宋体" w:hAnsi="Times New Roman"/>
          <w:b/>
          <w:bCs/>
          <w:sz w:val="16"/>
          <w:szCs w:val="16"/>
        </w:rPr>
        <w:t>__________________________________</w:t>
      </w:r>
      <w:r>
        <w:rPr>
          <w:rFonts w:ascii="Times New Roman" w:eastAsia="宋体" w:hAnsi="Times New Roman"/>
          <w:b/>
          <w:bCs/>
          <w:sz w:val="16"/>
          <w:szCs w:val="16"/>
        </w:rPr>
        <w:t>_________</w:t>
      </w:r>
    </w:p>
    <w:p w14:paraId="42A10801" w14:textId="77777777" w:rsidR="00BB68E1" w:rsidRDefault="005D2D5E">
      <w:pPr>
        <w:spacing w:line="288" w:lineRule="auto"/>
        <w:jc w:val="center"/>
        <w:rPr>
          <w:rFonts w:ascii="Times New Roman" w:hAnsi="Times New Roman"/>
          <w:sz w:val="36"/>
          <w:szCs w:val="36"/>
        </w:rPr>
      </w:pPr>
      <w:r>
        <w:rPr>
          <w:rFonts w:ascii="Times New Roman" w:eastAsia="宋体" w:hAnsi="Times New Roman"/>
          <w:b/>
          <w:bCs/>
          <w:sz w:val="36"/>
          <w:szCs w:val="36"/>
        </w:rPr>
        <w:t>FORM 10-K</w:t>
      </w:r>
    </w:p>
    <w:p w14:paraId="42A10802"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16"/>
          <w:szCs w:val="16"/>
        </w:rPr>
        <w:t>___________________________________________</w:t>
      </w:r>
      <w:r>
        <w:rPr>
          <w:rFonts w:ascii="Times New Roman" w:eastAsia="宋体" w:hAnsi="Times New Roman"/>
          <w:sz w:val="20"/>
          <w:szCs w:val="20"/>
        </w:rPr>
        <w:t> </w:t>
      </w:r>
    </w:p>
    <w:tbl>
      <w:tblPr>
        <w:tblW w:w="5000" w:type="pct"/>
        <w:jc w:val="center"/>
        <w:tblCellMar>
          <w:left w:w="0" w:type="dxa"/>
          <w:right w:w="0" w:type="dxa"/>
        </w:tblCellMar>
        <w:tblLook w:val="04A0" w:firstRow="1" w:lastRow="0" w:firstColumn="1" w:lastColumn="0" w:noHBand="0" w:noVBand="1"/>
      </w:tblPr>
      <w:tblGrid>
        <w:gridCol w:w="253"/>
        <w:gridCol w:w="8053"/>
      </w:tblGrid>
      <w:tr w:rsidR="00BB68E1" w14:paraId="42A10804" w14:textId="77777777">
        <w:trPr>
          <w:jc w:val="center"/>
        </w:trPr>
        <w:tc>
          <w:tcPr>
            <w:tcW w:w="0" w:type="auto"/>
            <w:gridSpan w:val="2"/>
            <w:shd w:val="clear" w:color="auto" w:fill="auto"/>
            <w:vAlign w:val="center"/>
          </w:tcPr>
          <w:p w14:paraId="42A10803" w14:textId="77777777" w:rsidR="00BB68E1" w:rsidRDefault="00BB68E1">
            <w:pPr>
              <w:rPr>
                <w:rFonts w:ascii="Times New Roman" w:hAnsi="Times New Roman"/>
                <w:sz w:val="20"/>
                <w:szCs w:val="20"/>
              </w:rPr>
            </w:pPr>
          </w:p>
        </w:tc>
      </w:tr>
      <w:tr w:rsidR="00BB68E1" w14:paraId="42A10807" w14:textId="77777777">
        <w:trPr>
          <w:jc w:val="center"/>
        </w:trPr>
        <w:tc>
          <w:tcPr>
            <w:tcW w:w="150" w:type="pct"/>
            <w:shd w:val="clear" w:color="auto" w:fill="auto"/>
            <w:vAlign w:val="center"/>
          </w:tcPr>
          <w:p w14:paraId="42A10805" w14:textId="77777777" w:rsidR="00BB68E1" w:rsidRDefault="00BB68E1">
            <w:pPr>
              <w:rPr>
                <w:rFonts w:ascii="Times New Roman" w:hAnsi="Times New Roman"/>
                <w:sz w:val="20"/>
                <w:szCs w:val="20"/>
              </w:rPr>
            </w:pPr>
          </w:p>
        </w:tc>
        <w:tc>
          <w:tcPr>
            <w:tcW w:w="4850" w:type="pct"/>
            <w:shd w:val="clear" w:color="auto" w:fill="auto"/>
            <w:vAlign w:val="center"/>
          </w:tcPr>
          <w:p w14:paraId="42A10806" w14:textId="77777777" w:rsidR="00BB68E1" w:rsidRDefault="00BB68E1">
            <w:pPr>
              <w:rPr>
                <w:rFonts w:ascii="Times New Roman" w:hAnsi="Times New Roman"/>
                <w:sz w:val="20"/>
                <w:szCs w:val="20"/>
              </w:rPr>
            </w:pPr>
          </w:p>
        </w:tc>
      </w:tr>
      <w:tr w:rsidR="00BB68E1" w14:paraId="42A1080A" w14:textId="77777777">
        <w:trPr>
          <w:jc w:val="center"/>
        </w:trPr>
        <w:tc>
          <w:tcPr>
            <w:tcW w:w="0" w:type="auto"/>
            <w:shd w:val="clear" w:color="auto" w:fill="auto"/>
            <w:tcMar>
              <w:top w:w="40" w:type="dxa"/>
              <w:left w:w="40" w:type="dxa"/>
              <w:bottom w:w="40" w:type="dxa"/>
              <w:right w:w="40" w:type="dxa"/>
            </w:tcMar>
            <w:vAlign w:val="bottom"/>
          </w:tcPr>
          <w:p w14:paraId="42A10808" w14:textId="77777777" w:rsidR="00BB68E1" w:rsidRDefault="005D2D5E">
            <w:pPr>
              <w:jc w:val="center"/>
              <w:textAlignment w:val="bottom"/>
              <w:rPr>
                <w:rFonts w:ascii="Times New Roman" w:hAnsi="Times New Roman"/>
                <w:sz w:val="20"/>
                <w:szCs w:val="20"/>
              </w:rPr>
            </w:pPr>
            <w:r>
              <w:rPr>
                <w:rFonts w:ascii="Arial Unicode MS" w:eastAsia="Arial Unicode MS" w:hAnsi="Arial Unicode MS" w:cs="Arial Unicode MS"/>
                <w:sz w:val="20"/>
                <w:szCs w:val="20"/>
              </w:rPr>
              <w:t>☒</w:t>
            </w:r>
          </w:p>
        </w:tc>
        <w:tc>
          <w:tcPr>
            <w:tcW w:w="0" w:type="auto"/>
            <w:shd w:val="clear" w:color="auto" w:fill="auto"/>
            <w:tcMar>
              <w:top w:w="40" w:type="dxa"/>
              <w:left w:w="40" w:type="dxa"/>
              <w:bottom w:w="40" w:type="dxa"/>
              <w:right w:w="40" w:type="dxa"/>
            </w:tcMar>
          </w:tcPr>
          <w:p w14:paraId="42A10809"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rPr>
              <w:t>Annual report pursuant to section 13 or 15(d) of the Securities Exchange Act of 1934</w:t>
            </w:r>
          </w:p>
        </w:tc>
      </w:tr>
    </w:tbl>
    <w:p w14:paraId="42A1080B"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For the fiscal year ended January 31, 2020, or</w:t>
      </w:r>
    </w:p>
    <w:tbl>
      <w:tblPr>
        <w:tblW w:w="5000" w:type="pct"/>
        <w:jc w:val="center"/>
        <w:tblCellMar>
          <w:left w:w="0" w:type="dxa"/>
          <w:right w:w="0" w:type="dxa"/>
        </w:tblCellMar>
        <w:tblLook w:val="04A0" w:firstRow="1" w:lastRow="0" w:firstColumn="1" w:lastColumn="0" w:noHBand="0" w:noVBand="1"/>
      </w:tblPr>
      <w:tblGrid>
        <w:gridCol w:w="253"/>
        <w:gridCol w:w="8053"/>
      </w:tblGrid>
      <w:tr w:rsidR="00BB68E1" w14:paraId="42A1080D" w14:textId="77777777">
        <w:trPr>
          <w:jc w:val="center"/>
        </w:trPr>
        <w:tc>
          <w:tcPr>
            <w:tcW w:w="0" w:type="auto"/>
            <w:gridSpan w:val="2"/>
            <w:shd w:val="clear" w:color="auto" w:fill="auto"/>
            <w:vAlign w:val="center"/>
          </w:tcPr>
          <w:p w14:paraId="42A1080C" w14:textId="77777777" w:rsidR="00BB68E1" w:rsidRDefault="00BB68E1">
            <w:pPr>
              <w:rPr>
                <w:rFonts w:ascii="Times New Roman" w:hAnsi="Times New Roman"/>
                <w:sz w:val="20"/>
                <w:szCs w:val="20"/>
              </w:rPr>
            </w:pPr>
          </w:p>
        </w:tc>
      </w:tr>
      <w:tr w:rsidR="00BB68E1" w14:paraId="42A10810" w14:textId="77777777">
        <w:trPr>
          <w:jc w:val="center"/>
        </w:trPr>
        <w:tc>
          <w:tcPr>
            <w:tcW w:w="150" w:type="pct"/>
            <w:shd w:val="clear" w:color="auto" w:fill="auto"/>
            <w:vAlign w:val="center"/>
          </w:tcPr>
          <w:p w14:paraId="42A1080E" w14:textId="77777777" w:rsidR="00BB68E1" w:rsidRDefault="00BB68E1">
            <w:pPr>
              <w:rPr>
                <w:rFonts w:ascii="Times New Roman" w:hAnsi="Times New Roman"/>
                <w:sz w:val="20"/>
                <w:szCs w:val="20"/>
              </w:rPr>
            </w:pPr>
          </w:p>
        </w:tc>
        <w:tc>
          <w:tcPr>
            <w:tcW w:w="4850" w:type="pct"/>
            <w:shd w:val="clear" w:color="auto" w:fill="auto"/>
            <w:vAlign w:val="center"/>
          </w:tcPr>
          <w:p w14:paraId="42A1080F" w14:textId="77777777" w:rsidR="00BB68E1" w:rsidRDefault="00BB68E1">
            <w:pPr>
              <w:rPr>
                <w:rFonts w:ascii="Times New Roman" w:hAnsi="Times New Roman"/>
                <w:sz w:val="20"/>
                <w:szCs w:val="20"/>
              </w:rPr>
            </w:pPr>
          </w:p>
        </w:tc>
      </w:tr>
      <w:tr w:rsidR="00BB68E1" w14:paraId="42A10813" w14:textId="77777777">
        <w:trPr>
          <w:jc w:val="center"/>
        </w:trPr>
        <w:tc>
          <w:tcPr>
            <w:tcW w:w="0" w:type="auto"/>
            <w:shd w:val="clear" w:color="auto" w:fill="auto"/>
            <w:tcMar>
              <w:top w:w="40" w:type="dxa"/>
              <w:left w:w="40" w:type="dxa"/>
              <w:bottom w:w="40" w:type="dxa"/>
              <w:right w:w="40" w:type="dxa"/>
            </w:tcMar>
          </w:tcPr>
          <w:p w14:paraId="42A10811" w14:textId="77777777" w:rsidR="00BB68E1" w:rsidRDefault="005D2D5E">
            <w:pPr>
              <w:jc w:val="center"/>
              <w:textAlignment w:val="top"/>
              <w:rPr>
                <w:rFonts w:ascii="Times New Roman" w:hAnsi="Times New Roman"/>
                <w:sz w:val="20"/>
                <w:szCs w:val="20"/>
              </w:rPr>
            </w:pPr>
            <w:r>
              <w:rPr>
                <w:rFonts w:ascii="Arial Unicode MS" w:eastAsia="Arial Unicode MS" w:hAnsi="Arial Unicode MS" w:cs="Arial Unicode MS" w:hint="eastAsia"/>
                <w:sz w:val="20"/>
                <w:szCs w:val="20"/>
              </w:rPr>
              <w:t>☐</w:t>
            </w:r>
          </w:p>
        </w:tc>
        <w:tc>
          <w:tcPr>
            <w:tcW w:w="0" w:type="auto"/>
            <w:shd w:val="clear" w:color="auto" w:fill="auto"/>
            <w:tcMar>
              <w:top w:w="40" w:type="dxa"/>
              <w:left w:w="40" w:type="dxa"/>
              <w:bottom w:w="40" w:type="dxa"/>
              <w:right w:w="40" w:type="dxa"/>
            </w:tcMar>
          </w:tcPr>
          <w:p w14:paraId="42A10812"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rPr>
              <w:t xml:space="preserve">Transition report pursuant to section 13 </w:t>
            </w:r>
            <w:r>
              <w:rPr>
                <w:rFonts w:ascii="Times New Roman" w:eastAsia="宋体" w:hAnsi="Times New Roman"/>
                <w:b/>
                <w:bCs/>
                <w:sz w:val="20"/>
                <w:szCs w:val="20"/>
              </w:rPr>
              <w:t>or 15(d) of the Securities Exchange Act of 1934</w:t>
            </w:r>
          </w:p>
        </w:tc>
      </w:tr>
    </w:tbl>
    <w:p w14:paraId="42A10814"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Commission file number 001-6991.</w:t>
      </w:r>
    </w:p>
    <w:p w14:paraId="42A10815"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18"/>
          <w:szCs w:val="18"/>
        </w:rPr>
        <w:t> </w:t>
      </w:r>
      <w:r>
        <w:rPr>
          <w:rFonts w:ascii="Times New Roman" w:eastAsia="宋体" w:hAnsi="Times New Roman"/>
          <w:b/>
          <w:bCs/>
          <w:sz w:val="16"/>
          <w:szCs w:val="16"/>
        </w:rPr>
        <w:t>___________________________________________</w:t>
      </w:r>
      <w:r>
        <w:rPr>
          <w:rFonts w:ascii="Times New Roman" w:eastAsia="宋体" w:hAnsi="Times New Roman"/>
          <w:sz w:val="20"/>
          <w:szCs w:val="20"/>
        </w:rPr>
        <w:t> </w:t>
      </w:r>
    </w:p>
    <w:p w14:paraId="42A10816"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 </w:t>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/Walmart/./Inline XBRL Viewer11_files/walmartlogoa03.jpg" \* M</w:instrText>
      </w:r>
      <w:r>
        <w:rPr>
          <w:rFonts w:ascii="Times New Roman" w:eastAsia="宋体" w:hAnsi="Times New Roman"/>
          <w:sz w:val="20"/>
          <w:szCs w:val="20"/>
        </w:rPr>
        <w:instrText xml:space="preserve">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2A14274" wp14:editId="42A14275">
            <wp:extent cx="304800" cy="304800"/>
            <wp:effectExtent l="0" t="0" r="0" b="0"/>
            <wp:docPr id="37"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42A10817" w14:textId="77777777" w:rsidR="00BB68E1" w:rsidRDefault="005D2D5E">
      <w:pPr>
        <w:spacing w:line="288" w:lineRule="auto"/>
        <w:jc w:val="center"/>
        <w:rPr>
          <w:rFonts w:ascii="Times New Roman" w:hAnsi="Times New Roman"/>
          <w:sz w:val="48"/>
          <w:szCs w:val="48"/>
        </w:rPr>
      </w:pPr>
      <w:r>
        <w:rPr>
          <w:rFonts w:ascii="Times New Roman" w:eastAsia="宋体" w:hAnsi="Times New Roman"/>
          <w:b/>
          <w:bCs/>
          <w:sz w:val="48"/>
          <w:szCs w:val="48"/>
        </w:rPr>
        <w:t>WALMART INC.</w:t>
      </w:r>
    </w:p>
    <w:p w14:paraId="42A10818"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(Exact name of registrant as specified in its charter)</w:t>
      </w:r>
    </w:p>
    <w:p w14:paraId="42A10819"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16"/>
          <w:szCs w:val="16"/>
        </w:rPr>
        <w:t>___________________________________________</w:t>
      </w:r>
      <w:r>
        <w:rPr>
          <w:rFonts w:ascii="Times New Roman" w:eastAsia="宋体" w:hAnsi="Times New Roman"/>
          <w:sz w:val="20"/>
          <w:szCs w:val="20"/>
        </w:rPr>
        <w:t> </w:t>
      </w:r>
    </w:p>
    <w:tbl>
      <w:tblPr>
        <w:tblW w:w="4912" w:type="pct"/>
        <w:tblCellMar>
          <w:left w:w="0" w:type="dxa"/>
          <w:right w:w="0" w:type="dxa"/>
        </w:tblCellMar>
        <w:tblLook w:val="04A0" w:firstRow="1" w:lastRow="0" w:firstColumn="1" w:lastColumn="0" w:noHBand="0" w:noVBand="1"/>
      </w:tblPr>
      <w:tblGrid>
        <w:gridCol w:w="2105"/>
        <w:gridCol w:w="2106"/>
        <w:gridCol w:w="130"/>
        <w:gridCol w:w="3819"/>
      </w:tblGrid>
      <w:tr w:rsidR="00BB68E1" w14:paraId="42A1081B" w14:textId="77777777">
        <w:tc>
          <w:tcPr>
            <w:tcW w:w="0" w:type="auto"/>
            <w:gridSpan w:val="4"/>
            <w:shd w:val="clear" w:color="auto" w:fill="auto"/>
            <w:vAlign w:val="center"/>
          </w:tcPr>
          <w:p w14:paraId="42A1081A" w14:textId="77777777" w:rsidR="00BB68E1" w:rsidRDefault="00BB68E1">
            <w:pPr>
              <w:rPr>
                <w:rFonts w:ascii="Times New Roman" w:hAnsi="Times New Roman"/>
                <w:sz w:val="20"/>
                <w:szCs w:val="20"/>
              </w:rPr>
            </w:pPr>
          </w:p>
        </w:tc>
      </w:tr>
      <w:tr w:rsidR="00BB68E1" w14:paraId="42A10820" w14:textId="77777777">
        <w:tc>
          <w:tcPr>
            <w:tcW w:w="1300" w:type="pct"/>
            <w:shd w:val="clear" w:color="auto" w:fill="auto"/>
            <w:vAlign w:val="center"/>
          </w:tcPr>
          <w:p w14:paraId="42A1081C" w14:textId="77777777" w:rsidR="00BB68E1" w:rsidRDefault="00BB68E1">
            <w:pPr>
              <w:rPr>
                <w:rFonts w:ascii="Times New Roman" w:hAnsi="Times New Roman"/>
                <w:sz w:val="20"/>
                <w:szCs w:val="20"/>
              </w:rPr>
            </w:pPr>
          </w:p>
        </w:tc>
        <w:tc>
          <w:tcPr>
            <w:tcW w:w="1300" w:type="pct"/>
            <w:shd w:val="clear" w:color="auto" w:fill="auto"/>
            <w:vAlign w:val="center"/>
          </w:tcPr>
          <w:p w14:paraId="42A1081D" w14:textId="77777777" w:rsidR="00BB68E1" w:rsidRDefault="00BB68E1">
            <w:pPr>
              <w:rPr>
                <w:rFonts w:ascii="Times New Roman" w:hAnsi="Times New Roman"/>
                <w:sz w:val="20"/>
                <w:szCs w:val="20"/>
              </w:rPr>
            </w:pPr>
          </w:p>
        </w:tc>
        <w:tc>
          <w:tcPr>
            <w:tcW w:w="50" w:type="pct"/>
            <w:shd w:val="clear" w:color="auto" w:fill="auto"/>
            <w:vAlign w:val="center"/>
          </w:tcPr>
          <w:p w14:paraId="42A1081E" w14:textId="77777777" w:rsidR="00BB68E1" w:rsidRDefault="00BB68E1">
            <w:pPr>
              <w:rPr>
                <w:rFonts w:ascii="Times New Roman" w:hAnsi="Times New Roman"/>
                <w:sz w:val="20"/>
                <w:szCs w:val="20"/>
              </w:rPr>
            </w:pPr>
          </w:p>
        </w:tc>
        <w:tc>
          <w:tcPr>
            <w:tcW w:w="2350" w:type="pct"/>
            <w:shd w:val="clear" w:color="auto" w:fill="auto"/>
            <w:vAlign w:val="center"/>
          </w:tcPr>
          <w:p w14:paraId="42A1081F" w14:textId="77777777" w:rsidR="00BB68E1" w:rsidRDefault="00BB68E1">
            <w:pPr>
              <w:rPr>
                <w:rFonts w:ascii="Times New Roman" w:hAnsi="Times New Roman"/>
                <w:sz w:val="20"/>
                <w:szCs w:val="20"/>
              </w:rPr>
            </w:pPr>
          </w:p>
        </w:tc>
      </w:tr>
      <w:tr w:rsidR="00BB68E1" w14:paraId="42A10824" w14:textId="77777777">
        <w:tc>
          <w:tcPr>
            <w:tcW w:w="0" w:type="auto"/>
            <w:gridSpan w:val="2"/>
            <w:shd w:val="clear" w:color="auto" w:fill="auto"/>
            <w:tcMar>
              <w:top w:w="40" w:type="dxa"/>
              <w:left w:w="40" w:type="dxa"/>
              <w:bottom w:w="40" w:type="dxa"/>
              <w:right w:w="40" w:type="dxa"/>
            </w:tcMar>
          </w:tcPr>
          <w:p w14:paraId="42A10821" w14:textId="77777777" w:rsidR="00BB68E1" w:rsidRDefault="005D2D5E">
            <w:pPr>
              <w:jc w:val="center"/>
              <w:textAlignment w:val="top"/>
              <w:rPr>
                <w:rFonts w:ascii="Times New Roman" w:hAnsi="Times New Roman"/>
                <w:sz w:val="20"/>
                <w:szCs w:val="20"/>
              </w:rPr>
            </w:pPr>
            <w:r>
              <w:rPr>
                <w:rFonts w:ascii="Times New Roman" w:eastAsia="宋体" w:hAnsi="Times New Roman"/>
                <w:b/>
                <w:bCs/>
                <w:sz w:val="20"/>
                <w:szCs w:val="20"/>
              </w:rPr>
              <w:t>DE</w:t>
            </w:r>
          </w:p>
        </w:tc>
        <w:tc>
          <w:tcPr>
            <w:tcW w:w="0" w:type="auto"/>
            <w:shd w:val="clear" w:color="auto" w:fill="auto"/>
            <w:tcMar>
              <w:top w:w="40" w:type="dxa"/>
              <w:left w:w="40" w:type="dxa"/>
              <w:bottom w:w="40" w:type="dxa"/>
              <w:right w:w="40" w:type="dxa"/>
            </w:tcMar>
            <w:vAlign w:val="bottom"/>
          </w:tcPr>
          <w:p w14:paraId="42A10822"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2A10823" w14:textId="77777777" w:rsidR="00BB68E1" w:rsidRDefault="005D2D5E">
            <w:pPr>
              <w:jc w:val="center"/>
              <w:textAlignment w:val="top"/>
              <w:rPr>
                <w:rFonts w:ascii="Times New Roman" w:hAnsi="Times New Roman"/>
                <w:sz w:val="20"/>
                <w:szCs w:val="20"/>
              </w:rPr>
            </w:pPr>
            <w:r>
              <w:rPr>
                <w:rFonts w:ascii="Times New Roman" w:eastAsia="宋体" w:hAnsi="Times New Roman"/>
                <w:b/>
                <w:bCs/>
                <w:sz w:val="20"/>
                <w:szCs w:val="20"/>
              </w:rPr>
              <w:t>71-0415188</w:t>
            </w:r>
          </w:p>
        </w:tc>
      </w:tr>
      <w:tr w:rsidR="00BB68E1" w14:paraId="42A10829" w14:textId="77777777">
        <w:tc>
          <w:tcPr>
            <w:tcW w:w="0" w:type="auto"/>
            <w:gridSpan w:val="2"/>
            <w:shd w:val="clear" w:color="auto" w:fill="auto"/>
            <w:tcMar>
              <w:top w:w="40" w:type="dxa"/>
              <w:left w:w="40" w:type="dxa"/>
              <w:bottom w:w="40" w:type="dxa"/>
              <w:right w:w="40" w:type="dxa"/>
            </w:tcMar>
          </w:tcPr>
          <w:p w14:paraId="42A10825" w14:textId="77777777" w:rsidR="00BB68E1" w:rsidRDefault="005D2D5E">
            <w:pPr>
              <w:jc w:val="center"/>
              <w:textAlignment w:val="top"/>
              <w:rPr>
                <w:rFonts w:ascii="Times New Roman" w:hAnsi="Times New Roman"/>
                <w:sz w:val="16"/>
                <w:szCs w:val="16"/>
              </w:rPr>
            </w:pPr>
            <w:r>
              <w:rPr>
                <w:rFonts w:ascii="Times New Roman" w:eastAsia="宋体" w:hAnsi="Times New Roman"/>
                <w:sz w:val="16"/>
                <w:szCs w:val="16"/>
              </w:rPr>
              <w:t>(State or other jurisdiction of</w:t>
            </w:r>
          </w:p>
          <w:p w14:paraId="42A10826" w14:textId="77777777" w:rsidR="00BB68E1" w:rsidRDefault="005D2D5E">
            <w:pPr>
              <w:jc w:val="center"/>
              <w:textAlignment w:val="top"/>
              <w:rPr>
                <w:rFonts w:ascii="Times New Roman" w:hAnsi="Times New Roman"/>
                <w:sz w:val="16"/>
                <w:szCs w:val="16"/>
              </w:rPr>
            </w:pPr>
            <w:r>
              <w:rPr>
                <w:rFonts w:ascii="Times New Roman" w:eastAsia="宋体" w:hAnsi="Times New Roman"/>
                <w:sz w:val="16"/>
                <w:szCs w:val="16"/>
              </w:rPr>
              <w:t>incorporation or organization)</w:t>
            </w:r>
          </w:p>
        </w:tc>
        <w:tc>
          <w:tcPr>
            <w:tcW w:w="0" w:type="auto"/>
            <w:shd w:val="clear" w:color="auto" w:fill="auto"/>
            <w:tcMar>
              <w:top w:w="40" w:type="dxa"/>
              <w:left w:w="40" w:type="dxa"/>
              <w:bottom w:w="40" w:type="dxa"/>
              <w:right w:w="40" w:type="dxa"/>
            </w:tcMar>
            <w:vAlign w:val="bottom"/>
          </w:tcPr>
          <w:p w14:paraId="42A10827"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 </w:t>
            </w:r>
          </w:p>
        </w:tc>
        <w:tc>
          <w:tcPr>
            <w:tcW w:w="0" w:type="auto"/>
            <w:shd w:val="clear" w:color="auto" w:fill="auto"/>
            <w:tcMar>
              <w:top w:w="40" w:type="dxa"/>
              <w:left w:w="40" w:type="dxa"/>
              <w:bottom w:w="40" w:type="dxa"/>
              <w:right w:w="40" w:type="dxa"/>
            </w:tcMar>
          </w:tcPr>
          <w:p w14:paraId="42A10828" w14:textId="77777777" w:rsidR="00BB68E1" w:rsidRDefault="005D2D5E">
            <w:pPr>
              <w:jc w:val="center"/>
              <w:textAlignment w:val="top"/>
              <w:rPr>
                <w:rFonts w:ascii="Times New Roman" w:hAnsi="Times New Roman"/>
                <w:sz w:val="16"/>
                <w:szCs w:val="16"/>
              </w:rPr>
            </w:pPr>
            <w:r>
              <w:rPr>
                <w:rFonts w:ascii="Times New Roman" w:eastAsia="宋体" w:hAnsi="Times New Roman"/>
                <w:sz w:val="16"/>
                <w:szCs w:val="16"/>
              </w:rPr>
              <w:t xml:space="preserve">(IRS Employer </w:t>
            </w:r>
            <w:r>
              <w:rPr>
                <w:rFonts w:ascii="Times New Roman" w:eastAsia="宋体" w:hAnsi="Times New Roman"/>
                <w:sz w:val="16"/>
                <w:szCs w:val="16"/>
              </w:rPr>
              <w:t>Identification No.)</w:t>
            </w:r>
          </w:p>
        </w:tc>
      </w:tr>
      <w:tr w:rsidR="00BB68E1" w14:paraId="42A1082E" w14:textId="77777777">
        <w:tc>
          <w:tcPr>
            <w:tcW w:w="0" w:type="auto"/>
            <w:shd w:val="clear" w:color="auto" w:fill="auto"/>
            <w:tcMar>
              <w:top w:w="40" w:type="dxa"/>
              <w:left w:w="40" w:type="dxa"/>
              <w:bottom w:w="40" w:type="dxa"/>
              <w:right w:w="40" w:type="dxa"/>
            </w:tcMar>
            <w:vAlign w:val="bottom"/>
          </w:tcPr>
          <w:p w14:paraId="42A1082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2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2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2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832" w14:textId="77777777">
        <w:tc>
          <w:tcPr>
            <w:tcW w:w="0" w:type="auto"/>
            <w:gridSpan w:val="2"/>
            <w:shd w:val="clear" w:color="auto" w:fill="auto"/>
            <w:tcMar>
              <w:top w:w="40" w:type="dxa"/>
              <w:left w:w="40" w:type="dxa"/>
              <w:bottom w:w="40" w:type="dxa"/>
              <w:right w:w="40" w:type="dxa"/>
            </w:tcMar>
            <w:vAlign w:val="bottom"/>
          </w:tcPr>
          <w:p w14:paraId="42A1082F" w14:textId="77777777" w:rsidR="00BB68E1" w:rsidRDefault="005D2D5E">
            <w:pPr>
              <w:jc w:val="center"/>
              <w:textAlignment w:val="bottom"/>
              <w:rPr>
                <w:rFonts w:ascii="Times New Roman" w:hAnsi="Times New Roman"/>
                <w:sz w:val="20"/>
                <w:szCs w:val="20"/>
              </w:rPr>
            </w:pPr>
            <w:r>
              <w:rPr>
                <w:rFonts w:ascii="Times New Roman" w:eastAsia="宋体" w:hAnsi="Times New Roman"/>
                <w:b/>
                <w:bCs/>
                <w:sz w:val="20"/>
                <w:szCs w:val="20"/>
              </w:rPr>
              <w:t>702 S.W. 8th Street</w:t>
            </w:r>
          </w:p>
        </w:tc>
        <w:tc>
          <w:tcPr>
            <w:tcW w:w="0" w:type="auto"/>
            <w:shd w:val="clear" w:color="auto" w:fill="auto"/>
            <w:tcMar>
              <w:top w:w="40" w:type="dxa"/>
              <w:left w:w="40" w:type="dxa"/>
              <w:bottom w:w="40" w:type="dxa"/>
              <w:right w:w="40" w:type="dxa"/>
            </w:tcMar>
            <w:vAlign w:val="bottom"/>
          </w:tcPr>
          <w:p w14:paraId="42A10830"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vMerge w:val="restart"/>
            <w:shd w:val="clear" w:color="auto" w:fill="auto"/>
            <w:tcMar>
              <w:top w:w="40" w:type="dxa"/>
              <w:left w:w="40" w:type="dxa"/>
              <w:bottom w:w="40" w:type="dxa"/>
              <w:right w:w="40" w:type="dxa"/>
            </w:tcMar>
            <w:vAlign w:val="bottom"/>
          </w:tcPr>
          <w:p w14:paraId="42A10831" w14:textId="77777777" w:rsidR="00BB68E1" w:rsidRDefault="005D2D5E">
            <w:pPr>
              <w:jc w:val="center"/>
              <w:textAlignment w:val="bottom"/>
              <w:rPr>
                <w:rFonts w:ascii="Times New Roman" w:hAnsi="Times New Roman"/>
                <w:sz w:val="20"/>
                <w:szCs w:val="20"/>
              </w:rPr>
            </w:pPr>
            <w:r>
              <w:rPr>
                <w:rFonts w:ascii="Times New Roman" w:eastAsia="宋体" w:hAnsi="Times New Roman"/>
                <w:b/>
                <w:bCs/>
                <w:sz w:val="20"/>
                <w:szCs w:val="20"/>
              </w:rPr>
              <w:t>72716</w:t>
            </w:r>
          </w:p>
        </w:tc>
      </w:tr>
      <w:tr w:rsidR="00BB68E1" w14:paraId="42A10837" w14:textId="77777777">
        <w:tc>
          <w:tcPr>
            <w:tcW w:w="0" w:type="auto"/>
            <w:shd w:val="clear" w:color="auto" w:fill="auto"/>
            <w:tcMar>
              <w:top w:w="40" w:type="dxa"/>
              <w:left w:w="40" w:type="dxa"/>
              <w:bottom w:w="40" w:type="dxa"/>
              <w:right w:w="40" w:type="dxa"/>
            </w:tcMar>
            <w:vAlign w:val="bottom"/>
          </w:tcPr>
          <w:p w14:paraId="42A10833" w14:textId="77777777" w:rsidR="00BB68E1" w:rsidRDefault="005D2D5E">
            <w:pPr>
              <w:jc w:val="right"/>
              <w:textAlignment w:val="bottom"/>
              <w:rPr>
                <w:rFonts w:ascii="Times New Roman" w:hAnsi="Times New Roman"/>
                <w:sz w:val="20"/>
                <w:szCs w:val="20"/>
              </w:rPr>
            </w:pPr>
            <w:r>
              <w:rPr>
                <w:rFonts w:ascii="Times New Roman" w:eastAsia="宋体" w:hAnsi="Times New Roman"/>
                <w:b/>
                <w:bCs/>
                <w:sz w:val="20"/>
                <w:szCs w:val="20"/>
              </w:rPr>
              <w:t>Bentonville,</w:t>
            </w:r>
          </w:p>
        </w:tc>
        <w:tc>
          <w:tcPr>
            <w:tcW w:w="0" w:type="auto"/>
            <w:shd w:val="clear" w:color="auto" w:fill="auto"/>
            <w:tcMar>
              <w:top w:w="40" w:type="dxa"/>
              <w:left w:w="40" w:type="dxa"/>
              <w:bottom w:w="40" w:type="dxa"/>
              <w:right w:w="40" w:type="dxa"/>
            </w:tcMar>
            <w:vAlign w:val="bottom"/>
          </w:tcPr>
          <w:p w14:paraId="42A10834" w14:textId="77777777" w:rsidR="00BB68E1" w:rsidRDefault="005D2D5E">
            <w:pPr>
              <w:textAlignment w:val="bottom"/>
              <w:rPr>
                <w:rFonts w:ascii="Times New Roman" w:hAnsi="Times New Roman"/>
                <w:sz w:val="20"/>
                <w:szCs w:val="20"/>
              </w:rPr>
            </w:pPr>
            <w:r>
              <w:rPr>
                <w:rFonts w:ascii="Times New Roman" w:eastAsia="宋体" w:hAnsi="Times New Roman"/>
                <w:b/>
                <w:bCs/>
                <w:sz w:val="20"/>
                <w:szCs w:val="20"/>
              </w:rPr>
              <w:t>AR</w:t>
            </w:r>
          </w:p>
        </w:tc>
        <w:tc>
          <w:tcPr>
            <w:tcW w:w="0" w:type="auto"/>
            <w:shd w:val="clear" w:color="auto" w:fill="auto"/>
            <w:tcMar>
              <w:top w:w="40" w:type="dxa"/>
              <w:left w:w="40" w:type="dxa"/>
              <w:bottom w:w="40" w:type="dxa"/>
              <w:right w:w="40" w:type="dxa"/>
            </w:tcMar>
            <w:vAlign w:val="bottom"/>
          </w:tcPr>
          <w:p w14:paraId="42A1083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bottom"/>
          </w:tcPr>
          <w:p w14:paraId="42A10836" w14:textId="77777777" w:rsidR="00BB68E1" w:rsidRDefault="00BB68E1">
            <w:pPr>
              <w:rPr>
                <w:rFonts w:ascii="Times New Roman" w:hAnsi="Times New Roman"/>
                <w:sz w:val="20"/>
                <w:szCs w:val="20"/>
              </w:rPr>
            </w:pPr>
          </w:p>
        </w:tc>
      </w:tr>
      <w:tr w:rsidR="00BB68E1" w14:paraId="42A1083B" w14:textId="77777777">
        <w:tc>
          <w:tcPr>
            <w:tcW w:w="0" w:type="auto"/>
            <w:gridSpan w:val="2"/>
            <w:shd w:val="clear" w:color="auto" w:fill="auto"/>
            <w:tcMar>
              <w:top w:w="40" w:type="dxa"/>
              <w:left w:w="40" w:type="dxa"/>
              <w:bottom w:w="40" w:type="dxa"/>
              <w:right w:w="40" w:type="dxa"/>
            </w:tcMar>
          </w:tcPr>
          <w:p w14:paraId="42A10838" w14:textId="77777777" w:rsidR="00BB68E1" w:rsidRDefault="005D2D5E">
            <w:pPr>
              <w:jc w:val="center"/>
              <w:textAlignment w:val="top"/>
              <w:rPr>
                <w:rFonts w:ascii="Times New Roman" w:hAnsi="Times New Roman"/>
                <w:sz w:val="16"/>
                <w:szCs w:val="16"/>
              </w:rPr>
            </w:pPr>
            <w:r>
              <w:rPr>
                <w:rFonts w:ascii="Times New Roman" w:eastAsia="宋体" w:hAnsi="Times New Roman"/>
                <w:sz w:val="16"/>
                <w:szCs w:val="16"/>
              </w:rPr>
              <w:t>(Address of principal executive offices)</w:t>
            </w:r>
          </w:p>
        </w:tc>
        <w:tc>
          <w:tcPr>
            <w:tcW w:w="0" w:type="auto"/>
            <w:shd w:val="clear" w:color="auto" w:fill="auto"/>
            <w:tcMar>
              <w:top w:w="40" w:type="dxa"/>
              <w:left w:w="40" w:type="dxa"/>
              <w:bottom w:w="40" w:type="dxa"/>
              <w:right w:w="40" w:type="dxa"/>
            </w:tcMar>
            <w:vAlign w:val="bottom"/>
          </w:tcPr>
          <w:p w14:paraId="42A1083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2A1083A" w14:textId="77777777" w:rsidR="00BB68E1" w:rsidRDefault="005D2D5E">
            <w:pPr>
              <w:jc w:val="center"/>
              <w:textAlignment w:val="top"/>
              <w:rPr>
                <w:rFonts w:ascii="Times New Roman" w:hAnsi="Times New Roman"/>
                <w:sz w:val="16"/>
                <w:szCs w:val="16"/>
              </w:rPr>
            </w:pPr>
            <w:r>
              <w:rPr>
                <w:rFonts w:ascii="Times New Roman" w:eastAsia="宋体" w:hAnsi="Times New Roman"/>
                <w:sz w:val="16"/>
                <w:szCs w:val="16"/>
              </w:rPr>
              <w:t>(Zip Code)</w:t>
            </w:r>
          </w:p>
        </w:tc>
      </w:tr>
    </w:tbl>
    <w:p w14:paraId="42A1083C"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 xml:space="preserve">Registrant's telephone number, including area code: (479) 273-4000 </w:t>
      </w:r>
    </w:p>
    <w:p w14:paraId="42A1083D"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Securities registered pursuant to Section 12(b) of the Act:</w:t>
      </w:r>
    </w:p>
    <w:tbl>
      <w:tblPr>
        <w:tblW w:w="5000" w:type="pct"/>
        <w:tblCellMar>
          <w:left w:w="0" w:type="dxa"/>
          <w:right w:w="0" w:type="dxa"/>
        </w:tblCellMar>
        <w:tblLook w:val="04A0" w:firstRow="1" w:lastRow="0" w:firstColumn="1" w:lastColumn="0" w:noHBand="0" w:noVBand="1"/>
      </w:tblPr>
      <w:tblGrid>
        <w:gridCol w:w="3041"/>
        <w:gridCol w:w="130"/>
        <w:gridCol w:w="2295"/>
        <w:gridCol w:w="130"/>
        <w:gridCol w:w="2710"/>
      </w:tblGrid>
      <w:tr w:rsidR="00BB68E1" w14:paraId="42A1083F" w14:textId="77777777">
        <w:tc>
          <w:tcPr>
            <w:tcW w:w="0" w:type="auto"/>
            <w:gridSpan w:val="5"/>
            <w:shd w:val="clear" w:color="auto" w:fill="auto"/>
            <w:vAlign w:val="center"/>
          </w:tcPr>
          <w:p w14:paraId="42A1083E" w14:textId="77777777" w:rsidR="00BB68E1" w:rsidRDefault="00BB68E1">
            <w:pPr>
              <w:rPr>
                <w:rFonts w:ascii="Times New Roman" w:hAnsi="Times New Roman"/>
                <w:sz w:val="20"/>
                <w:szCs w:val="20"/>
              </w:rPr>
            </w:pPr>
          </w:p>
        </w:tc>
      </w:tr>
      <w:tr w:rsidR="00BB68E1" w14:paraId="42A10845" w14:textId="77777777">
        <w:tc>
          <w:tcPr>
            <w:tcW w:w="1850" w:type="pct"/>
            <w:shd w:val="clear" w:color="auto" w:fill="auto"/>
            <w:vAlign w:val="center"/>
          </w:tcPr>
          <w:p w14:paraId="42A10840" w14:textId="77777777" w:rsidR="00BB68E1" w:rsidRDefault="00BB68E1">
            <w:pPr>
              <w:rPr>
                <w:rFonts w:ascii="Times New Roman" w:hAnsi="Times New Roman"/>
                <w:sz w:val="20"/>
                <w:szCs w:val="20"/>
              </w:rPr>
            </w:pPr>
          </w:p>
        </w:tc>
        <w:tc>
          <w:tcPr>
            <w:tcW w:w="50" w:type="pct"/>
            <w:shd w:val="clear" w:color="auto" w:fill="auto"/>
            <w:vAlign w:val="center"/>
          </w:tcPr>
          <w:p w14:paraId="42A10841" w14:textId="77777777" w:rsidR="00BB68E1" w:rsidRDefault="00BB68E1">
            <w:pPr>
              <w:rPr>
                <w:rFonts w:ascii="Times New Roman" w:hAnsi="Times New Roman"/>
                <w:sz w:val="20"/>
                <w:szCs w:val="20"/>
              </w:rPr>
            </w:pPr>
          </w:p>
        </w:tc>
        <w:tc>
          <w:tcPr>
            <w:tcW w:w="1400" w:type="pct"/>
            <w:shd w:val="clear" w:color="auto" w:fill="auto"/>
            <w:vAlign w:val="center"/>
          </w:tcPr>
          <w:p w14:paraId="42A10842" w14:textId="77777777" w:rsidR="00BB68E1" w:rsidRDefault="00BB68E1">
            <w:pPr>
              <w:rPr>
                <w:rFonts w:ascii="Times New Roman" w:hAnsi="Times New Roman"/>
                <w:sz w:val="20"/>
                <w:szCs w:val="20"/>
              </w:rPr>
            </w:pPr>
          </w:p>
        </w:tc>
        <w:tc>
          <w:tcPr>
            <w:tcW w:w="50" w:type="pct"/>
            <w:shd w:val="clear" w:color="auto" w:fill="auto"/>
            <w:vAlign w:val="center"/>
          </w:tcPr>
          <w:p w14:paraId="42A10843" w14:textId="77777777" w:rsidR="00BB68E1" w:rsidRDefault="00BB68E1">
            <w:pPr>
              <w:rPr>
                <w:rFonts w:ascii="Times New Roman" w:hAnsi="Times New Roman"/>
                <w:sz w:val="20"/>
                <w:szCs w:val="20"/>
              </w:rPr>
            </w:pPr>
          </w:p>
        </w:tc>
        <w:tc>
          <w:tcPr>
            <w:tcW w:w="1650" w:type="pct"/>
            <w:shd w:val="clear" w:color="auto" w:fill="auto"/>
            <w:vAlign w:val="center"/>
          </w:tcPr>
          <w:p w14:paraId="42A10844" w14:textId="77777777" w:rsidR="00BB68E1" w:rsidRDefault="00BB68E1">
            <w:pPr>
              <w:rPr>
                <w:rFonts w:ascii="Times New Roman" w:hAnsi="Times New Roman"/>
                <w:sz w:val="20"/>
                <w:szCs w:val="20"/>
              </w:rPr>
            </w:pPr>
          </w:p>
        </w:tc>
      </w:tr>
      <w:tr w:rsidR="00BB68E1" w14:paraId="42A1084B"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42A10846"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Title of each class</w:t>
            </w:r>
          </w:p>
        </w:tc>
        <w:tc>
          <w:tcPr>
            <w:tcW w:w="0" w:type="auto"/>
            <w:shd w:val="clear" w:color="auto" w:fill="auto"/>
            <w:tcMar>
              <w:top w:w="40" w:type="dxa"/>
              <w:left w:w="40" w:type="dxa"/>
              <w:bottom w:w="40" w:type="dxa"/>
              <w:right w:w="40" w:type="dxa"/>
            </w:tcMar>
            <w:vAlign w:val="bottom"/>
          </w:tcPr>
          <w:p w14:paraId="42A1084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0848"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Trading Symbol(s)</w:t>
            </w:r>
          </w:p>
        </w:tc>
        <w:tc>
          <w:tcPr>
            <w:tcW w:w="0" w:type="auto"/>
            <w:shd w:val="clear" w:color="auto" w:fill="auto"/>
            <w:tcMar>
              <w:top w:w="40" w:type="dxa"/>
              <w:left w:w="40" w:type="dxa"/>
              <w:bottom w:w="40" w:type="dxa"/>
              <w:right w:w="40" w:type="dxa"/>
            </w:tcMar>
            <w:vAlign w:val="bottom"/>
          </w:tcPr>
          <w:p w14:paraId="42A1084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084A"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Name of each exchange on which registered</w:t>
            </w:r>
          </w:p>
        </w:tc>
      </w:tr>
      <w:tr w:rsidR="00BB68E1" w14:paraId="42A10851" w14:textId="77777777">
        <w:tc>
          <w:tcPr>
            <w:tcW w:w="0" w:type="auto"/>
            <w:shd w:val="clear" w:color="auto" w:fill="auto"/>
            <w:tcMar>
              <w:top w:w="40" w:type="dxa"/>
              <w:left w:w="40" w:type="dxa"/>
              <w:bottom w:w="40" w:type="dxa"/>
              <w:right w:w="40" w:type="dxa"/>
            </w:tcMar>
          </w:tcPr>
          <w:p w14:paraId="42A1084C"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 xml:space="preserve">Common Stock, par value $0.10 </w:t>
            </w:r>
            <w:r>
              <w:rPr>
                <w:rFonts w:ascii="Times New Roman" w:eastAsia="宋体" w:hAnsi="Times New Roman"/>
                <w:sz w:val="20"/>
                <w:szCs w:val="20"/>
              </w:rPr>
              <w:t>per share</w:t>
            </w:r>
          </w:p>
        </w:tc>
        <w:tc>
          <w:tcPr>
            <w:tcW w:w="0" w:type="auto"/>
            <w:shd w:val="clear" w:color="auto" w:fill="auto"/>
            <w:tcMar>
              <w:top w:w="40" w:type="dxa"/>
              <w:left w:w="40" w:type="dxa"/>
              <w:bottom w:w="40" w:type="dxa"/>
              <w:right w:w="40" w:type="dxa"/>
            </w:tcMar>
            <w:vAlign w:val="bottom"/>
          </w:tcPr>
          <w:p w14:paraId="42A108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tcPr>
          <w:p w14:paraId="42A1084E"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WMT</w:t>
            </w:r>
          </w:p>
        </w:tc>
        <w:tc>
          <w:tcPr>
            <w:tcW w:w="0" w:type="auto"/>
            <w:shd w:val="clear" w:color="auto" w:fill="auto"/>
            <w:tcMar>
              <w:top w:w="40" w:type="dxa"/>
              <w:left w:w="40" w:type="dxa"/>
              <w:bottom w:w="40" w:type="dxa"/>
              <w:right w:w="40" w:type="dxa"/>
            </w:tcMar>
            <w:vAlign w:val="bottom"/>
          </w:tcPr>
          <w:p w14:paraId="42A1084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850"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NYSE</w:t>
            </w:r>
          </w:p>
        </w:tc>
      </w:tr>
      <w:tr w:rsidR="00BB68E1" w14:paraId="42A10857" w14:textId="77777777">
        <w:tc>
          <w:tcPr>
            <w:tcW w:w="0" w:type="auto"/>
            <w:shd w:val="clear" w:color="auto" w:fill="auto"/>
            <w:tcMar>
              <w:top w:w="40" w:type="dxa"/>
              <w:left w:w="40" w:type="dxa"/>
              <w:bottom w:w="40" w:type="dxa"/>
              <w:right w:w="40" w:type="dxa"/>
            </w:tcMar>
          </w:tcPr>
          <w:p w14:paraId="42A10852"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1.900% Notes Due 2022</w:t>
            </w:r>
          </w:p>
        </w:tc>
        <w:tc>
          <w:tcPr>
            <w:tcW w:w="0" w:type="auto"/>
            <w:shd w:val="clear" w:color="auto" w:fill="auto"/>
            <w:tcMar>
              <w:top w:w="40" w:type="dxa"/>
              <w:left w:w="40" w:type="dxa"/>
              <w:bottom w:w="40" w:type="dxa"/>
              <w:right w:w="40" w:type="dxa"/>
            </w:tcMar>
            <w:vAlign w:val="bottom"/>
          </w:tcPr>
          <w:p w14:paraId="42A1085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854"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WMT22</w:t>
            </w:r>
          </w:p>
        </w:tc>
        <w:tc>
          <w:tcPr>
            <w:tcW w:w="0" w:type="auto"/>
            <w:shd w:val="clear" w:color="auto" w:fill="auto"/>
            <w:tcMar>
              <w:top w:w="40" w:type="dxa"/>
              <w:left w:w="40" w:type="dxa"/>
              <w:bottom w:w="40" w:type="dxa"/>
              <w:right w:w="40" w:type="dxa"/>
            </w:tcMar>
            <w:vAlign w:val="bottom"/>
          </w:tcPr>
          <w:p w14:paraId="42A1085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856"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NYSE</w:t>
            </w:r>
          </w:p>
        </w:tc>
      </w:tr>
      <w:tr w:rsidR="00BB68E1" w14:paraId="42A1085D" w14:textId="77777777">
        <w:tc>
          <w:tcPr>
            <w:tcW w:w="0" w:type="auto"/>
            <w:shd w:val="clear" w:color="auto" w:fill="auto"/>
            <w:tcMar>
              <w:top w:w="40" w:type="dxa"/>
              <w:left w:w="40" w:type="dxa"/>
              <w:bottom w:w="40" w:type="dxa"/>
              <w:right w:w="40" w:type="dxa"/>
            </w:tcMar>
          </w:tcPr>
          <w:p w14:paraId="42A10858"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2.550% Notes Due 2026</w:t>
            </w:r>
          </w:p>
        </w:tc>
        <w:tc>
          <w:tcPr>
            <w:tcW w:w="0" w:type="auto"/>
            <w:shd w:val="clear" w:color="auto" w:fill="auto"/>
            <w:tcMar>
              <w:top w:w="40" w:type="dxa"/>
              <w:left w:w="40" w:type="dxa"/>
              <w:bottom w:w="40" w:type="dxa"/>
              <w:right w:w="40" w:type="dxa"/>
            </w:tcMar>
            <w:vAlign w:val="bottom"/>
          </w:tcPr>
          <w:p w14:paraId="42A1085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85A"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WMT26</w:t>
            </w:r>
          </w:p>
        </w:tc>
        <w:tc>
          <w:tcPr>
            <w:tcW w:w="0" w:type="auto"/>
            <w:shd w:val="clear" w:color="auto" w:fill="auto"/>
            <w:tcMar>
              <w:top w:w="40" w:type="dxa"/>
              <w:left w:w="40" w:type="dxa"/>
              <w:bottom w:w="40" w:type="dxa"/>
              <w:right w:w="40" w:type="dxa"/>
            </w:tcMar>
            <w:vAlign w:val="bottom"/>
          </w:tcPr>
          <w:p w14:paraId="42A1085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85C"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NYSE</w:t>
            </w:r>
          </w:p>
        </w:tc>
      </w:tr>
    </w:tbl>
    <w:p w14:paraId="42A1085E"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Securities registered pursuant to Section 12(g) of the Act: None</w:t>
      </w:r>
    </w:p>
    <w:p w14:paraId="42A1085F"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16"/>
          <w:szCs w:val="16"/>
        </w:rPr>
        <w:t>___________________________________________</w:t>
      </w:r>
      <w:r>
        <w:rPr>
          <w:rFonts w:ascii="Times New Roman" w:eastAsia="宋体" w:hAnsi="Times New Roman"/>
          <w:sz w:val="20"/>
          <w:szCs w:val="20"/>
        </w:rPr>
        <w:t> </w:t>
      </w:r>
    </w:p>
    <w:p w14:paraId="42A1086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Indicate by check mark if the </w:t>
      </w:r>
      <w:r>
        <w:rPr>
          <w:rFonts w:ascii="Times New Roman" w:eastAsia="宋体" w:hAnsi="Times New Roman"/>
          <w:sz w:val="20"/>
          <w:szCs w:val="20"/>
        </w:rPr>
        <w:t>registrant is a well-known seasoned issuer, as defined in Rule 405 of the Securities Act.    </w:t>
      </w:r>
    </w:p>
    <w:p w14:paraId="42A1086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Yes  </w:t>
      </w:r>
      <w:r>
        <w:rPr>
          <w:rFonts w:ascii="Wingdings" w:eastAsia="宋体" w:hAnsi="Wingdings" w:cs="Wingdings"/>
          <w:sz w:val="20"/>
          <w:szCs w:val="20"/>
        </w:rPr>
        <w:t>ý</w:t>
      </w:r>
      <w:r>
        <w:rPr>
          <w:rFonts w:ascii="Times New Roman" w:eastAsia="宋体" w:hAnsi="Times New Roman"/>
          <w:sz w:val="20"/>
          <w:szCs w:val="20"/>
        </w:rPr>
        <w:t>    No  </w:t>
      </w:r>
      <w:r>
        <w:rPr>
          <w:rFonts w:ascii="Wingdings" w:eastAsia="宋体" w:hAnsi="Wingdings" w:cs="Wingdings"/>
          <w:sz w:val="20"/>
          <w:szCs w:val="20"/>
        </w:rPr>
        <w:t>¨</w:t>
      </w:r>
    </w:p>
    <w:p w14:paraId="42A1086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Indicate by check mark if the registrant is not required to file reports pursuant to Section 13 or Section 15(d) of the </w:t>
      </w:r>
      <w:r>
        <w:rPr>
          <w:rFonts w:ascii="Times New Roman" w:eastAsia="宋体" w:hAnsi="Times New Roman"/>
          <w:sz w:val="20"/>
          <w:szCs w:val="20"/>
        </w:rPr>
        <w:t>Exchange Act.    </w:t>
      </w:r>
    </w:p>
    <w:p w14:paraId="42A1086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Yes  </w:t>
      </w:r>
      <w:r>
        <w:rPr>
          <w:rFonts w:ascii="Wingdings" w:eastAsia="宋体" w:hAnsi="Wingdings" w:cs="Wingdings"/>
          <w:sz w:val="20"/>
          <w:szCs w:val="20"/>
        </w:rPr>
        <w:t>¨</w:t>
      </w:r>
      <w:r>
        <w:rPr>
          <w:rFonts w:ascii="Times New Roman" w:eastAsia="宋体" w:hAnsi="Times New Roman"/>
          <w:sz w:val="20"/>
          <w:szCs w:val="20"/>
        </w:rPr>
        <w:t>    No  </w:t>
      </w:r>
      <w:r>
        <w:rPr>
          <w:rFonts w:ascii="Wingdings" w:eastAsia="宋体" w:hAnsi="Wingdings" w:cs="Wingdings"/>
          <w:sz w:val="20"/>
          <w:szCs w:val="20"/>
        </w:rPr>
        <w:t>ý</w:t>
      </w:r>
    </w:p>
    <w:p w14:paraId="42A10864" w14:textId="77777777" w:rsidR="00BB68E1" w:rsidRDefault="00BB68E1">
      <w:pPr>
        <w:rPr>
          <w:rFonts w:ascii="Times New Roman" w:hAnsi="Times New Roman"/>
          <w:sz w:val="20"/>
          <w:szCs w:val="20"/>
        </w:rPr>
      </w:pPr>
    </w:p>
    <w:p w14:paraId="42A10865" w14:textId="77777777" w:rsidR="00BB68E1" w:rsidRDefault="005D2D5E">
      <w:r>
        <w:rPr>
          <w:rFonts w:ascii="Times New Roman" w:hAnsi="Times New Roman"/>
          <w:sz w:val="20"/>
          <w:szCs w:val="20"/>
        </w:rPr>
        <w:lastRenderedPageBreak/>
        <w:pict w14:anchorId="42A14276">
          <v:rect id="_x0000_i1025" style="width:415.3pt;height:1.5pt" o:hralign="center" o:hrstd="t" o:hr="t" fillcolor="#a0a0a0" stroked="f"/>
        </w:pict>
      </w:r>
    </w:p>
    <w:p w14:paraId="42A10866" w14:textId="77777777" w:rsidR="00BB68E1" w:rsidRDefault="00BB68E1">
      <w:pPr>
        <w:rPr>
          <w:rFonts w:ascii="Times New Roman" w:hAnsi="Times New Roman"/>
          <w:sz w:val="20"/>
          <w:szCs w:val="20"/>
        </w:rPr>
      </w:pPr>
    </w:p>
    <w:p w14:paraId="42A1086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Indicate by check mark whether the registrant (1) has filed all reports required to be filed by Section 13 or 15(d) of the Securities Exchange Act of 1934 during the preceding 12 months (or for such shorter </w:t>
      </w:r>
      <w:r>
        <w:rPr>
          <w:rFonts w:ascii="Times New Roman" w:eastAsia="宋体" w:hAnsi="Times New Roman"/>
          <w:sz w:val="20"/>
          <w:szCs w:val="20"/>
        </w:rPr>
        <w:t>period that the registrant was required to file such reports), and (2) has been subject to such filing requirements for at least the past 90 days.    </w:t>
      </w:r>
    </w:p>
    <w:p w14:paraId="42A1086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Yes  </w:t>
      </w:r>
      <w:r>
        <w:rPr>
          <w:rFonts w:ascii="Wingdings" w:eastAsia="宋体" w:hAnsi="Wingdings" w:cs="Wingdings"/>
          <w:sz w:val="20"/>
          <w:szCs w:val="20"/>
        </w:rPr>
        <w:t>ý</w:t>
      </w:r>
      <w:r>
        <w:rPr>
          <w:rFonts w:ascii="Times New Roman" w:eastAsia="宋体" w:hAnsi="Times New Roman"/>
          <w:sz w:val="20"/>
          <w:szCs w:val="20"/>
        </w:rPr>
        <w:t>    No  </w:t>
      </w:r>
      <w:r>
        <w:rPr>
          <w:rFonts w:ascii="Wingdings" w:eastAsia="宋体" w:hAnsi="Wingdings" w:cs="Wingdings"/>
          <w:sz w:val="20"/>
          <w:szCs w:val="20"/>
        </w:rPr>
        <w:t>¨</w:t>
      </w:r>
    </w:p>
    <w:p w14:paraId="42A1086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Indicate by check mark whether the registrant has submitted electronically every Interact</w:t>
      </w:r>
      <w:r>
        <w:rPr>
          <w:rFonts w:ascii="Times New Roman" w:eastAsia="宋体" w:hAnsi="Times New Roman"/>
          <w:sz w:val="20"/>
          <w:szCs w:val="20"/>
        </w:rPr>
        <w:t>ive Data File required to be submitted pursuant to Rule 405 of Regulation S-T (§232.405 of this chapter) during the preceding 12 months (or for such shorter period that the registrant was required to submit such files).    </w:t>
      </w:r>
    </w:p>
    <w:p w14:paraId="42A1086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Yes  </w:t>
      </w:r>
      <w:r>
        <w:rPr>
          <w:rFonts w:ascii="Wingdings" w:eastAsia="宋体" w:hAnsi="Wingdings" w:cs="Wingdings"/>
          <w:sz w:val="20"/>
          <w:szCs w:val="20"/>
        </w:rPr>
        <w:t>ý</w:t>
      </w:r>
      <w:r>
        <w:rPr>
          <w:rFonts w:ascii="Times New Roman" w:eastAsia="宋体" w:hAnsi="Times New Roman"/>
          <w:sz w:val="20"/>
          <w:szCs w:val="20"/>
        </w:rPr>
        <w:t>    No  </w:t>
      </w:r>
      <w:r>
        <w:rPr>
          <w:rFonts w:ascii="Wingdings" w:eastAsia="宋体" w:hAnsi="Wingdings" w:cs="Wingdings"/>
          <w:sz w:val="20"/>
          <w:szCs w:val="20"/>
        </w:rPr>
        <w:t>¨</w:t>
      </w:r>
    </w:p>
    <w:p w14:paraId="42A1086B"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Indicate by chec</w:t>
      </w:r>
      <w:r>
        <w:rPr>
          <w:rFonts w:ascii="Times New Roman" w:eastAsia="宋体" w:hAnsi="Times New Roman"/>
          <w:sz w:val="20"/>
          <w:szCs w:val="20"/>
        </w:rPr>
        <w:t xml:space="preserve">k mark whether the registrant is a large accelerated filer, an accelerated filer, a non-accelerated filer, a smaller reporting company or an emerging growth company. See the definitions of "large accelerated filer," "accelerated filer," "smaller reporting </w:t>
      </w:r>
      <w:r>
        <w:rPr>
          <w:rFonts w:ascii="Times New Roman" w:eastAsia="宋体" w:hAnsi="Times New Roman"/>
          <w:sz w:val="20"/>
          <w:szCs w:val="20"/>
        </w:rPr>
        <w:t>company" and "emerging growth company" in Rule 12b-2 of the Exchange Act.</w:t>
      </w:r>
    </w:p>
    <w:tbl>
      <w:tblPr>
        <w:tblW w:w="3996" w:type="pct"/>
        <w:jc w:val="center"/>
        <w:tblCellMar>
          <w:left w:w="0" w:type="dxa"/>
          <w:right w:w="0" w:type="dxa"/>
        </w:tblCellMar>
        <w:tblLook w:val="04A0" w:firstRow="1" w:lastRow="0" w:firstColumn="1" w:lastColumn="0" w:noHBand="0" w:noVBand="1"/>
      </w:tblPr>
      <w:tblGrid>
        <w:gridCol w:w="2022"/>
        <w:gridCol w:w="230"/>
        <w:gridCol w:w="1292"/>
        <w:gridCol w:w="230"/>
        <w:gridCol w:w="2380"/>
        <w:gridCol w:w="231"/>
        <w:gridCol w:w="253"/>
      </w:tblGrid>
      <w:tr w:rsidR="00BB68E1" w14:paraId="42A1086D" w14:textId="77777777">
        <w:trPr>
          <w:jc w:val="center"/>
        </w:trPr>
        <w:tc>
          <w:tcPr>
            <w:tcW w:w="0" w:type="auto"/>
            <w:gridSpan w:val="7"/>
            <w:shd w:val="clear" w:color="auto" w:fill="auto"/>
            <w:vAlign w:val="center"/>
          </w:tcPr>
          <w:p w14:paraId="42A1086C" w14:textId="77777777" w:rsidR="00BB68E1" w:rsidRDefault="00BB68E1">
            <w:pPr>
              <w:rPr>
                <w:rFonts w:ascii="Times New Roman" w:hAnsi="Times New Roman"/>
                <w:sz w:val="20"/>
                <w:szCs w:val="20"/>
              </w:rPr>
            </w:pPr>
          </w:p>
        </w:tc>
      </w:tr>
      <w:tr w:rsidR="00BB68E1" w14:paraId="42A10875" w14:textId="77777777">
        <w:trPr>
          <w:jc w:val="center"/>
        </w:trPr>
        <w:tc>
          <w:tcPr>
            <w:tcW w:w="1550" w:type="pct"/>
            <w:shd w:val="clear" w:color="auto" w:fill="auto"/>
            <w:vAlign w:val="center"/>
          </w:tcPr>
          <w:p w14:paraId="42A1086E" w14:textId="77777777" w:rsidR="00BB68E1" w:rsidRDefault="00BB68E1">
            <w:pPr>
              <w:rPr>
                <w:rFonts w:ascii="Times New Roman" w:hAnsi="Times New Roman"/>
                <w:sz w:val="20"/>
                <w:szCs w:val="20"/>
              </w:rPr>
            </w:pPr>
          </w:p>
        </w:tc>
        <w:tc>
          <w:tcPr>
            <w:tcW w:w="200" w:type="pct"/>
            <w:shd w:val="clear" w:color="auto" w:fill="auto"/>
            <w:vAlign w:val="center"/>
          </w:tcPr>
          <w:p w14:paraId="42A1086F" w14:textId="77777777" w:rsidR="00BB68E1" w:rsidRDefault="00BB68E1">
            <w:pPr>
              <w:rPr>
                <w:rFonts w:ascii="Times New Roman" w:hAnsi="Times New Roman"/>
                <w:sz w:val="20"/>
                <w:szCs w:val="20"/>
              </w:rPr>
            </w:pPr>
          </w:p>
        </w:tc>
        <w:tc>
          <w:tcPr>
            <w:tcW w:w="1000" w:type="pct"/>
            <w:shd w:val="clear" w:color="auto" w:fill="auto"/>
            <w:vAlign w:val="center"/>
          </w:tcPr>
          <w:p w14:paraId="42A10870" w14:textId="77777777" w:rsidR="00BB68E1" w:rsidRDefault="00BB68E1">
            <w:pPr>
              <w:rPr>
                <w:rFonts w:ascii="Times New Roman" w:hAnsi="Times New Roman"/>
                <w:sz w:val="20"/>
                <w:szCs w:val="20"/>
              </w:rPr>
            </w:pPr>
          </w:p>
        </w:tc>
        <w:tc>
          <w:tcPr>
            <w:tcW w:w="200" w:type="pct"/>
            <w:shd w:val="clear" w:color="auto" w:fill="auto"/>
            <w:vAlign w:val="center"/>
          </w:tcPr>
          <w:p w14:paraId="42A10871" w14:textId="77777777" w:rsidR="00BB68E1" w:rsidRDefault="00BB68E1">
            <w:pPr>
              <w:rPr>
                <w:rFonts w:ascii="Times New Roman" w:hAnsi="Times New Roman"/>
                <w:sz w:val="20"/>
                <w:szCs w:val="20"/>
              </w:rPr>
            </w:pPr>
          </w:p>
        </w:tc>
        <w:tc>
          <w:tcPr>
            <w:tcW w:w="1650" w:type="pct"/>
            <w:shd w:val="clear" w:color="auto" w:fill="auto"/>
            <w:vAlign w:val="center"/>
          </w:tcPr>
          <w:p w14:paraId="42A10872" w14:textId="77777777" w:rsidR="00BB68E1" w:rsidRDefault="00BB68E1">
            <w:pPr>
              <w:rPr>
                <w:rFonts w:ascii="Times New Roman" w:hAnsi="Times New Roman"/>
                <w:sz w:val="20"/>
                <w:szCs w:val="20"/>
              </w:rPr>
            </w:pPr>
          </w:p>
        </w:tc>
        <w:tc>
          <w:tcPr>
            <w:tcW w:w="200" w:type="pct"/>
            <w:shd w:val="clear" w:color="auto" w:fill="auto"/>
            <w:vAlign w:val="center"/>
          </w:tcPr>
          <w:p w14:paraId="42A10873" w14:textId="77777777" w:rsidR="00BB68E1" w:rsidRDefault="00BB68E1">
            <w:pPr>
              <w:rPr>
                <w:rFonts w:ascii="Times New Roman" w:hAnsi="Times New Roman"/>
                <w:sz w:val="20"/>
                <w:szCs w:val="20"/>
              </w:rPr>
            </w:pPr>
          </w:p>
        </w:tc>
        <w:tc>
          <w:tcPr>
            <w:tcW w:w="200" w:type="pct"/>
            <w:shd w:val="clear" w:color="auto" w:fill="auto"/>
            <w:vAlign w:val="center"/>
          </w:tcPr>
          <w:p w14:paraId="42A10874" w14:textId="77777777" w:rsidR="00BB68E1" w:rsidRDefault="00BB68E1">
            <w:pPr>
              <w:rPr>
                <w:rFonts w:ascii="Times New Roman" w:hAnsi="Times New Roman"/>
                <w:sz w:val="20"/>
                <w:szCs w:val="20"/>
              </w:rPr>
            </w:pPr>
          </w:p>
        </w:tc>
      </w:tr>
      <w:tr w:rsidR="00BB68E1" w14:paraId="42A1087D" w14:textId="77777777">
        <w:trPr>
          <w:jc w:val="center"/>
        </w:trPr>
        <w:tc>
          <w:tcPr>
            <w:tcW w:w="0" w:type="auto"/>
            <w:shd w:val="clear" w:color="auto" w:fill="auto"/>
            <w:tcMar>
              <w:top w:w="40" w:type="dxa"/>
              <w:left w:w="40" w:type="dxa"/>
              <w:bottom w:w="40" w:type="dxa"/>
              <w:right w:w="40" w:type="dxa"/>
            </w:tcMar>
            <w:vAlign w:val="bottom"/>
          </w:tcPr>
          <w:p w14:paraId="42A1087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Large Accelerated Filer</w:t>
            </w:r>
          </w:p>
        </w:tc>
        <w:tc>
          <w:tcPr>
            <w:tcW w:w="0" w:type="auto"/>
            <w:shd w:val="clear" w:color="auto" w:fill="auto"/>
            <w:tcMar>
              <w:top w:w="40" w:type="dxa"/>
              <w:left w:w="40" w:type="dxa"/>
              <w:bottom w:w="40" w:type="dxa"/>
              <w:right w:w="40" w:type="dxa"/>
            </w:tcMar>
            <w:vAlign w:val="bottom"/>
          </w:tcPr>
          <w:p w14:paraId="42A1087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78" w14:textId="77777777" w:rsidR="00BB68E1" w:rsidRDefault="005D2D5E">
            <w:pP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c>
          <w:tcPr>
            <w:tcW w:w="0" w:type="auto"/>
            <w:shd w:val="clear" w:color="auto" w:fill="auto"/>
            <w:tcMar>
              <w:top w:w="40" w:type="dxa"/>
              <w:left w:w="40" w:type="dxa"/>
              <w:bottom w:w="40" w:type="dxa"/>
              <w:right w:w="40" w:type="dxa"/>
            </w:tcMar>
            <w:vAlign w:val="bottom"/>
          </w:tcPr>
          <w:p w14:paraId="42A1087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7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Accelerated Filer</w:t>
            </w:r>
          </w:p>
        </w:tc>
        <w:tc>
          <w:tcPr>
            <w:tcW w:w="0" w:type="auto"/>
            <w:shd w:val="clear" w:color="auto" w:fill="auto"/>
            <w:tcMar>
              <w:top w:w="40" w:type="dxa"/>
              <w:left w:w="40" w:type="dxa"/>
              <w:bottom w:w="40" w:type="dxa"/>
              <w:right w:w="40" w:type="dxa"/>
            </w:tcMar>
            <w:vAlign w:val="bottom"/>
          </w:tcPr>
          <w:p w14:paraId="42A1087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7C" w14:textId="77777777" w:rsidR="00BB68E1" w:rsidRDefault="005D2D5E">
            <w:pPr>
              <w:textAlignment w:val="bottom"/>
              <w:rPr>
                <w:rFonts w:ascii="Times New Roman" w:hAnsi="Times New Roman"/>
                <w:sz w:val="20"/>
                <w:szCs w:val="20"/>
              </w:rPr>
            </w:pPr>
            <w:r>
              <w:rPr>
                <w:rFonts w:ascii="Arial Unicode MS" w:eastAsia="Arial Unicode MS" w:hAnsi="Arial Unicode MS" w:cs="Arial Unicode MS" w:hint="eastAsia"/>
                <w:b/>
                <w:bCs/>
                <w:sz w:val="20"/>
                <w:szCs w:val="20"/>
              </w:rPr>
              <w:t>☐</w:t>
            </w:r>
          </w:p>
        </w:tc>
      </w:tr>
      <w:tr w:rsidR="00BB68E1" w14:paraId="42A10885" w14:textId="77777777">
        <w:trPr>
          <w:jc w:val="center"/>
        </w:trPr>
        <w:tc>
          <w:tcPr>
            <w:tcW w:w="0" w:type="auto"/>
            <w:shd w:val="clear" w:color="auto" w:fill="auto"/>
            <w:tcMar>
              <w:top w:w="40" w:type="dxa"/>
              <w:left w:w="40" w:type="dxa"/>
              <w:bottom w:w="40" w:type="dxa"/>
              <w:right w:w="40" w:type="dxa"/>
            </w:tcMar>
            <w:vAlign w:val="bottom"/>
          </w:tcPr>
          <w:p w14:paraId="42A1087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Non-Accelerated Filer</w:t>
            </w:r>
          </w:p>
        </w:tc>
        <w:tc>
          <w:tcPr>
            <w:tcW w:w="0" w:type="auto"/>
            <w:shd w:val="clear" w:color="auto" w:fill="auto"/>
            <w:tcMar>
              <w:top w:w="40" w:type="dxa"/>
              <w:left w:w="40" w:type="dxa"/>
              <w:bottom w:w="40" w:type="dxa"/>
              <w:right w:w="40" w:type="dxa"/>
            </w:tcMar>
            <w:vAlign w:val="bottom"/>
          </w:tcPr>
          <w:p w14:paraId="42A1087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80" w14:textId="77777777" w:rsidR="00BB68E1" w:rsidRDefault="005D2D5E">
            <w:pPr>
              <w:textAlignment w:val="bottom"/>
              <w:rPr>
                <w:rFonts w:ascii="Times New Roman" w:hAnsi="Times New Roman"/>
                <w:sz w:val="20"/>
                <w:szCs w:val="20"/>
              </w:rPr>
            </w:pPr>
            <w:r>
              <w:rPr>
                <w:rFonts w:ascii="Arial Unicode MS" w:eastAsia="Arial Unicode MS" w:hAnsi="Arial Unicode MS" w:cs="Arial Unicode MS" w:hint="eastAsia"/>
                <w:b/>
                <w:bCs/>
                <w:sz w:val="20"/>
                <w:szCs w:val="20"/>
              </w:rPr>
              <w:t>☐</w:t>
            </w:r>
          </w:p>
        </w:tc>
        <w:tc>
          <w:tcPr>
            <w:tcW w:w="0" w:type="auto"/>
            <w:shd w:val="clear" w:color="auto" w:fill="auto"/>
            <w:tcMar>
              <w:top w:w="40" w:type="dxa"/>
              <w:left w:w="40" w:type="dxa"/>
              <w:bottom w:w="40" w:type="dxa"/>
              <w:right w:w="40" w:type="dxa"/>
            </w:tcMar>
            <w:vAlign w:val="bottom"/>
          </w:tcPr>
          <w:p w14:paraId="42A108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8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Smaller Reporting Company</w:t>
            </w:r>
          </w:p>
        </w:tc>
        <w:tc>
          <w:tcPr>
            <w:tcW w:w="0" w:type="auto"/>
            <w:shd w:val="clear" w:color="auto" w:fill="auto"/>
            <w:tcMar>
              <w:top w:w="40" w:type="dxa"/>
              <w:left w:w="40" w:type="dxa"/>
              <w:bottom w:w="40" w:type="dxa"/>
              <w:right w:w="40" w:type="dxa"/>
            </w:tcMar>
            <w:vAlign w:val="bottom"/>
          </w:tcPr>
          <w:p w14:paraId="42A1088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84" w14:textId="77777777" w:rsidR="00BB68E1" w:rsidRDefault="005D2D5E">
            <w:pPr>
              <w:textAlignment w:val="bottom"/>
              <w:rPr>
                <w:rFonts w:ascii="Times New Roman" w:hAnsi="Times New Roman"/>
                <w:sz w:val="20"/>
                <w:szCs w:val="20"/>
              </w:rPr>
            </w:pPr>
            <w:r>
              <w:rPr>
                <w:rFonts w:ascii="Arial Unicode MS" w:eastAsia="Arial Unicode MS" w:hAnsi="Arial Unicode MS" w:cs="Arial Unicode MS" w:hint="eastAsia"/>
                <w:b/>
                <w:bCs/>
                <w:sz w:val="20"/>
                <w:szCs w:val="20"/>
              </w:rPr>
              <w:t>☐</w:t>
            </w:r>
          </w:p>
        </w:tc>
      </w:tr>
      <w:tr w:rsidR="00BB68E1" w14:paraId="42A1088D" w14:textId="77777777">
        <w:trPr>
          <w:jc w:val="center"/>
        </w:trPr>
        <w:tc>
          <w:tcPr>
            <w:tcW w:w="0" w:type="auto"/>
            <w:shd w:val="clear" w:color="auto" w:fill="auto"/>
            <w:tcMar>
              <w:top w:w="40" w:type="dxa"/>
              <w:left w:w="40" w:type="dxa"/>
              <w:bottom w:w="40" w:type="dxa"/>
              <w:right w:w="40" w:type="dxa"/>
            </w:tcMar>
            <w:vAlign w:val="bottom"/>
          </w:tcPr>
          <w:p w14:paraId="42A108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8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8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8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Emerging Growth Company</w:t>
            </w:r>
          </w:p>
        </w:tc>
        <w:tc>
          <w:tcPr>
            <w:tcW w:w="0" w:type="auto"/>
            <w:shd w:val="clear" w:color="auto" w:fill="auto"/>
            <w:tcMar>
              <w:top w:w="40" w:type="dxa"/>
              <w:left w:w="40" w:type="dxa"/>
              <w:bottom w:w="40" w:type="dxa"/>
              <w:right w:w="40" w:type="dxa"/>
            </w:tcMar>
            <w:vAlign w:val="bottom"/>
          </w:tcPr>
          <w:p w14:paraId="42A1088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8C" w14:textId="77777777" w:rsidR="00BB68E1" w:rsidRDefault="005D2D5E">
            <w:pP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r>
    </w:tbl>
    <w:p w14:paraId="42A1088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sz w:val="20"/>
          <w:szCs w:val="20"/>
        </w:rPr>
        <w:t>☐</w:t>
      </w:r>
      <w:r>
        <w:rPr>
          <w:rFonts w:ascii="Wingdings" w:eastAsia="宋体" w:hAnsi="Wingdings" w:cs="Wingdings"/>
          <w:sz w:val="20"/>
          <w:szCs w:val="20"/>
        </w:rPr>
        <w:t xml:space="preserve"> </w:t>
      </w:r>
    </w:p>
    <w:p w14:paraId="42A1088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w:t>
      </w:r>
      <w:r>
        <w:rPr>
          <w:rFonts w:ascii="Times New Roman" w:eastAsia="宋体" w:hAnsi="Times New Roman"/>
          <w:sz w:val="20"/>
          <w:szCs w:val="20"/>
        </w:rPr>
        <w:t>dicate by check mark whether the registrant is a shell company (as defined in Rule 12b-2 of the Exchange Act).    </w:t>
      </w:r>
    </w:p>
    <w:p w14:paraId="42A1089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Yes  </w:t>
      </w:r>
      <w:r>
        <w:rPr>
          <w:rFonts w:ascii="Arial Unicode MS" w:eastAsia="Arial Unicode MS" w:hAnsi="Arial Unicode MS" w:cs="Arial Unicode MS" w:hint="eastAsia"/>
          <w:sz w:val="20"/>
          <w:szCs w:val="20"/>
        </w:rPr>
        <w:t>☐</w:t>
      </w:r>
      <w:r>
        <w:rPr>
          <w:rFonts w:ascii="Times New Roman" w:eastAsia="宋体" w:hAnsi="Times New Roman"/>
          <w:sz w:val="20"/>
          <w:szCs w:val="20"/>
        </w:rPr>
        <w:t>    No  </w:t>
      </w:r>
      <w:r>
        <w:rPr>
          <w:rFonts w:ascii="Arial Unicode MS" w:eastAsia="Arial Unicode MS" w:hAnsi="Arial Unicode MS" w:cs="Arial Unicode MS" w:hint="eastAsia"/>
          <w:b/>
          <w:bCs/>
          <w:sz w:val="20"/>
          <w:szCs w:val="20"/>
        </w:rPr>
        <w:t>☒</w:t>
      </w:r>
    </w:p>
    <w:p w14:paraId="42A1089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As o</w:t>
      </w:r>
      <w:r>
        <w:rPr>
          <w:rFonts w:ascii="Times New Roman" w:eastAsia="宋体" w:hAnsi="Times New Roman"/>
          <w:sz w:val="20"/>
          <w:szCs w:val="20"/>
          <w:shd w:val="clear" w:color="auto" w:fill="FFFFFF"/>
        </w:rPr>
        <w:t>f</w:t>
      </w:r>
      <w:r>
        <w:rPr>
          <w:rFonts w:ascii="Times New Roman" w:eastAsia="宋体" w:hAnsi="Times New Roman"/>
          <w:sz w:val="20"/>
          <w:szCs w:val="20"/>
        </w:rPr>
        <w:t xml:space="preserve"> July 31, 2019, the aggregate market value of the voting common stock of the registrant held by non-affiliates of the re</w:t>
      </w:r>
      <w:r>
        <w:rPr>
          <w:rFonts w:ascii="Times New Roman" w:eastAsia="宋体" w:hAnsi="Times New Roman"/>
          <w:sz w:val="20"/>
          <w:szCs w:val="20"/>
        </w:rPr>
        <w:t>gistrant, based on the closing sale price of those shares on the New York Stock Exchange reported on July 31, 2019, was $155,125,468,742. For the purposes of this disclosure only, the registrant has assumed that its directors, executive officers (as define</w:t>
      </w:r>
      <w:r>
        <w:rPr>
          <w:rFonts w:ascii="Times New Roman" w:eastAsia="宋体" w:hAnsi="Times New Roman"/>
          <w:sz w:val="20"/>
          <w:szCs w:val="20"/>
        </w:rPr>
        <w:t>d in Rule 3b-7 under the Exchange Act) and the beneficial owners of 5% or more of the registrant's outstanding common stock are the affiliates of the registrant.</w:t>
      </w:r>
    </w:p>
    <w:p w14:paraId="42A1089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registrant had 2,832,277,220 shares of common stock outstanding as of March 18, 2020.</w:t>
      </w:r>
    </w:p>
    <w:p w14:paraId="42A10893"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DOCU</w:t>
      </w:r>
      <w:r>
        <w:rPr>
          <w:rFonts w:ascii="Times New Roman" w:eastAsia="宋体" w:hAnsi="Times New Roman"/>
          <w:b/>
          <w:bCs/>
          <w:sz w:val="20"/>
          <w:szCs w:val="20"/>
        </w:rPr>
        <w:t>MENTS INCORPORATED BY REFERENCE</w:t>
      </w:r>
    </w:p>
    <w:tbl>
      <w:tblPr>
        <w:tblW w:w="5000" w:type="pct"/>
        <w:tblCellMar>
          <w:left w:w="0" w:type="dxa"/>
          <w:right w:w="0" w:type="dxa"/>
        </w:tblCellMar>
        <w:tblLook w:val="04A0" w:firstRow="1" w:lastRow="0" w:firstColumn="1" w:lastColumn="0" w:noHBand="0" w:noVBand="1"/>
      </w:tblPr>
      <w:tblGrid>
        <w:gridCol w:w="4402"/>
        <w:gridCol w:w="332"/>
        <w:gridCol w:w="3572"/>
      </w:tblGrid>
      <w:tr w:rsidR="00BB68E1" w14:paraId="42A10895" w14:textId="77777777">
        <w:tc>
          <w:tcPr>
            <w:tcW w:w="0" w:type="auto"/>
            <w:gridSpan w:val="3"/>
            <w:shd w:val="clear" w:color="auto" w:fill="auto"/>
            <w:vAlign w:val="center"/>
          </w:tcPr>
          <w:p w14:paraId="42A10894" w14:textId="77777777" w:rsidR="00BB68E1" w:rsidRDefault="00BB68E1">
            <w:pPr>
              <w:rPr>
                <w:rFonts w:ascii="Times New Roman" w:hAnsi="Times New Roman"/>
                <w:sz w:val="20"/>
                <w:szCs w:val="20"/>
              </w:rPr>
            </w:pPr>
          </w:p>
        </w:tc>
      </w:tr>
      <w:tr w:rsidR="00BB68E1" w14:paraId="42A10899" w14:textId="77777777">
        <w:tc>
          <w:tcPr>
            <w:tcW w:w="2650" w:type="pct"/>
            <w:shd w:val="clear" w:color="auto" w:fill="auto"/>
            <w:vAlign w:val="center"/>
          </w:tcPr>
          <w:p w14:paraId="42A10896" w14:textId="77777777" w:rsidR="00BB68E1" w:rsidRDefault="00BB68E1">
            <w:pPr>
              <w:rPr>
                <w:rFonts w:ascii="Times New Roman" w:hAnsi="Times New Roman"/>
                <w:sz w:val="20"/>
                <w:szCs w:val="20"/>
              </w:rPr>
            </w:pPr>
          </w:p>
        </w:tc>
        <w:tc>
          <w:tcPr>
            <w:tcW w:w="200" w:type="pct"/>
            <w:shd w:val="clear" w:color="auto" w:fill="auto"/>
            <w:vAlign w:val="center"/>
          </w:tcPr>
          <w:p w14:paraId="42A10897" w14:textId="77777777" w:rsidR="00BB68E1" w:rsidRDefault="00BB68E1">
            <w:pPr>
              <w:rPr>
                <w:rFonts w:ascii="Times New Roman" w:hAnsi="Times New Roman"/>
                <w:sz w:val="20"/>
                <w:szCs w:val="20"/>
              </w:rPr>
            </w:pPr>
          </w:p>
        </w:tc>
        <w:tc>
          <w:tcPr>
            <w:tcW w:w="2150" w:type="pct"/>
            <w:shd w:val="clear" w:color="auto" w:fill="auto"/>
            <w:vAlign w:val="center"/>
          </w:tcPr>
          <w:p w14:paraId="42A10898" w14:textId="77777777" w:rsidR="00BB68E1" w:rsidRDefault="00BB68E1">
            <w:pPr>
              <w:rPr>
                <w:rFonts w:ascii="Times New Roman" w:hAnsi="Times New Roman"/>
                <w:sz w:val="20"/>
                <w:szCs w:val="20"/>
              </w:rPr>
            </w:pPr>
          </w:p>
        </w:tc>
      </w:tr>
      <w:tr w:rsidR="00BB68E1" w14:paraId="42A1089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42A1089A"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Document</w:t>
            </w:r>
          </w:p>
        </w:tc>
        <w:tc>
          <w:tcPr>
            <w:tcW w:w="0" w:type="auto"/>
            <w:shd w:val="clear" w:color="auto" w:fill="auto"/>
            <w:tcMar>
              <w:top w:w="40" w:type="dxa"/>
              <w:left w:w="40" w:type="dxa"/>
              <w:bottom w:w="40" w:type="dxa"/>
              <w:right w:w="40" w:type="dxa"/>
            </w:tcMar>
            <w:vAlign w:val="bottom"/>
          </w:tcPr>
          <w:p w14:paraId="42A1089B"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089C"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Parts Into Which Incorporated</w:t>
            </w:r>
          </w:p>
        </w:tc>
      </w:tr>
      <w:tr w:rsidR="00BB68E1" w14:paraId="42A108A1" w14:textId="77777777">
        <w:tc>
          <w:tcPr>
            <w:tcW w:w="0" w:type="auto"/>
            <w:shd w:val="clear" w:color="auto" w:fill="auto"/>
            <w:tcMar>
              <w:top w:w="40" w:type="dxa"/>
              <w:left w:w="40" w:type="dxa"/>
              <w:bottom w:w="40" w:type="dxa"/>
              <w:right w:w="40" w:type="dxa"/>
            </w:tcMar>
          </w:tcPr>
          <w:p w14:paraId="42A1089E"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Portions of the registrant's Proxy Statement for the Annual Meeting of Shareholders to be held June 3, 2020 (the "Proxy Statement")</w:t>
            </w:r>
          </w:p>
        </w:tc>
        <w:tc>
          <w:tcPr>
            <w:tcW w:w="0" w:type="auto"/>
            <w:shd w:val="clear" w:color="auto" w:fill="auto"/>
            <w:tcMar>
              <w:top w:w="40" w:type="dxa"/>
              <w:left w:w="40" w:type="dxa"/>
              <w:bottom w:w="40" w:type="dxa"/>
              <w:right w:w="40" w:type="dxa"/>
            </w:tcMar>
            <w:vAlign w:val="bottom"/>
          </w:tcPr>
          <w:p w14:paraId="42A1089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2A108A0"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Part III</w:t>
            </w:r>
          </w:p>
        </w:tc>
      </w:tr>
    </w:tbl>
    <w:p w14:paraId="42A108A2" w14:textId="77777777" w:rsidR="00BB68E1" w:rsidRDefault="00BB68E1">
      <w:pPr>
        <w:spacing w:line="288" w:lineRule="auto"/>
        <w:rPr>
          <w:rFonts w:ascii="Times New Roman" w:hAnsi="Times New Roman"/>
          <w:sz w:val="20"/>
          <w:szCs w:val="20"/>
        </w:rPr>
      </w:pPr>
    </w:p>
    <w:p w14:paraId="42A108A3" w14:textId="77777777" w:rsidR="00BB68E1" w:rsidRDefault="00BB68E1">
      <w:pPr>
        <w:rPr>
          <w:rFonts w:ascii="Times New Roman" w:hAnsi="Times New Roman"/>
          <w:sz w:val="20"/>
          <w:szCs w:val="20"/>
        </w:rPr>
      </w:pPr>
    </w:p>
    <w:p w14:paraId="42A108A4" w14:textId="77777777" w:rsidR="00BB68E1" w:rsidRDefault="005D2D5E">
      <w:r>
        <w:rPr>
          <w:rFonts w:ascii="Times New Roman" w:hAnsi="Times New Roman"/>
          <w:sz w:val="20"/>
          <w:szCs w:val="20"/>
        </w:rPr>
        <w:pict w14:anchorId="42A14277">
          <v:rect id="_x0000_i1026" style="width:415.3pt;height:1.5pt" o:hralign="center" o:hrstd="t" o:hr="t" fillcolor="#a0a0a0" stroked="f"/>
        </w:pict>
      </w:r>
    </w:p>
    <w:p w14:paraId="42A108A5" w14:textId="77777777" w:rsidR="00BB68E1" w:rsidRDefault="00BB68E1">
      <w:pPr>
        <w:rPr>
          <w:rFonts w:ascii="Times New Roman" w:hAnsi="Times New Roman"/>
          <w:sz w:val="20"/>
          <w:szCs w:val="20"/>
        </w:rPr>
      </w:pPr>
    </w:p>
    <w:p w14:paraId="42A108A6"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42A108A7"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 xml:space="preserve">Form </w:t>
      </w:r>
      <w:r>
        <w:rPr>
          <w:rFonts w:ascii="Times New Roman" w:eastAsia="宋体" w:hAnsi="Times New Roman"/>
          <w:b/>
          <w:bCs/>
          <w:sz w:val="20"/>
          <w:szCs w:val="20"/>
        </w:rPr>
        <w:t>10-K</w:t>
      </w:r>
    </w:p>
    <w:p w14:paraId="42A108A8"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For the Fiscal Year Ended January 31, 2020</w:t>
      </w:r>
    </w:p>
    <w:p w14:paraId="42A108A9" w14:textId="77777777" w:rsidR="00BB68E1" w:rsidRDefault="00BB68E1">
      <w:pPr>
        <w:spacing w:line="288" w:lineRule="auto"/>
        <w:jc w:val="center"/>
        <w:rPr>
          <w:rFonts w:ascii="Times New Roman" w:hAnsi="Times New Roman"/>
          <w:sz w:val="20"/>
          <w:szCs w:val="20"/>
        </w:rPr>
      </w:pPr>
    </w:p>
    <w:p w14:paraId="42A108AA" w14:textId="77777777" w:rsidR="00BB68E1" w:rsidRDefault="00BB68E1">
      <w:pPr>
        <w:spacing w:line="288" w:lineRule="auto"/>
        <w:jc w:val="center"/>
        <w:rPr>
          <w:rFonts w:ascii="Times New Roman" w:hAnsi="Times New Roman"/>
          <w:sz w:val="20"/>
          <w:szCs w:val="20"/>
        </w:rPr>
      </w:pPr>
    </w:p>
    <w:p w14:paraId="42A108AB" w14:textId="77777777" w:rsidR="00BB68E1" w:rsidRDefault="00BB68E1">
      <w:pPr>
        <w:spacing w:line="288" w:lineRule="auto"/>
        <w:jc w:val="center"/>
        <w:rPr>
          <w:rFonts w:ascii="Times New Roman" w:hAnsi="Times New Roman"/>
          <w:sz w:val="20"/>
          <w:szCs w:val="20"/>
        </w:rPr>
      </w:pPr>
    </w:p>
    <w:p w14:paraId="42A108AC"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lastRenderedPageBreak/>
        <w:t>Table of Contents</w:t>
      </w:r>
    </w:p>
    <w:tbl>
      <w:tblPr>
        <w:tblW w:w="5000" w:type="pct"/>
        <w:jc w:val="center"/>
        <w:tblCellMar>
          <w:left w:w="0" w:type="dxa"/>
          <w:right w:w="0" w:type="dxa"/>
        </w:tblCellMar>
        <w:tblLook w:val="04A0" w:firstRow="1" w:lastRow="0" w:firstColumn="1" w:lastColumn="0" w:noHBand="0" w:noVBand="1"/>
      </w:tblPr>
      <w:tblGrid>
        <w:gridCol w:w="748"/>
        <w:gridCol w:w="6894"/>
        <w:gridCol w:w="664"/>
      </w:tblGrid>
      <w:tr w:rsidR="00BB68E1" w14:paraId="42A108AE" w14:textId="77777777">
        <w:trPr>
          <w:jc w:val="center"/>
        </w:trPr>
        <w:tc>
          <w:tcPr>
            <w:tcW w:w="0" w:type="auto"/>
            <w:gridSpan w:val="3"/>
            <w:shd w:val="clear" w:color="auto" w:fill="auto"/>
            <w:vAlign w:val="center"/>
          </w:tcPr>
          <w:p w14:paraId="42A108AD" w14:textId="77777777" w:rsidR="00BB68E1" w:rsidRDefault="00BB68E1">
            <w:pPr>
              <w:rPr>
                <w:rFonts w:ascii="Times New Roman" w:hAnsi="Times New Roman"/>
                <w:sz w:val="20"/>
                <w:szCs w:val="20"/>
              </w:rPr>
            </w:pPr>
          </w:p>
        </w:tc>
      </w:tr>
      <w:tr w:rsidR="00BB68E1" w14:paraId="42A108B2" w14:textId="77777777">
        <w:trPr>
          <w:jc w:val="center"/>
        </w:trPr>
        <w:tc>
          <w:tcPr>
            <w:tcW w:w="450" w:type="pct"/>
            <w:shd w:val="clear" w:color="auto" w:fill="auto"/>
            <w:vAlign w:val="center"/>
          </w:tcPr>
          <w:p w14:paraId="42A108AF" w14:textId="77777777" w:rsidR="00BB68E1" w:rsidRDefault="00BB68E1">
            <w:pPr>
              <w:rPr>
                <w:rFonts w:ascii="Times New Roman" w:hAnsi="Times New Roman"/>
                <w:sz w:val="20"/>
                <w:szCs w:val="20"/>
              </w:rPr>
            </w:pPr>
          </w:p>
        </w:tc>
        <w:tc>
          <w:tcPr>
            <w:tcW w:w="4150" w:type="pct"/>
            <w:shd w:val="clear" w:color="auto" w:fill="auto"/>
            <w:vAlign w:val="center"/>
          </w:tcPr>
          <w:p w14:paraId="42A108B0" w14:textId="77777777" w:rsidR="00BB68E1" w:rsidRDefault="00BB68E1">
            <w:pPr>
              <w:rPr>
                <w:rFonts w:ascii="Times New Roman" w:hAnsi="Times New Roman"/>
                <w:sz w:val="20"/>
                <w:szCs w:val="20"/>
              </w:rPr>
            </w:pPr>
          </w:p>
        </w:tc>
        <w:tc>
          <w:tcPr>
            <w:tcW w:w="400" w:type="pct"/>
            <w:shd w:val="clear" w:color="auto" w:fill="auto"/>
            <w:vAlign w:val="center"/>
          </w:tcPr>
          <w:p w14:paraId="42A108B1" w14:textId="77777777" w:rsidR="00BB68E1" w:rsidRDefault="00BB68E1">
            <w:pPr>
              <w:rPr>
                <w:rFonts w:ascii="Times New Roman" w:hAnsi="Times New Roman"/>
                <w:sz w:val="20"/>
                <w:szCs w:val="20"/>
              </w:rPr>
            </w:pPr>
          </w:p>
        </w:tc>
      </w:tr>
      <w:tr w:rsidR="00BB68E1" w14:paraId="42A108B6" w14:textId="77777777">
        <w:trPr>
          <w:jc w:val="center"/>
        </w:trPr>
        <w:tc>
          <w:tcPr>
            <w:tcW w:w="0" w:type="auto"/>
            <w:shd w:val="clear" w:color="auto" w:fill="auto"/>
            <w:tcMar>
              <w:top w:w="40" w:type="dxa"/>
              <w:left w:w="40" w:type="dxa"/>
              <w:bottom w:w="40" w:type="dxa"/>
              <w:right w:w="40" w:type="dxa"/>
            </w:tcMar>
            <w:vAlign w:val="bottom"/>
          </w:tcPr>
          <w:p w14:paraId="42A108B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08B5" w14:textId="77777777" w:rsidR="00BB68E1" w:rsidRDefault="005D2D5E">
            <w:pPr>
              <w:jc w:val="center"/>
              <w:textAlignment w:val="bottom"/>
              <w:rPr>
                <w:rFonts w:ascii="Times New Roman" w:hAnsi="Times New Roman"/>
                <w:sz w:val="18"/>
                <w:szCs w:val="18"/>
              </w:rPr>
            </w:pPr>
            <w:r>
              <w:rPr>
                <w:rFonts w:ascii="Times New Roman" w:eastAsia="宋体" w:hAnsi="Times New Roman"/>
                <w:b/>
                <w:bCs/>
                <w:sz w:val="18"/>
                <w:szCs w:val="18"/>
              </w:rPr>
              <w:t>Page</w:t>
            </w:r>
          </w:p>
        </w:tc>
      </w:tr>
      <w:tr w:rsidR="00BB68E1" w14:paraId="42A108BA" w14:textId="77777777">
        <w:trPr>
          <w:jc w:val="center"/>
        </w:trPr>
        <w:tc>
          <w:tcPr>
            <w:tcW w:w="0" w:type="auto"/>
            <w:shd w:val="clear" w:color="auto" w:fill="auto"/>
            <w:tcMar>
              <w:top w:w="40" w:type="dxa"/>
              <w:left w:w="40" w:type="dxa"/>
              <w:bottom w:w="40" w:type="dxa"/>
              <w:right w:w="40" w:type="dxa"/>
            </w:tcMar>
            <w:vAlign w:val="bottom"/>
          </w:tcPr>
          <w:p w14:paraId="42A108B7" w14:textId="77777777" w:rsidR="00BB68E1" w:rsidRDefault="005D2D5E">
            <w:pPr>
              <w:textAlignment w:val="bottom"/>
              <w:rPr>
                <w:rFonts w:ascii="Times New Roman" w:hAnsi="Times New Roman"/>
                <w:sz w:val="18"/>
                <w:szCs w:val="18"/>
              </w:rPr>
            </w:pPr>
            <w:hyperlink r:id="rId5" w:anchor="s5DA07C8FDBC95C0B9E6D14DFCA6DE94C" w:history="1">
              <w:r>
                <w:rPr>
                  <w:rStyle w:val="a5"/>
                  <w:rFonts w:ascii="Times New Roman" w:eastAsia="宋体" w:hAnsi="Times New Roman"/>
                  <w:sz w:val="18"/>
                  <w:szCs w:val="18"/>
                </w:rPr>
                <w:t>Part I</w:t>
              </w:r>
            </w:hyperlink>
          </w:p>
        </w:tc>
        <w:tc>
          <w:tcPr>
            <w:tcW w:w="0" w:type="auto"/>
            <w:shd w:val="clear" w:color="auto" w:fill="auto"/>
            <w:tcMar>
              <w:top w:w="40" w:type="dxa"/>
              <w:left w:w="40" w:type="dxa"/>
              <w:bottom w:w="40" w:type="dxa"/>
              <w:right w:w="40" w:type="dxa"/>
            </w:tcMar>
            <w:vAlign w:val="bottom"/>
          </w:tcPr>
          <w:p w14:paraId="42A108B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B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8BE" w14:textId="77777777">
        <w:trPr>
          <w:jc w:val="center"/>
        </w:trPr>
        <w:tc>
          <w:tcPr>
            <w:tcW w:w="0" w:type="auto"/>
            <w:shd w:val="clear" w:color="auto" w:fill="auto"/>
            <w:tcMar>
              <w:top w:w="40" w:type="dxa"/>
              <w:left w:w="40" w:type="dxa"/>
              <w:bottom w:w="40" w:type="dxa"/>
              <w:right w:w="40" w:type="dxa"/>
            </w:tcMar>
            <w:vAlign w:val="bottom"/>
          </w:tcPr>
          <w:p w14:paraId="42A108BB" w14:textId="77777777" w:rsidR="00BB68E1" w:rsidRDefault="005D2D5E">
            <w:pPr>
              <w:textAlignment w:val="bottom"/>
              <w:rPr>
                <w:rFonts w:ascii="Times New Roman" w:hAnsi="Times New Roman"/>
                <w:sz w:val="18"/>
                <w:szCs w:val="18"/>
              </w:rPr>
            </w:pPr>
            <w:hyperlink r:id="rId6" w:anchor="s56BB582E1F7151349909909831A40BD4" w:history="1">
              <w:r>
                <w:rPr>
                  <w:rStyle w:val="a5"/>
                  <w:rFonts w:ascii="Times New Roman" w:eastAsia="宋体" w:hAnsi="Times New Roman"/>
                  <w:sz w:val="18"/>
                  <w:szCs w:val="18"/>
                </w:rPr>
                <w:t>Item 1</w:t>
              </w:r>
            </w:hyperlink>
          </w:p>
        </w:tc>
        <w:tc>
          <w:tcPr>
            <w:tcW w:w="0" w:type="auto"/>
            <w:shd w:val="clear" w:color="auto" w:fill="auto"/>
            <w:tcMar>
              <w:top w:w="40" w:type="dxa"/>
              <w:left w:w="40" w:type="dxa"/>
              <w:bottom w:w="40" w:type="dxa"/>
              <w:right w:w="40" w:type="dxa"/>
            </w:tcMar>
            <w:vAlign w:val="bottom"/>
          </w:tcPr>
          <w:p w14:paraId="42A108BC" w14:textId="77777777" w:rsidR="00BB68E1" w:rsidRDefault="005D2D5E">
            <w:pPr>
              <w:textAlignment w:val="bottom"/>
              <w:rPr>
                <w:rFonts w:ascii="Times New Roman" w:hAnsi="Times New Roman"/>
                <w:sz w:val="18"/>
                <w:szCs w:val="18"/>
              </w:rPr>
            </w:pPr>
            <w:hyperlink r:id="rId7" w:anchor="s56BB582E1F7151349909909831A40BD4" w:history="1">
              <w:r>
                <w:rPr>
                  <w:rStyle w:val="a5"/>
                  <w:rFonts w:ascii="Times New Roman" w:eastAsia="宋体" w:hAnsi="Times New Roman"/>
                  <w:sz w:val="18"/>
                  <w:szCs w:val="18"/>
                </w:rPr>
                <w:t>Business</w:t>
              </w:r>
            </w:hyperlink>
          </w:p>
        </w:tc>
        <w:tc>
          <w:tcPr>
            <w:tcW w:w="0" w:type="auto"/>
            <w:shd w:val="clear" w:color="auto" w:fill="auto"/>
            <w:tcMar>
              <w:top w:w="40" w:type="dxa"/>
              <w:left w:w="40" w:type="dxa"/>
              <w:bottom w:w="40" w:type="dxa"/>
              <w:right w:w="40" w:type="dxa"/>
            </w:tcMar>
            <w:vAlign w:val="bottom"/>
          </w:tcPr>
          <w:p w14:paraId="42A108BD" w14:textId="77777777" w:rsidR="00BB68E1" w:rsidRDefault="005D2D5E">
            <w:pPr>
              <w:jc w:val="center"/>
              <w:textAlignment w:val="bottom"/>
              <w:rPr>
                <w:rFonts w:ascii="Times New Roman" w:hAnsi="Times New Roman"/>
                <w:sz w:val="18"/>
                <w:szCs w:val="18"/>
              </w:rPr>
            </w:pPr>
            <w:hyperlink r:id="rId8" w:anchor="s56BB582E1F7151349909909831A40BD4" w:history="1">
              <w:r>
                <w:rPr>
                  <w:rStyle w:val="a5"/>
                  <w:rFonts w:ascii="Times New Roman" w:eastAsia="宋体" w:hAnsi="Times New Roman"/>
                  <w:sz w:val="18"/>
                  <w:szCs w:val="18"/>
                </w:rPr>
                <w:t>7</w:t>
              </w:r>
            </w:hyperlink>
          </w:p>
        </w:tc>
      </w:tr>
      <w:tr w:rsidR="00BB68E1" w14:paraId="42A108C2" w14:textId="77777777">
        <w:trPr>
          <w:jc w:val="center"/>
        </w:trPr>
        <w:tc>
          <w:tcPr>
            <w:tcW w:w="0" w:type="auto"/>
            <w:shd w:val="clear" w:color="auto" w:fill="auto"/>
            <w:tcMar>
              <w:top w:w="40" w:type="dxa"/>
              <w:left w:w="40" w:type="dxa"/>
              <w:bottom w:w="40" w:type="dxa"/>
              <w:right w:w="40" w:type="dxa"/>
            </w:tcMar>
            <w:vAlign w:val="bottom"/>
          </w:tcPr>
          <w:p w14:paraId="42A108BF" w14:textId="77777777" w:rsidR="00BB68E1" w:rsidRDefault="005D2D5E">
            <w:pPr>
              <w:textAlignment w:val="bottom"/>
              <w:rPr>
                <w:rFonts w:ascii="Times New Roman" w:hAnsi="Times New Roman"/>
                <w:sz w:val="18"/>
                <w:szCs w:val="18"/>
              </w:rPr>
            </w:pPr>
            <w:hyperlink r:id="rId9" w:anchor="s7B5987C7074851A38C2BDBF2DED3E8FF" w:history="1">
              <w:r>
                <w:rPr>
                  <w:rStyle w:val="a5"/>
                  <w:rFonts w:ascii="Times New Roman" w:eastAsia="宋体" w:hAnsi="Times New Roman"/>
                  <w:sz w:val="18"/>
                  <w:szCs w:val="18"/>
                </w:rPr>
                <w:t>Item 1A</w:t>
              </w:r>
            </w:hyperlink>
          </w:p>
        </w:tc>
        <w:tc>
          <w:tcPr>
            <w:tcW w:w="0" w:type="auto"/>
            <w:shd w:val="clear" w:color="auto" w:fill="auto"/>
            <w:tcMar>
              <w:top w:w="40" w:type="dxa"/>
              <w:left w:w="40" w:type="dxa"/>
              <w:bottom w:w="40" w:type="dxa"/>
              <w:right w:w="40" w:type="dxa"/>
            </w:tcMar>
            <w:vAlign w:val="bottom"/>
          </w:tcPr>
          <w:p w14:paraId="42A108C0" w14:textId="77777777" w:rsidR="00BB68E1" w:rsidRDefault="005D2D5E">
            <w:pPr>
              <w:textAlignment w:val="bottom"/>
              <w:rPr>
                <w:rFonts w:ascii="Times New Roman" w:hAnsi="Times New Roman"/>
                <w:sz w:val="18"/>
                <w:szCs w:val="18"/>
              </w:rPr>
            </w:pPr>
            <w:hyperlink r:id="rId10" w:anchor="s7B5987C7074851A38C2BDBF2DED3E8FF" w:history="1">
              <w:r>
                <w:rPr>
                  <w:rStyle w:val="a5"/>
                  <w:rFonts w:ascii="Times New Roman" w:eastAsia="宋体" w:hAnsi="Times New Roman"/>
                  <w:sz w:val="18"/>
                  <w:szCs w:val="18"/>
                </w:rPr>
                <w:t>Risk Factors</w:t>
              </w:r>
            </w:hyperlink>
          </w:p>
        </w:tc>
        <w:tc>
          <w:tcPr>
            <w:tcW w:w="0" w:type="auto"/>
            <w:shd w:val="clear" w:color="auto" w:fill="auto"/>
            <w:tcMar>
              <w:top w:w="40" w:type="dxa"/>
              <w:left w:w="40" w:type="dxa"/>
              <w:bottom w:w="40" w:type="dxa"/>
              <w:right w:w="40" w:type="dxa"/>
            </w:tcMar>
            <w:vAlign w:val="bottom"/>
          </w:tcPr>
          <w:p w14:paraId="42A108C1" w14:textId="77777777" w:rsidR="00BB68E1" w:rsidRDefault="005D2D5E">
            <w:pPr>
              <w:jc w:val="center"/>
              <w:textAlignment w:val="bottom"/>
              <w:rPr>
                <w:rFonts w:ascii="Times New Roman" w:hAnsi="Times New Roman"/>
                <w:sz w:val="18"/>
                <w:szCs w:val="18"/>
              </w:rPr>
            </w:pPr>
            <w:hyperlink r:id="rId11" w:anchor="s7B5987C7074851A38C2BDBF2DED3E8FF" w:history="1">
              <w:r>
                <w:rPr>
                  <w:rStyle w:val="a5"/>
                  <w:rFonts w:ascii="Times New Roman" w:eastAsia="宋体" w:hAnsi="Times New Roman"/>
                  <w:sz w:val="18"/>
                  <w:szCs w:val="18"/>
                </w:rPr>
                <w:t>14</w:t>
              </w:r>
            </w:hyperlink>
          </w:p>
        </w:tc>
      </w:tr>
      <w:tr w:rsidR="00BB68E1" w14:paraId="42A108C6" w14:textId="77777777">
        <w:trPr>
          <w:jc w:val="center"/>
        </w:trPr>
        <w:tc>
          <w:tcPr>
            <w:tcW w:w="0" w:type="auto"/>
            <w:shd w:val="clear" w:color="auto" w:fill="auto"/>
            <w:tcMar>
              <w:top w:w="40" w:type="dxa"/>
              <w:left w:w="40" w:type="dxa"/>
              <w:bottom w:w="40" w:type="dxa"/>
              <w:right w:w="40" w:type="dxa"/>
            </w:tcMar>
            <w:vAlign w:val="bottom"/>
          </w:tcPr>
          <w:p w14:paraId="42A108C3" w14:textId="77777777" w:rsidR="00BB68E1" w:rsidRDefault="005D2D5E">
            <w:pPr>
              <w:textAlignment w:val="bottom"/>
              <w:rPr>
                <w:rFonts w:ascii="Times New Roman" w:hAnsi="Times New Roman"/>
                <w:sz w:val="18"/>
                <w:szCs w:val="18"/>
              </w:rPr>
            </w:pPr>
            <w:hyperlink r:id="rId12" w:anchor="s6B2EC26A3CF15E80834DC3DA98AB17AE" w:history="1">
              <w:r>
                <w:rPr>
                  <w:rStyle w:val="a5"/>
                  <w:rFonts w:ascii="Times New Roman" w:eastAsia="宋体" w:hAnsi="Times New Roman"/>
                  <w:sz w:val="18"/>
                  <w:szCs w:val="18"/>
                </w:rPr>
                <w:t>Item 1B</w:t>
              </w:r>
            </w:hyperlink>
          </w:p>
        </w:tc>
        <w:tc>
          <w:tcPr>
            <w:tcW w:w="0" w:type="auto"/>
            <w:shd w:val="clear" w:color="auto" w:fill="auto"/>
            <w:tcMar>
              <w:top w:w="40" w:type="dxa"/>
              <w:left w:w="40" w:type="dxa"/>
              <w:bottom w:w="40" w:type="dxa"/>
              <w:right w:w="40" w:type="dxa"/>
            </w:tcMar>
            <w:vAlign w:val="bottom"/>
          </w:tcPr>
          <w:p w14:paraId="42A108C4" w14:textId="77777777" w:rsidR="00BB68E1" w:rsidRDefault="005D2D5E">
            <w:pPr>
              <w:textAlignment w:val="bottom"/>
              <w:rPr>
                <w:rFonts w:ascii="Times New Roman" w:hAnsi="Times New Roman"/>
                <w:sz w:val="18"/>
                <w:szCs w:val="18"/>
              </w:rPr>
            </w:pPr>
            <w:hyperlink r:id="rId13" w:anchor="s6B2EC26A3CF15E80834DC3DA98AB17AE" w:history="1">
              <w:r>
                <w:rPr>
                  <w:rStyle w:val="a5"/>
                  <w:rFonts w:ascii="Times New Roman" w:eastAsia="宋体" w:hAnsi="Times New Roman"/>
                  <w:sz w:val="18"/>
                  <w:szCs w:val="18"/>
                </w:rPr>
                <w:t>Unresolved Staff Comments</w:t>
              </w:r>
            </w:hyperlink>
          </w:p>
        </w:tc>
        <w:tc>
          <w:tcPr>
            <w:tcW w:w="0" w:type="auto"/>
            <w:shd w:val="clear" w:color="auto" w:fill="auto"/>
            <w:tcMar>
              <w:top w:w="40" w:type="dxa"/>
              <w:left w:w="40" w:type="dxa"/>
              <w:bottom w:w="40" w:type="dxa"/>
              <w:right w:w="40" w:type="dxa"/>
            </w:tcMar>
            <w:vAlign w:val="bottom"/>
          </w:tcPr>
          <w:p w14:paraId="42A108C5" w14:textId="77777777" w:rsidR="00BB68E1" w:rsidRDefault="005D2D5E">
            <w:pPr>
              <w:jc w:val="center"/>
              <w:textAlignment w:val="bottom"/>
              <w:rPr>
                <w:rFonts w:ascii="Times New Roman" w:hAnsi="Times New Roman"/>
                <w:sz w:val="18"/>
                <w:szCs w:val="18"/>
              </w:rPr>
            </w:pPr>
            <w:hyperlink r:id="rId14" w:anchor="s6B2EC26A3CF15E80834DC3DA98AB17AE" w:history="1">
              <w:r>
                <w:rPr>
                  <w:rStyle w:val="a5"/>
                  <w:rFonts w:ascii="Times New Roman" w:eastAsia="宋体" w:hAnsi="Times New Roman"/>
                  <w:sz w:val="18"/>
                  <w:szCs w:val="18"/>
                </w:rPr>
                <w:t>23</w:t>
              </w:r>
            </w:hyperlink>
          </w:p>
        </w:tc>
      </w:tr>
      <w:tr w:rsidR="00BB68E1" w14:paraId="42A108CA" w14:textId="77777777">
        <w:trPr>
          <w:jc w:val="center"/>
        </w:trPr>
        <w:tc>
          <w:tcPr>
            <w:tcW w:w="0" w:type="auto"/>
            <w:shd w:val="clear" w:color="auto" w:fill="auto"/>
            <w:tcMar>
              <w:top w:w="40" w:type="dxa"/>
              <w:left w:w="40" w:type="dxa"/>
              <w:bottom w:w="40" w:type="dxa"/>
              <w:right w:w="40" w:type="dxa"/>
            </w:tcMar>
            <w:vAlign w:val="bottom"/>
          </w:tcPr>
          <w:p w14:paraId="42A108C7" w14:textId="77777777" w:rsidR="00BB68E1" w:rsidRDefault="005D2D5E">
            <w:pPr>
              <w:textAlignment w:val="bottom"/>
              <w:rPr>
                <w:rFonts w:ascii="Times New Roman" w:hAnsi="Times New Roman"/>
                <w:sz w:val="18"/>
                <w:szCs w:val="18"/>
              </w:rPr>
            </w:pPr>
            <w:hyperlink r:id="rId15" w:anchor="s2E30D915F04B55A8A762E8E430162354" w:history="1">
              <w:r>
                <w:rPr>
                  <w:rStyle w:val="a5"/>
                  <w:rFonts w:ascii="Times New Roman" w:eastAsia="宋体" w:hAnsi="Times New Roman"/>
                  <w:sz w:val="18"/>
                  <w:szCs w:val="18"/>
                </w:rPr>
                <w:t xml:space="preserve">Item 2 </w:t>
              </w:r>
            </w:hyperlink>
          </w:p>
        </w:tc>
        <w:tc>
          <w:tcPr>
            <w:tcW w:w="0" w:type="auto"/>
            <w:shd w:val="clear" w:color="auto" w:fill="auto"/>
            <w:tcMar>
              <w:top w:w="40" w:type="dxa"/>
              <w:left w:w="40" w:type="dxa"/>
              <w:bottom w:w="40" w:type="dxa"/>
              <w:right w:w="40" w:type="dxa"/>
            </w:tcMar>
            <w:vAlign w:val="bottom"/>
          </w:tcPr>
          <w:p w14:paraId="42A108C8" w14:textId="77777777" w:rsidR="00BB68E1" w:rsidRDefault="005D2D5E">
            <w:pPr>
              <w:textAlignment w:val="bottom"/>
              <w:rPr>
                <w:rFonts w:ascii="Times New Roman" w:hAnsi="Times New Roman"/>
                <w:sz w:val="18"/>
                <w:szCs w:val="18"/>
              </w:rPr>
            </w:pPr>
            <w:hyperlink r:id="rId16" w:anchor="s2E30D915F04B55A8A762E8E430162354" w:history="1">
              <w:r>
                <w:rPr>
                  <w:rStyle w:val="a5"/>
                  <w:rFonts w:ascii="Times New Roman" w:eastAsia="宋体" w:hAnsi="Times New Roman"/>
                  <w:sz w:val="18"/>
                  <w:szCs w:val="18"/>
                </w:rPr>
                <w:t>Properties</w:t>
              </w:r>
            </w:hyperlink>
          </w:p>
        </w:tc>
        <w:tc>
          <w:tcPr>
            <w:tcW w:w="0" w:type="auto"/>
            <w:shd w:val="clear" w:color="auto" w:fill="auto"/>
            <w:tcMar>
              <w:top w:w="40" w:type="dxa"/>
              <w:left w:w="40" w:type="dxa"/>
              <w:bottom w:w="40" w:type="dxa"/>
              <w:right w:w="40" w:type="dxa"/>
            </w:tcMar>
            <w:vAlign w:val="bottom"/>
          </w:tcPr>
          <w:p w14:paraId="42A108C9" w14:textId="77777777" w:rsidR="00BB68E1" w:rsidRDefault="005D2D5E">
            <w:pPr>
              <w:jc w:val="center"/>
              <w:textAlignment w:val="bottom"/>
              <w:rPr>
                <w:rFonts w:ascii="Times New Roman" w:hAnsi="Times New Roman"/>
                <w:sz w:val="18"/>
                <w:szCs w:val="18"/>
              </w:rPr>
            </w:pPr>
            <w:hyperlink r:id="rId17" w:anchor="s2E30D915F04B55A8A762E8E430162354" w:history="1">
              <w:r>
                <w:rPr>
                  <w:rStyle w:val="a5"/>
                  <w:rFonts w:ascii="Times New Roman" w:eastAsia="宋体" w:hAnsi="Times New Roman"/>
                  <w:sz w:val="18"/>
                  <w:szCs w:val="18"/>
                </w:rPr>
                <w:t>24</w:t>
              </w:r>
            </w:hyperlink>
          </w:p>
        </w:tc>
      </w:tr>
      <w:tr w:rsidR="00BB68E1" w14:paraId="42A108CE" w14:textId="77777777">
        <w:trPr>
          <w:jc w:val="center"/>
        </w:trPr>
        <w:tc>
          <w:tcPr>
            <w:tcW w:w="0" w:type="auto"/>
            <w:shd w:val="clear" w:color="auto" w:fill="auto"/>
            <w:tcMar>
              <w:top w:w="40" w:type="dxa"/>
              <w:left w:w="40" w:type="dxa"/>
              <w:bottom w:w="40" w:type="dxa"/>
              <w:right w:w="40" w:type="dxa"/>
            </w:tcMar>
            <w:vAlign w:val="bottom"/>
          </w:tcPr>
          <w:p w14:paraId="42A108CB" w14:textId="77777777" w:rsidR="00BB68E1" w:rsidRDefault="005D2D5E">
            <w:pPr>
              <w:textAlignment w:val="bottom"/>
              <w:rPr>
                <w:rFonts w:ascii="Times New Roman" w:hAnsi="Times New Roman"/>
                <w:sz w:val="18"/>
                <w:szCs w:val="18"/>
              </w:rPr>
            </w:pPr>
            <w:hyperlink r:id="rId18" w:anchor="s460CECD1575A533B86227C671AC5B38B" w:history="1">
              <w:r>
                <w:rPr>
                  <w:rStyle w:val="a5"/>
                  <w:rFonts w:ascii="Times New Roman" w:eastAsia="宋体" w:hAnsi="Times New Roman"/>
                  <w:sz w:val="18"/>
                  <w:szCs w:val="18"/>
                </w:rPr>
                <w:t>Item 3</w:t>
              </w:r>
            </w:hyperlink>
          </w:p>
        </w:tc>
        <w:tc>
          <w:tcPr>
            <w:tcW w:w="0" w:type="auto"/>
            <w:shd w:val="clear" w:color="auto" w:fill="auto"/>
            <w:tcMar>
              <w:top w:w="40" w:type="dxa"/>
              <w:left w:w="40" w:type="dxa"/>
              <w:bottom w:w="40" w:type="dxa"/>
              <w:right w:w="40" w:type="dxa"/>
            </w:tcMar>
            <w:vAlign w:val="bottom"/>
          </w:tcPr>
          <w:p w14:paraId="42A108CC" w14:textId="77777777" w:rsidR="00BB68E1" w:rsidRDefault="005D2D5E">
            <w:pPr>
              <w:textAlignment w:val="bottom"/>
              <w:rPr>
                <w:rFonts w:ascii="Times New Roman" w:hAnsi="Times New Roman"/>
                <w:sz w:val="18"/>
                <w:szCs w:val="18"/>
              </w:rPr>
            </w:pPr>
            <w:hyperlink r:id="rId19" w:anchor="s460CECD1575A533B86227C671AC5B38B" w:history="1">
              <w:r>
                <w:rPr>
                  <w:rStyle w:val="a5"/>
                  <w:rFonts w:ascii="Times New Roman" w:eastAsia="宋体" w:hAnsi="Times New Roman"/>
                  <w:sz w:val="18"/>
                  <w:szCs w:val="18"/>
                </w:rPr>
                <w:t>Legal Proceedings</w:t>
              </w:r>
            </w:hyperlink>
          </w:p>
        </w:tc>
        <w:tc>
          <w:tcPr>
            <w:tcW w:w="0" w:type="auto"/>
            <w:shd w:val="clear" w:color="auto" w:fill="auto"/>
            <w:tcMar>
              <w:top w:w="40" w:type="dxa"/>
              <w:left w:w="40" w:type="dxa"/>
              <w:bottom w:w="40" w:type="dxa"/>
              <w:right w:w="40" w:type="dxa"/>
            </w:tcMar>
            <w:vAlign w:val="bottom"/>
          </w:tcPr>
          <w:p w14:paraId="42A108CD" w14:textId="77777777" w:rsidR="00BB68E1" w:rsidRDefault="005D2D5E">
            <w:pPr>
              <w:jc w:val="center"/>
              <w:textAlignment w:val="bottom"/>
              <w:rPr>
                <w:rFonts w:ascii="Times New Roman" w:hAnsi="Times New Roman"/>
                <w:sz w:val="18"/>
                <w:szCs w:val="18"/>
              </w:rPr>
            </w:pPr>
            <w:hyperlink r:id="rId20" w:anchor="s460CECD1575A533B86227C671AC5B38B" w:history="1">
              <w:r>
                <w:rPr>
                  <w:rStyle w:val="a5"/>
                  <w:rFonts w:ascii="Times New Roman" w:eastAsia="宋体" w:hAnsi="Times New Roman"/>
                  <w:sz w:val="18"/>
                  <w:szCs w:val="18"/>
                </w:rPr>
                <w:t>26</w:t>
              </w:r>
            </w:hyperlink>
          </w:p>
        </w:tc>
      </w:tr>
      <w:tr w:rsidR="00BB68E1" w14:paraId="42A108D2" w14:textId="77777777">
        <w:trPr>
          <w:jc w:val="center"/>
        </w:trPr>
        <w:tc>
          <w:tcPr>
            <w:tcW w:w="0" w:type="auto"/>
            <w:shd w:val="clear" w:color="auto" w:fill="auto"/>
            <w:tcMar>
              <w:top w:w="40" w:type="dxa"/>
              <w:left w:w="40" w:type="dxa"/>
              <w:bottom w:w="40" w:type="dxa"/>
              <w:right w:w="40" w:type="dxa"/>
            </w:tcMar>
            <w:vAlign w:val="bottom"/>
          </w:tcPr>
          <w:p w14:paraId="42A108CF" w14:textId="77777777" w:rsidR="00BB68E1" w:rsidRDefault="005D2D5E">
            <w:pPr>
              <w:textAlignment w:val="bottom"/>
              <w:rPr>
                <w:rFonts w:ascii="Times New Roman" w:hAnsi="Times New Roman"/>
                <w:sz w:val="18"/>
                <w:szCs w:val="18"/>
              </w:rPr>
            </w:pPr>
            <w:hyperlink r:id="rId21" w:anchor="sDF3A8291DC415A559500EB6F8FB2F71C" w:history="1">
              <w:r>
                <w:rPr>
                  <w:rStyle w:val="a5"/>
                  <w:rFonts w:ascii="Times New Roman" w:eastAsia="宋体" w:hAnsi="Times New Roman"/>
                  <w:sz w:val="18"/>
                  <w:szCs w:val="18"/>
                </w:rPr>
                <w:t>Item 4</w:t>
              </w:r>
            </w:hyperlink>
          </w:p>
        </w:tc>
        <w:tc>
          <w:tcPr>
            <w:tcW w:w="0" w:type="auto"/>
            <w:shd w:val="clear" w:color="auto" w:fill="auto"/>
            <w:tcMar>
              <w:top w:w="40" w:type="dxa"/>
              <w:left w:w="40" w:type="dxa"/>
              <w:bottom w:w="40" w:type="dxa"/>
              <w:right w:w="40" w:type="dxa"/>
            </w:tcMar>
            <w:vAlign w:val="bottom"/>
          </w:tcPr>
          <w:p w14:paraId="42A108D0" w14:textId="77777777" w:rsidR="00BB68E1" w:rsidRDefault="005D2D5E">
            <w:pPr>
              <w:textAlignment w:val="bottom"/>
              <w:rPr>
                <w:rFonts w:ascii="Times New Roman" w:hAnsi="Times New Roman"/>
                <w:sz w:val="18"/>
                <w:szCs w:val="18"/>
              </w:rPr>
            </w:pPr>
            <w:hyperlink r:id="rId22" w:anchor="sDF3A8291DC415A559500EB6F8FB2F71C" w:history="1">
              <w:r>
                <w:rPr>
                  <w:rStyle w:val="a5"/>
                  <w:rFonts w:ascii="Times New Roman" w:eastAsia="宋体" w:hAnsi="Times New Roman"/>
                  <w:sz w:val="18"/>
                  <w:szCs w:val="18"/>
                </w:rPr>
                <w:t>Mine Safety Disclosures</w:t>
              </w:r>
            </w:hyperlink>
          </w:p>
        </w:tc>
        <w:tc>
          <w:tcPr>
            <w:tcW w:w="0" w:type="auto"/>
            <w:shd w:val="clear" w:color="auto" w:fill="auto"/>
            <w:tcMar>
              <w:top w:w="40" w:type="dxa"/>
              <w:left w:w="40" w:type="dxa"/>
              <w:bottom w:w="40" w:type="dxa"/>
              <w:right w:w="40" w:type="dxa"/>
            </w:tcMar>
            <w:vAlign w:val="bottom"/>
          </w:tcPr>
          <w:p w14:paraId="42A108D1" w14:textId="77777777" w:rsidR="00BB68E1" w:rsidRDefault="005D2D5E">
            <w:pPr>
              <w:jc w:val="center"/>
              <w:textAlignment w:val="bottom"/>
              <w:rPr>
                <w:rFonts w:ascii="Times New Roman" w:hAnsi="Times New Roman"/>
                <w:sz w:val="18"/>
                <w:szCs w:val="18"/>
              </w:rPr>
            </w:pPr>
            <w:hyperlink r:id="rId23" w:anchor="sDF3A8291DC415A559500EB6F8FB2F71C" w:history="1">
              <w:r>
                <w:rPr>
                  <w:rStyle w:val="a5"/>
                  <w:rFonts w:ascii="Times New Roman" w:eastAsia="宋体" w:hAnsi="Times New Roman"/>
                  <w:sz w:val="18"/>
                  <w:szCs w:val="18"/>
                </w:rPr>
                <w:t>27</w:t>
              </w:r>
            </w:hyperlink>
          </w:p>
        </w:tc>
      </w:tr>
      <w:tr w:rsidR="00BB68E1" w14:paraId="42A108D6" w14:textId="77777777">
        <w:trPr>
          <w:jc w:val="center"/>
        </w:trPr>
        <w:tc>
          <w:tcPr>
            <w:tcW w:w="0" w:type="auto"/>
            <w:shd w:val="clear" w:color="auto" w:fill="auto"/>
            <w:tcMar>
              <w:top w:w="40" w:type="dxa"/>
              <w:left w:w="40" w:type="dxa"/>
              <w:bottom w:w="40" w:type="dxa"/>
              <w:right w:w="40" w:type="dxa"/>
            </w:tcMar>
            <w:vAlign w:val="bottom"/>
          </w:tcPr>
          <w:p w14:paraId="42A108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D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D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8DA" w14:textId="77777777">
        <w:trPr>
          <w:jc w:val="center"/>
        </w:trPr>
        <w:tc>
          <w:tcPr>
            <w:tcW w:w="0" w:type="auto"/>
            <w:shd w:val="clear" w:color="auto" w:fill="auto"/>
            <w:tcMar>
              <w:top w:w="40" w:type="dxa"/>
              <w:left w:w="40" w:type="dxa"/>
              <w:bottom w:w="40" w:type="dxa"/>
              <w:right w:w="40" w:type="dxa"/>
            </w:tcMar>
            <w:vAlign w:val="bottom"/>
          </w:tcPr>
          <w:p w14:paraId="42A108D7" w14:textId="77777777" w:rsidR="00BB68E1" w:rsidRDefault="005D2D5E">
            <w:pPr>
              <w:textAlignment w:val="bottom"/>
              <w:rPr>
                <w:rFonts w:ascii="Times New Roman" w:hAnsi="Times New Roman"/>
                <w:sz w:val="18"/>
                <w:szCs w:val="18"/>
              </w:rPr>
            </w:pPr>
            <w:hyperlink r:id="rId24" w:anchor="s7EDB0CB64F875944BE9F99F2F47BC76C" w:history="1">
              <w:r>
                <w:rPr>
                  <w:rStyle w:val="a5"/>
                  <w:rFonts w:ascii="Times New Roman" w:eastAsia="宋体" w:hAnsi="Times New Roman"/>
                  <w:sz w:val="18"/>
                  <w:szCs w:val="18"/>
                </w:rPr>
                <w:t>Part II</w:t>
              </w:r>
            </w:hyperlink>
          </w:p>
        </w:tc>
        <w:tc>
          <w:tcPr>
            <w:tcW w:w="0" w:type="auto"/>
            <w:shd w:val="clear" w:color="auto" w:fill="auto"/>
            <w:tcMar>
              <w:top w:w="40" w:type="dxa"/>
              <w:left w:w="40" w:type="dxa"/>
              <w:bottom w:w="40" w:type="dxa"/>
              <w:right w:w="40" w:type="dxa"/>
            </w:tcMar>
            <w:vAlign w:val="bottom"/>
          </w:tcPr>
          <w:p w14:paraId="42A108D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D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8DE" w14:textId="77777777">
        <w:trPr>
          <w:jc w:val="center"/>
        </w:trPr>
        <w:tc>
          <w:tcPr>
            <w:tcW w:w="0" w:type="auto"/>
            <w:shd w:val="clear" w:color="auto" w:fill="auto"/>
            <w:tcMar>
              <w:top w:w="40" w:type="dxa"/>
              <w:left w:w="40" w:type="dxa"/>
              <w:bottom w:w="40" w:type="dxa"/>
              <w:right w:w="40" w:type="dxa"/>
            </w:tcMar>
            <w:vAlign w:val="bottom"/>
          </w:tcPr>
          <w:p w14:paraId="42A108DB" w14:textId="77777777" w:rsidR="00BB68E1" w:rsidRDefault="005D2D5E">
            <w:pPr>
              <w:textAlignment w:val="bottom"/>
              <w:rPr>
                <w:rFonts w:ascii="Times New Roman" w:hAnsi="Times New Roman"/>
                <w:sz w:val="18"/>
                <w:szCs w:val="18"/>
              </w:rPr>
            </w:pPr>
            <w:hyperlink r:id="rId25" w:anchor="s41B715850EF15420844D91B35FB58F96" w:history="1">
              <w:r>
                <w:rPr>
                  <w:rStyle w:val="a5"/>
                  <w:rFonts w:ascii="Times New Roman" w:eastAsia="宋体" w:hAnsi="Times New Roman"/>
                  <w:sz w:val="18"/>
                  <w:szCs w:val="18"/>
                </w:rPr>
                <w:t>Item 5</w:t>
              </w:r>
            </w:hyperlink>
          </w:p>
        </w:tc>
        <w:tc>
          <w:tcPr>
            <w:tcW w:w="0" w:type="auto"/>
            <w:shd w:val="clear" w:color="auto" w:fill="auto"/>
            <w:tcMar>
              <w:top w:w="40" w:type="dxa"/>
              <w:left w:w="40" w:type="dxa"/>
              <w:bottom w:w="40" w:type="dxa"/>
              <w:right w:w="40" w:type="dxa"/>
            </w:tcMar>
            <w:vAlign w:val="bottom"/>
          </w:tcPr>
          <w:p w14:paraId="42A108DC" w14:textId="77777777" w:rsidR="00BB68E1" w:rsidRDefault="005D2D5E">
            <w:pPr>
              <w:textAlignment w:val="bottom"/>
              <w:rPr>
                <w:rFonts w:ascii="Times New Roman" w:hAnsi="Times New Roman"/>
                <w:sz w:val="18"/>
                <w:szCs w:val="18"/>
              </w:rPr>
            </w:pPr>
            <w:hyperlink r:id="rId26" w:anchor="s41B715850EF15420844D91B35FB58F96" w:history="1">
              <w:r>
                <w:rPr>
                  <w:rStyle w:val="a5"/>
                  <w:rFonts w:ascii="Times New Roman" w:eastAsia="宋体" w:hAnsi="Times New Roman"/>
                  <w:sz w:val="18"/>
                  <w:szCs w:val="18"/>
                </w:rPr>
                <w:t xml:space="preserve">Market for Registrant's </w:t>
              </w:r>
              <w:r>
                <w:rPr>
                  <w:rStyle w:val="a5"/>
                  <w:rFonts w:ascii="Times New Roman" w:eastAsia="宋体" w:hAnsi="Times New Roman"/>
                  <w:sz w:val="18"/>
                  <w:szCs w:val="18"/>
                </w:rPr>
                <w:t>Common Equity, Related Stockholder Matters and Issuer Purchases of Equity Securities</w:t>
              </w:r>
            </w:hyperlink>
          </w:p>
        </w:tc>
        <w:tc>
          <w:tcPr>
            <w:tcW w:w="0" w:type="auto"/>
            <w:shd w:val="clear" w:color="auto" w:fill="auto"/>
            <w:tcMar>
              <w:top w:w="40" w:type="dxa"/>
              <w:left w:w="40" w:type="dxa"/>
              <w:bottom w:w="40" w:type="dxa"/>
              <w:right w:w="40" w:type="dxa"/>
            </w:tcMar>
            <w:vAlign w:val="bottom"/>
          </w:tcPr>
          <w:p w14:paraId="42A108DD" w14:textId="77777777" w:rsidR="00BB68E1" w:rsidRDefault="005D2D5E">
            <w:pPr>
              <w:jc w:val="center"/>
              <w:textAlignment w:val="bottom"/>
              <w:rPr>
                <w:rFonts w:ascii="Times New Roman" w:hAnsi="Times New Roman"/>
                <w:sz w:val="18"/>
                <w:szCs w:val="18"/>
              </w:rPr>
            </w:pPr>
            <w:hyperlink r:id="rId27" w:anchor="s41B715850EF15420844D91B35FB58F96" w:history="1">
              <w:r>
                <w:rPr>
                  <w:rStyle w:val="a5"/>
                  <w:rFonts w:ascii="Times New Roman" w:eastAsia="宋体" w:hAnsi="Times New Roman"/>
                  <w:sz w:val="18"/>
                  <w:szCs w:val="18"/>
                </w:rPr>
                <w:t>28</w:t>
              </w:r>
            </w:hyperlink>
          </w:p>
        </w:tc>
      </w:tr>
      <w:tr w:rsidR="00BB68E1" w14:paraId="42A108E2" w14:textId="77777777">
        <w:trPr>
          <w:jc w:val="center"/>
        </w:trPr>
        <w:tc>
          <w:tcPr>
            <w:tcW w:w="0" w:type="auto"/>
            <w:shd w:val="clear" w:color="auto" w:fill="auto"/>
            <w:tcMar>
              <w:top w:w="40" w:type="dxa"/>
              <w:left w:w="40" w:type="dxa"/>
              <w:bottom w:w="40" w:type="dxa"/>
              <w:right w:w="40" w:type="dxa"/>
            </w:tcMar>
            <w:vAlign w:val="bottom"/>
          </w:tcPr>
          <w:p w14:paraId="42A108DF" w14:textId="77777777" w:rsidR="00BB68E1" w:rsidRDefault="005D2D5E">
            <w:pPr>
              <w:textAlignment w:val="bottom"/>
              <w:rPr>
                <w:rFonts w:ascii="Times New Roman" w:hAnsi="Times New Roman"/>
                <w:sz w:val="18"/>
                <w:szCs w:val="18"/>
              </w:rPr>
            </w:pPr>
            <w:hyperlink r:id="rId28" w:anchor="s49C8CDD68877569AA8B8A33E487C708B" w:history="1">
              <w:r>
                <w:rPr>
                  <w:rStyle w:val="a5"/>
                  <w:rFonts w:ascii="Times New Roman" w:eastAsia="宋体" w:hAnsi="Times New Roman"/>
                  <w:sz w:val="18"/>
                  <w:szCs w:val="18"/>
                </w:rPr>
                <w:t>Item 6</w:t>
              </w:r>
            </w:hyperlink>
          </w:p>
        </w:tc>
        <w:tc>
          <w:tcPr>
            <w:tcW w:w="0" w:type="auto"/>
            <w:shd w:val="clear" w:color="auto" w:fill="auto"/>
            <w:tcMar>
              <w:top w:w="40" w:type="dxa"/>
              <w:left w:w="40" w:type="dxa"/>
              <w:bottom w:w="40" w:type="dxa"/>
              <w:right w:w="40" w:type="dxa"/>
            </w:tcMar>
            <w:vAlign w:val="bottom"/>
          </w:tcPr>
          <w:p w14:paraId="42A108E0" w14:textId="77777777" w:rsidR="00BB68E1" w:rsidRDefault="005D2D5E">
            <w:pPr>
              <w:textAlignment w:val="bottom"/>
              <w:rPr>
                <w:rFonts w:ascii="Times New Roman" w:hAnsi="Times New Roman"/>
                <w:sz w:val="18"/>
                <w:szCs w:val="18"/>
              </w:rPr>
            </w:pPr>
            <w:hyperlink r:id="rId29" w:anchor="s49C8CDD68877569AA8B8A33E487C708B" w:history="1">
              <w:r>
                <w:rPr>
                  <w:rStyle w:val="a5"/>
                  <w:rFonts w:ascii="Times New Roman" w:eastAsia="宋体" w:hAnsi="Times New Roman"/>
                  <w:sz w:val="18"/>
                  <w:szCs w:val="18"/>
                </w:rPr>
                <w:t>Selected Financial Data</w:t>
              </w:r>
            </w:hyperlink>
          </w:p>
        </w:tc>
        <w:tc>
          <w:tcPr>
            <w:tcW w:w="0" w:type="auto"/>
            <w:shd w:val="clear" w:color="auto" w:fill="auto"/>
            <w:tcMar>
              <w:top w:w="40" w:type="dxa"/>
              <w:left w:w="40" w:type="dxa"/>
              <w:bottom w:w="40" w:type="dxa"/>
              <w:right w:w="40" w:type="dxa"/>
            </w:tcMar>
            <w:vAlign w:val="bottom"/>
          </w:tcPr>
          <w:p w14:paraId="42A108E1" w14:textId="77777777" w:rsidR="00BB68E1" w:rsidRDefault="005D2D5E">
            <w:pPr>
              <w:jc w:val="center"/>
              <w:textAlignment w:val="bottom"/>
              <w:rPr>
                <w:rFonts w:ascii="Times New Roman" w:hAnsi="Times New Roman"/>
                <w:sz w:val="18"/>
                <w:szCs w:val="18"/>
              </w:rPr>
            </w:pPr>
            <w:hyperlink r:id="rId30" w:anchor="s49C8CDD68877569AA8B8A33E487C708B" w:history="1">
              <w:r>
                <w:rPr>
                  <w:rStyle w:val="a5"/>
                  <w:rFonts w:ascii="Times New Roman" w:eastAsia="宋体" w:hAnsi="Times New Roman"/>
                  <w:sz w:val="18"/>
                  <w:szCs w:val="18"/>
                </w:rPr>
                <w:t>29</w:t>
              </w:r>
            </w:hyperlink>
          </w:p>
        </w:tc>
      </w:tr>
      <w:tr w:rsidR="00BB68E1" w14:paraId="42A108E6" w14:textId="77777777">
        <w:trPr>
          <w:jc w:val="center"/>
        </w:trPr>
        <w:tc>
          <w:tcPr>
            <w:tcW w:w="0" w:type="auto"/>
            <w:shd w:val="clear" w:color="auto" w:fill="auto"/>
            <w:tcMar>
              <w:top w:w="40" w:type="dxa"/>
              <w:left w:w="40" w:type="dxa"/>
              <w:bottom w:w="40" w:type="dxa"/>
              <w:right w:w="40" w:type="dxa"/>
            </w:tcMar>
            <w:vAlign w:val="bottom"/>
          </w:tcPr>
          <w:p w14:paraId="42A108E3" w14:textId="77777777" w:rsidR="00BB68E1" w:rsidRDefault="005D2D5E">
            <w:pPr>
              <w:textAlignment w:val="bottom"/>
              <w:rPr>
                <w:rFonts w:ascii="Times New Roman" w:hAnsi="Times New Roman"/>
                <w:sz w:val="18"/>
                <w:szCs w:val="18"/>
              </w:rPr>
            </w:pPr>
            <w:hyperlink r:id="rId31" w:anchor="s29F7CEDB797D55BBB5306DAAF22E6876" w:history="1">
              <w:r>
                <w:rPr>
                  <w:rStyle w:val="a5"/>
                  <w:rFonts w:ascii="Times New Roman" w:eastAsia="宋体" w:hAnsi="Times New Roman"/>
                  <w:sz w:val="18"/>
                  <w:szCs w:val="18"/>
                </w:rPr>
                <w:t>Item 7</w:t>
              </w:r>
            </w:hyperlink>
          </w:p>
        </w:tc>
        <w:tc>
          <w:tcPr>
            <w:tcW w:w="0" w:type="auto"/>
            <w:shd w:val="clear" w:color="auto" w:fill="auto"/>
            <w:tcMar>
              <w:top w:w="40" w:type="dxa"/>
              <w:left w:w="40" w:type="dxa"/>
              <w:bottom w:w="40" w:type="dxa"/>
              <w:right w:w="40" w:type="dxa"/>
            </w:tcMar>
            <w:vAlign w:val="bottom"/>
          </w:tcPr>
          <w:p w14:paraId="42A108E4" w14:textId="77777777" w:rsidR="00BB68E1" w:rsidRDefault="005D2D5E">
            <w:pPr>
              <w:textAlignment w:val="bottom"/>
              <w:rPr>
                <w:rFonts w:ascii="Times New Roman" w:hAnsi="Times New Roman"/>
                <w:sz w:val="18"/>
                <w:szCs w:val="18"/>
              </w:rPr>
            </w:pPr>
            <w:hyperlink r:id="rId32" w:anchor="s29F7CEDB797D55BBB5306DAAF22E6876" w:history="1">
              <w:r>
                <w:rPr>
                  <w:rStyle w:val="a5"/>
                  <w:rFonts w:ascii="Times New Roman" w:eastAsia="宋体" w:hAnsi="Times New Roman"/>
                  <w:sz w:val="18"/>
                  <w:szCs w:val="18"/>
                </w:rPr>
                <w:t>Management's Discussion and Analysis of Financial Condition and Results of Operations</w:t>
              </w:r>
            </w:hyperlink>
          </w:p>
        </w:tc>
        <w:tc>
          <w:tcPr>
            <w:tcW w:w="0" w:type="auto"/>
            <w:shd w:val="clear" w:color="auto" w:fill="auto"/>
            <w:tcMar>
              <w:top w:w="40" w:type="dxa"/>
              <w:left w:w="40" w:type="dxa"/>
              <w:bottom w:w="40" w:type="dxa"/>
              <w:right w:w="40" w:type="dxa"/>
            </w:tcMar>
            <w:vAlign w:val="bottom"/>
          </w:tcPr>
          <w:p w14:paraId="42A108E5" w14:textId="77777777" w:rsidR="00BB68E1" w:rsidRDefault="005D2D5E">
            <w:pPr>
              <w:jc w:val="center"/>
              <w:textAlignment w:val="bottom"/>
              <w:rPr>
                <w:rFonts w:ascii="Times New Roman" w:hAnsi="Times New Roman"/>
                <w:sz w:val="18"/>
                <w:szCs w:val="18"/>
              </w:rPr>
            </w:pPr>
            <w:hyperlink r:id="rId33" w:anchor="s29F7CEDB797D55BBB5306DAAF22E6876" w:history="1">
              <w:r>
                <w:rPr>
                  <w:rStyle w:val="a5"/>
                  <w:rFonts w:ascii="Times New Roman" w:eastAsia="宋体" w:hAnsi="Times New Roman"/>
                  <w:sz w:val="18"/>
                  <w:szCs w:val="18"/>
                </w:rPr>
                <w:t>30</w:t>
              </w:r>
            </w:hyperlink>
          </w:p>
        </w:tc>
      </w:tr>
      <w:tr w:rsidR="00BB68E1" w14:paraId="42A108EA" w14:textId="77777777">
        <w:trPr>
          <w:jc w:val="center"/>
        </w:trPr>
        <w:tc>
          <w:tcPr>
            <w:tcW w:w="0" w:type="auto"/>
            <w:shd w:val="clear" w:color="auto" w:fill="auto"/>
            <w:tcMar>
              <w:top w:w="40" w:type="dxa"/>
              <w:left w:w="40" w:type="dxa"/>
              <w:bottom w:w="40" w:type="dxa"/>
              <w:right w:w="40" w:type="dxa"/>
            </w:tcMar>
            <w:vAlign w:val="bottom"/>
          </w:tcPr>
          <w:p w14:paraId="42A108E7" w14:textId="77777777" w:rsidR="00BB68E1" w:rsidRDefault="005D2D5E">
            <w:pPr>
              <w:textAlignment w:val="bottom"/>
              <w:rPr>
                <w:rFonts w:ascii="Times New Roman" w:hAnsi="Times New Roman"/>
                <w:sz w:val="18"/>
                <w:szCs w:val="18"/>
              </w:rPr>
            </w:pPr>
            <w:hyperlink r:id="rId34" w:anchor="s82EEA57EB04955839D9525BD6EFA123C" w:history="1">
              <w:r>
                <w:rPr>
                  <w:rStyle w:val="a5"/>
                  <w:rFonts w:ascii="Times New Roman" w:eastAsia="宋体" w:hAnsi="Times New Roman"/>
                  <w:sz w:val="18"/>
                  <w:szCs w:val="18"/>
                </w:rPr>
                <w:t>Item 7A</w:t>
              </w:r>
            </w:hyperlink>
          </w:p>
        </w:tc>
        <w:tc>
          <w:tcPr>
            <w:tcW w:w="0" w:type="auto"/>
            <w:shd w:val="clear" w:color="auto" w:fill="auto"/>
            <w:tcMar>
              <w:top w:w="40" w:type="dxa"/>
              <w:left w:w="40" w:type="dxa"/>
              <w:bottom w:w="40" w:type="dxa"/>
              <w:right w:w="40" w:type="dxa"/>
            </w:tcMar>
            <w:vAlign w:val="bottom"/>
          </w:tcPr>
          <w:p w14:paraId="42A108E8" w14:textId="77777777" w:rsidR="00BB68E1" w:rsidRDefault="005D2D5E">
            <w:pPr>
              <w:textAlignment w:val="bottom"/>
              <w:rPr>
                <w:rFonts w:ascii="Times New Roman" w:hAnsi="Times New Roman"/>
                <w:sz w:val="18"/>
                <w:szCs w:val="18"/>
              </w:rPr>
            </w:pPr>
            <w:hyperlink r:id="rId35" w:anchor="s82EEA57EB04955839D9525BD6EFA123C" w:history="1">
              <w:r>
                <w:rPr>
                  <w:rStyle w:val="a5"/>
                  <w:rFonts w:ascii="Times New Roman" w:eastAsia="宋体" w:hAnsi="Times New Roman"/>
                  <w:sz w:val="18"/>
                  <w:szCs w:val="18"/>
                </w:rPr>
                <w:t>Quantitative and Qualitative Disclosures Abou</w:t>
              </w:r>
              <w:r>
                <w:rPr>
                  <w:rStyle w:val="a5"/>
                  <w:rFonts w:ascii="Times New Roman" w:eastAsia="宋体" w:hAnsi="Times New Roman"/>
                  <w:sz w:val="18"/>
                  <w:szCs w:val="18"/>
                </w:rPr>
                <w:t>t Market Risk</w:t>
              </w:r>
            </w:hyperlink>
          </w:p>
        </w:tc>
        <w:tc>
          <w:tcPr>
            <w:tcW w:w="0" w:type="auto"/>
            <w:shd w:val="clear" w:color="auto" w:fill="auto"/>
            <w:tcMar>
              <w:top w:w="40" w:type="dxa"/>
              <w:left w:w="40" w:type="dxa"/>
              <w:bottom w:w="40" w:type="dxa"/>
              <w:right w:w="40" w:type="dxa"/>
            </w:tcMar>
            <w:vAlign w:val="bottom"/>
          </w:tcPr>
          <w:p w14:paraId="42A108E9" w14:textId="77777777" w:rsidR="00BB68E1" w:rsidRDefault="005D2D5E">
            <w:pPr>
              <w:jc w:val="center"/>
              <w:textAlignment w:val="bottom"/>
              <w:rPr>
                <w:rFonts w:ascii="Times New Roman" w:hAnsi="Times New Roman"/>
                <w:sz w:val="18"/>
                <w:szCs w:val="18"/>
              </w:rPr>
            </w:pPr>
            <w:hyperlink r:id="rId36" w:anchor="s82EEA57EB04955839D9525BD6EFA123C" w:history="1">
              <w:r>
                <w:rPr>
                  <w:rStyle w:val="a5"/>
                  <w:rFonts w:ascii="Times New Roman" w:eastAsia="宋体" w:hAnsi="Times New Roman"/>
                  <w:sz w:val="18"/>
                  <w:szCs w:val="18"/>
                </w:rPr>
                <w:t>44</w:t>
              </w:r>
            </w:hyperlink>
          </w:p>
        </w:tc>
      </w:tr>
      <w:tr w:rsidR="00BB68E1" w14:paraId="42A108EE" w14:textId="77777777">
        <w:trPr>
          <w:jc w:val="center"/>
        </w:trPr>
        <w:tc>
          <w:tcPr>
            <w:tcW w:w="0" w:type="auto"/>
            <w:shd w:val="clear" w:color="auto" w:fill="auto"/>
            <w:tcMar>
              <w:top w:w="40" w:type="dxa"/>
              <w:left w:w="40" w:type="dxa"/>
              <w:bottom w:w="40" w:type="dxa"/>
              <w:right w:w="40" w:type="dxa"/>
            </w:tcMar>
            <w:vAlign w:val="bottom"/>
          </w:tcPr>
          <w:p w14:paraId="42A108EB" w14:textId="77777777" w:rsidR="00BB68E1" w:rsidRDefault="005D2D5E">
            <w:pPr>
              <w:textAlignment w:val="bottom"/>
              <w:rPr>
                <w:rFonts w:ascii="Times New Roman" w:hAnsi="Times New Roman"/>
                <w:sz w:val="18"/>
                <w:szCs w:val="18"/>
              </w:rPr>
            </w:pPr>
            <w:hyperlink r:id="rId37" w:anchor="sFCE629F46DEA5012B13798FF82B77CC9" w:history="1">
              <w:r>
                <w:rPr>
                  <w:rStyle w:val="a5"/>
                  <w:rFonts w:ascii="Times New Roman" w:eastAsia="宋体" w:hAnsi="Times New Roman"/>
                  <w:sz w:val="18"/>
                  <w:szCs w:val="18"/>
                </w:rPr>
                <w:t>Item 8</w:t>
              </w:r>
            </w:hyperlink>
          </w:p>
        </w:tc>
        <w:tc>
          <w:tcPr>
            <w:tcW w:w="0" w:type="auto"/>
            <w:shd w:val="clear" w:color="auto" w:fill="auto"/>
            <w:tcMar>
              <w:top w:w="40" w:type="dxa"/>
              <w:left w:w="40" w:type="dxa"/>
              <w:bottom w:w="40" w:type="dxa"/>
              <w:right w:w="40" w:type="dxa"/>
            </w:tcMar>
            <w:vAlign w:val="bottom"/>
          </w:tcPr>
          <w:p w14:paraId="42A108EC" w14:textId="77777777" w:rsidR="00BB68E1" w:rsidRDefault="005D2D5E">
            <w:pPr>
              <w:textAlignment w:val="bottom"/>
              <w:rPr>
                <w:rFonts w:ascii="Times New Roman" w:hAnsi="Times New Roman"/>
                <w:sz w:val="18"/>
                <w:szCs w:val="18"/>
              </w:rPr>
            </w:pPr>
            <w:hyperlink r:id="rId38" w:anchor="sFCE629F46DEA5012B13798FF82B77CC9" w:history="1">
              <w:r>
                <w:rPr>
                  <w:rStyle w:val="a5"/>
                  <w:rFonts w:ascii="Times New Roman" w:eastAsia="宋体" w:hAnsi="Times New Roman"/>
                  <w:sz w:val="18"/>
                  <w:szCs w:val="18"/>
                </w:rPr>
                <w:t>Financial Statem</w:t>
              </w:r>
              <w:r>
                <w:rPr>
                  <w:rStyle w:val="a5"/>
                  <w:rFonts w:ascii="Times New Roman" w:eastAsia="宋体" w:hAnsi="Times New Roman"/>
                  <w:sz w:val="18"/>
                  <w:szCs w:val="18"/>
                </w:rPr>
                <w:t>ents and Supplementary Data</w:t>
              </w:r>
            </w:hyperlink>
          </w:p>
        </w:tc>
        <w:tc>
          <w:tcPr>
            <w:tcW w:w="0" w:type="auto"/>
            <w:shd w:val="clear" w:color="auto" w:fill="auto"/>
            <w:tcMar>
              <w:top w:w="40" w:type="dxa"/>
              <w:left w:w="40" w:type="dxa"/>
              <w:bottom w:w="40" w:type="dxa"/>
              <w:right w:w="40" w:type="dxa"/>
            </w:tcMar>
            <w:vAlign w:val="bottom"/>
          </w:tcPr>
          <w:p w14:paraId="42A108ED" w14:textId="77777777" w:rsidR="00BB68E1" w:rsidRDefault="005D2D5E">
            <w:pPr>
              <w:jc w:val="center"/>
              <w:textAlignment w:val="bottom"/>
              <w:rPr>
                <w:rFonts w:ascii="Times New Roman" w:hAnsi="Times New Roman"/>
                <w:sz w:val="18"/>
                <w:szCs w:val="18"/>
              </w:rPr>
            </w:pPr>
            <w:hyperlink r:id="rId39" w:anchor="sFCE629F46DEA5012B13798FF82B77CC9" w:history="1">
              <w:r>
                <w:rPr>
                  <w:rStyle w:val="a5"/>
                  <w:rFonts w:ascii="Times New Roman" w:eastAsia="宋体" w:hAnsi="Times New Roman"/>
                  <w:sz w:val="18"/>
                  <w:szCs w:val="18"/>
                </w:rPr>
                <w:t>46</w:t>
              </w:r>
            </w:hyperlink>
          </w:p>
        </w:tc>
      </w:tr>
      <w:tr w:rsidR="00BB68E1" w14:paraId="42A108F2" w14:textId="77777777">
        <w:trPr>
          <w:jc w:val="center"/>
        </w:trPr>
        <w:tc>
          <w:tcPr>
            <w:tcW w:w="0" w:type="auto"/>
            <w:shd w:val="clear" w:color="auto" w:fill="auto"/>
            <w:tcMar>
              <w:top w:w="40" w:type="dxa"/>
              <w:left w:w="40" w:type="dxa"/>
              <w:bottom w:w="40" w:type="dxa"/>
              <w:right w:w="40" w:type="dxa"/>
            </w:tcMar>
            <w:vAlign w:val="bottom"/>
          </w:tcPr>
          <w:p w14:paraId="42A108EF" w14:textId="77777777" w:rsidR="00BB68E1" w:rsidRDefault="005D2D5E">
            <w:pPr>
              <w:textAlignment w:val="bottom"/>
              <w:rPr>
                <w:rFonts w:ascii="Times New Roman" w:hAnsi="Times New Roman"/>
                <w:sz w:val="18"/>
                <w:szCs w:val="18"/>
              </w:rPr>
            </w:pPr>
            <w:hyperlink r:id="rId40" w:anchor="s4B7076E1F00E5D12BE50EDE9E15DD2BC" w:history="1">
              <w:r>
                <w:rPr>
                  <w:rStyle w:val="a5"/>
                  <w:rFonts w:ascii="Times New Roman" w:eastAsia="宋体" w:hAnsi="Times New Roman"/>
                  <w:sz w:val="18"/>
                  <w:szCs w:val="18"/>
                </w:rPr>
                <w:t>Item 9</w:t>
              </w:r>
            </w:hyperlink>
          </w:p>
        </w:tc>
        <w:tc>
          <w:tcPr>
            <w:tcW w:w="0" w:type="auto"/>
            <w:shd w:val="clear" w:color="auto" w:fill="auto"/>
            <w:tcMar>
              <w:top w:w="40" w:type="dxa"/>
              <w:left w:w="40" w:type="dxa"/>
              <w:bottom w:w="40" w:type="dxa"/>
              <w:right w:w="40" w:type="dxa"/>
            </w:tcMar>
            <w:vAlign w:val="bottom"/>
          </w:tcPr>
          <w:p w14:paraId="42A108F0" w14:textId="77777777" w:rsidR="00BB68E1" w:rsidRDefault="005D2D5E">
            <w:pPr>
              <w:textAlignment w:val="bottom"/>
              <w:rPr>
                <w:rFonts w:ascii="Times New Roman" w:hAnsi="Times New Roman"/>
                <w:sz w:val="18"/>
                <w:szCs w:val="18"/>
              </w:rPr>
            </w:pPr>
            <w:hyperlink r:id="rId41" w:anchor="s4B7076E1F00E5D12BE50EDE9E15DD2BC" w:history="1">
              <w:r>
                <w:rPr>
                  <w:rStyle w:val="a5"/>
                  <w:rFonts w:ascii="Times New Roman" w:eastAsia="宋体" w:hAnsi="Times New Roman"/>
                  <w:sz w:val="18"/>
                  <w:szCs w:val="18"/>
                </w:rPr>
                <w:t>Changes in and Disagreements with Accountants on Accounting and Financial Disclosure</w:t>
              </w:r>
            </w:hyperlink>
          </w:p>
        </w:tc>
        <w:tc>
          <w:tcPr>
            <w:tcW w:w="0" w:type="auto"/>
            <w:shd w:val="clear" w:color="auto" w:fill="auto"/>
            <w:tcMar>
              <w:top w:w="40" w:type="dxa"/>
              <w:left w:w="40" w:type="dxa"/>
              <w:bottom w:w="40" w:type="dxa"/>
              <w:right w:w="40" w:type="dxa"/>
            </w:tcMar>
            <w:vAlign w:val="bottom"/>
          </w:tcPr>
          <w:p w14:paraId="42A108F1" w14:textId="77777777" w:rsidR="00BB68E1" w:rsidRDefault="005D2D5E">
            <w:pPr>
              <w:jc w:val="center"/>
              <w:textAlignment w:val="bottom"/>
              <w:rPr>
                <w:rFonts w:ascii="Times New Roman" w:hAnsi="Times New Roman"/>
                <w:sz w:val="18"/>
                <w:szCs w:val="18"/>
              </w:rPr>
            </w:pPr>
            <w:hyperlink r:id="rId42" w:anchor="s4B7076E1F00E5D12BE50EDE9E15DD2BC" w:history="1">
              <w:r>
                <w:rPr>
                  <w:rStyle w:val="a5"/>
                  <w:rFonts w:ascii="Times New Roman" w:eastAsia="宋体" w:hAnsi="Times New Roman"/>
                  <w:sz w:val="18"/>
                  <w:szCs w:val="18"/>
                </w:rPr>
                <w:t>78</w:t>
              </w:r>
            </w:hyperlink>
          </w:p>
        </w:tc>
      </w:tr>
      <w:tr w:rsidR="00BB68E1" w14:paraId="42A108F6" w14:textId="77777777">
        <w:trPr>
          <w:jc w:val="center"/>
        </w:trPr>
        <w:tc>
          <w:tcPr>
            <w:tcW w:w="0" w:type="auto"/>
            <w:shd w:val="clear" w:color="auto" w:fill="auto"/>
            <w:tcMar>
              <w:top w:w="40" w:type="dxa"/>
              <w:left w:w="40" w:type="dxa"/>
              <w:bottom w:w="40" w:type="dxa"/>
              <w:right w:w="40" w:type="dxa"/>
            </w:tcMar>
            <w:vAlign w:val="bottom"/>
          </w:tcPr>
          <w:p w14:paraId="42A108F3" w14:textId="77777777" w:rsidR="00BB68E1" w:rsidRDefault="005D2D5E">
            <w:pPr>
              <w:textAlignment w:val="bottom"/>
              <w:rPr>
                <w:rFonts w:ascii="Times New Roman" w:hAnsi="Times New Roman"/>
                <w:sz w:val="18"/>
                <w:szCs w:val="18"/>
              </w:rPr>
            </w:pPr>
            <w:hyperlink r:id="rId43" w:anchor="sC69348AEE5DF5B3EB463CEAA96BC55DE" w:history="1">
              <w:r>
                <w:rPr>
                  <w:rStyle w:val="a5"/>
                  <w:rFonts w:ascii="Times New Roman" w:eastAsia="宋体" w:hAnsi="Times New Roman"/>
                  <w:sz w:val="18"/>
                  <w:szCs w:val="18"/>
                </w:rPr>
                <w:t>Item 9A</w:t>
              </w:r>
            </w:hyperlink>
          </w:p>
        </w:tc>
        <w:tc>
          <w:tcPr>
            <w:tcW w:w="0" w:type="auto"/>
            <w:shd w:val="clear" w:color="auto" w:fill="auto"/>
            <w:tcMar>
              <w:top w:w="40" w:type="dxa"/>
              <w:left w:w="40" w:type="dxa"/>
              <w:bottom w:w="40" w:type="dxa"/>
              <w:right w:w="40" w:type="dxa"/>
            </w:tcMar>
            <w:vAlign w:val="bottom"/>
          </w:tcPr>
          <w:p w14:paraId="42A108F4" w14:textId="77777777" w:rsidR="00BB68E1" w:rsidRDefault="005D2D5E">
            <w:pPr>
              <w:textAlignment w:val="bottom"/>
              <w:rPr>
                <w:rFonts w:ascii="Times New Roman" w:hAnsi="Times New Roman"/>
                <w:sz w:val="18"/>
                <w:szCs w:val="18"/>
              </w:rPr>
            </w:pPr>
            <w:hyperlink r:id="rId44" w:anchor="sC69348AEE5DF5B3EB463CEAA96BC55DE" w:history="1">
              <w:r>
                <w:rPr>
                  <w:rStyle w:val="a5"/>
                  <w:rFonts w:ascii="Times New Roman" w:eastAsia="宋体" w:hAnsi="Times New Roman"/>
                  <w:sz w:val="18"/>
                  <w:szCs w:val="18"/>
                </w:rPr>
                <w:t>Controls and Procedures</w:t>
              </w:r>
            </w:hyperlink>
          </w:p>
        </w:tc>
        <w:tc>
          <w:tcPr>
            <w:tcW w:w="0" w:type="auto"/>
            <w:shd w:val="clear" w:color="auto" w:fill="auto"/>
            <w:tcMar>
              <w:top w:w="40" w:type="dxa"/>
              <w:left w:w="40" w:type="dxa"/>
              <w:bottom w:w="40" w:type="dxa"/>
              <w:right w:w="40" w:type="dxa"/>
            </w:tcMar>
            <w:vAlign w:val="bottom"/>
          </w:tcPr>
          <w:p w14:paraId="42A108F5" w14:textId="77777777" w:rsidR="00BB68E1" w:rsidRDefault="005D2D5E">
            <w:pPr>
              <w:jc w:val="center"/>
              <w:textAlignment w:val="bottom"/>
              <w:rPr>
                <w:rFonts w:ascii="Times New Roman" w:hAnsi="Times New Roman"/>
                <w:sz w:val="18"/>
                <w:szCs w:val="18"/>
              </w:rPr>
            </w:pPr>
            <w:hyperlink r:id="rId45" w:anchor="sC69348AEE5DF5B3EB463CEAA96BC55DE" w:history="1">
              <w:r>
                <w:rPr>
                  <w:rStyle w:val="a5"/>
                  <w:rFonts w:ascii="Times New Roman" w:eastAsia="宋体" w:hAnsi="Times New Roman"/>
                  <w:sz w:val="18"/>
                  <w:szCs w:val="18"/>
                </w:rPr>
                <w:t>78</w:t>
              </w:r>
            </w:hyperlink>
          </w:p>
        </w:tc>
      </w:tr>
      <w:tr w:rsidR="00BB68E1" w14:paraId="42A108FA" w14:textId="77777777">
        <w:trPr>
          <w:jc w:val="center"/>
        </w:trPr>
        <w:tc>
          <w:tcPr>
            <w:tcW w:w="0" w:type="auto"/>
            <w:shd w:val="clear" w:color="auto" w:fill="auto"/>
            <w:tcMar>
              <w:top w:w="40" w:type="dxa"/>
              <w:left w:w="40" w:type="dxa"/>
              <w:bottom w:w="40" w:type="dxa"/>
              <w:right w:w="40" w:type="dxa"/>
            </w:tcMar>
            <w:vAlign w:val="bottom"/>
          </w:tcPr>
          <w:p w14:paraId="42A108F7" w14:textId="77777777" w:rsidR="00BB68E1" w:rsidRDefault="005D2D5E">
            <w:pPr>
              <w:textAlignment w:val="bottom"/>
              <w:rPr>
                <w:rFonts w:ascii="Times New Roman" w:hAnsi="Times New Roman"/>
                <w:sz w:val="18"/>
                <w:szCs w:val="18"/>
              </w:rPr>
            </w:pPr>
            <w:hyperlink r:id="rId46" w:anchor="s918D6469D22E5DC68142DC7A2FD06593" w:history="1">
              <w:r>
                <w:rPr>
                  <w:rStyle w:val="a5"/>
                  <w:rFonts w:ascii="Times New Roman" w:eastAsia="宋体" w:hAnsi="Times New Roman"/>
                  <w:sz w:val="18"/>
                  <w:szCs w:val="18"/>
                </w:rPr>
                <w:t>Item 9B</w:t>
              </w:r>
            </w:hyperlink>
          </w:p>
        </w:tc>
        <w:tc>
          <w:tcPr>
            <w:tcW w:w="0" w:type="auto"/>
            <w:shd w:val="clear" w:color="auto" w:fill="auto"/>
            <w:tcMar>
              <w:top w:w="40" w:type="dxa"/>
              <w:left w:w="40" w:type="dxa"/>
              <w:bottom w:w="40" w:type="dxa"/>
              <w:right w:w="40" w:type="dxa"/>
            </w:tcMar>
            <w:vAlign w:val="bottom"/>
          </w:tcPr>
          <w:p w14:paraId="42A108F8" w14:textId="77777777" w:rsidR="00BB68E1" w:rsidRDefault="005D2D5E">
            <w:pPr>
              <w:textAlignment w:val="bottom"/>
              <w:rPr>
                <w:rFonts w:ascii="Times New Roman" w:hAnsi="Times New Roman"/>
                <w:sz w:val="18"/>
                <w:szCs w:val="18"/>
              </w:rPr>
            </w:pPr>
            <w:hyperlink r:id="rId47" w:anchor="s918D6469D22E5DC68142DC7A2FD06593" w:history="1">
              <w:r>
                <w:rPr>
                  <w:rStyle w:val="a5"/>
                  <w:rFonts w:ascii="Times New Roman" w:eastAsia="宋体" w:hAnsi="Times New Roman"/>
                  <w:sz w:val="18"/>
                  <w:szCs w:val="18"/>
                </w:rPr>
                <w:t>Other Information</w:t>
              </w:r>
            </w:hyperlink>
          </w:p>
        </w:tc>
        <w:tc>
          <w:tcPr>
            <w:tcW w:w="0" w:type="auto"/>
            <w:shd w:val="clear" w:color="auto" w:fill="auto"/>
            <w:tcMar>
              <w:top w:w="40" w:type="dxa"/>
              <w:left w:w="40" w:type="dxa"/>
              <w:bottom w:w="40" w:type="dxa"/>
              <w:right w:w="40" w:type="dxa"/>
            </w:tcMar>
            <w:vAlign w:val="bottom"/>
          </w:tcPr>
          <w:p w14:paraId="42A108F9" w14:textId="77777777" w:rsidR="00BB68E1" w:rsidRDefault="005D2D5E">
            <w:pPr>
              <w:jc w:val="center"/>
              <w:textAlignment w:val="bottom"/>
              <w:rPr>
                <w:rFonts w:ascii="Times New Roman" w:hAnsi="Times New Roman"/>
                <w:sz w:val="18"/>
                <w:szCs w:val="18"/>
              </w:rPr>
            </w:pPr>
            <w:hyperlink r:id="rId48" w:anchor="s918D6469D22E5DC68142DC7A2FD06593" w:history="1">
              <w:r>
                <w:rPr>
                  <w:rStyle w:val="a5"/>
                  <w:rFonts w:ascii="Times New Roman" w:eastAsia="宋体" w:hAnsi="Times New Roman"/>
                  <w:sz w:val="18"/>
                  <w:szCs w:val="18"/>
                </w:rPr>
                <w:t>78</w:t>
              </w:r>
            </w:hyperlink>
          </w:p>
        </w:tc>
      </w:tr>
      <w:tr w:rsidR="00BB68E1" w14:paraId="42A108FE" w14:textId="77777777">
        <w:trPr>
          <w:jc w:val="center"/>
        </w:trPr>
        <w:tc>
          <w:tcPr>
            <w:tcW w:w="0" w:type="auto"/>
            <w:shd w:val="clear" w:color="auto" w:fill="auto"/>
            <w:tcMar>
              <w:top w:w="40" w:type="dxa"/>
              <w:left w:w="40" w:type="dxa"/>
              <w:bottom w:w="40" w:type="dxa"/>
              <w:right w:w="40" w:type="dxa"/>
            </w:tcMar>
            <w:vAlign w:val="bottom"/>
          </w:tcPr>
          <w:p w14:paraId="42A108F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F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8F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902" w14:textId="77777777">
        <w:trPr>
          <w:jc w:val="center"/>
        </w:trPr>
        <w:tc>
          <w:tcPr>
            <w:tcW w:w="0" w:type="auto"/>
            <w:shd w:val="clear" w:color="auto" w:fill="auto"/>
            <w:tcMar>
              <w:top w:w="40" w:type="dxa"/>
              <w:left w:w="40" w:type="dxa"/>
              <w:bottom w:w="40" w:type="dxa"/>
              <w:right w:w="40" w:type="dxa"/>
            </w:tcMar>
            <w:vAlign w:val="bottom"/>
          </w:tcPr>
          <w:p w14:paraId="42A108FF" w14:textId="77777777" w:rsidR="00BB68E1" w:rsidRDefault="005D2D5E">
            <w:pPr>
              <w:textAlignment w:val="bottom"/>
              <w:rPr>
                <w:rFonts w:ascii="Times New Roman" w:hAnsi="Times New Roman"/>
                <w:sz w:val="18"/>
                <w:szCs w:val="18"/>
              </w:rPr>
            </w:pPr>
            <w:hyperlink r:id="rId49" w:anchor="s978CAE23097A525F84428F1C2CDBC877" w:history="1">
              <w:r>
                <w:rPr>
                  <w:rStyle w:val="a5"/>
                  <w:rFonts w:ascii="Times New Roman" w:eastAsia="宋体" w:hAnsi="Times New Roman"/>
                  <w:sz w:val="18"/>
                  <w:szCs w:val="18"/>
                </w:rPr>
                <w:t>Part III</w:t>
              </w:r>
            </w:hyperlink>
          </w:p>
        </w:tc>
        <w:tc>
          <w:tcPr>
            <w:tcW w:w="0" w:type="auto"/>
            <w:shd w:val="clear" w:color="auto" w:fill="auto"/>
            <w:tcMar>
              <w:top w:w="40" w:type="dxa"/>
              <w:left w:w="40" w:type="dxa"/>
              <w:bottom w:w="40" w:type="dxa"/>
              <w:right w:w="40" w:type="dxa"/>
            </w:tcMar>
            <w:vAlign w:val="bottom"/>
          </w:tcPr>
          <w:p w14:paraId="42A1090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90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906" w14:textId="77777777">
        <w:trPr>
          <w:jc w:val="center"/>
        </w:trPr>
        <w:tc>
          <w:tcPr>
            <w:tcW w:w="0" w:type="auto"/>
            <w:shd w:val="clear" w:color="auto" w:fill="auto"/>
            <w:tcMar>
              <w:top w:w="40" w:type="dxa"/>
              <w:left w:w="40" w:type="dxa"/>
              <w:bottom w:w="40" w:type="dxa"/>
              <w:right w:w="40" w:type="dxa"/>
            </w:tcMar>
            <w:vAlign w:val="bottom"/>
          </w:tcPr>
          <w:p w14:paraId="42A10903" w14:textId="77777777" w:rsidR="00BB68E1" w:rsidRDefault="005D2D5E">
            <w:pPr>
              <w:textAlignment w:val="bottom"/>
              <w:rPr>
                <w:rFonts w:ascii="Times New Roman" w:hAnsi="Times New Roman"/>
                <w:sz w:val="18"/>
                <w:szCs w:val="18"/>
              </w:rPr>
            </w:pPr>
            <w:hyperlink r:id="rId50" w:anchor="s86D0592C3F0557EE917B606A0304B94F" w:history="1">
              <w:r>
                <w:rPr>
                  <w:rStyle w:val="a5"/>
                  <w:rFonts w:ascii="Times New Roman" w:eastAsia="宋体" w:hAnsi="Times New Roman"/>
                  <w:sz w:val="18"/>
                  <w:szCs w:val="18"/>
                </w:rPr>
                <w:t>Item 10</w:t>
              </w:r>
            </w:hyperlink>
          </w:p>
        </w:tc>
        <w:tc>
          <w:tcPr>
            <w:tcW w:w="0" w:type="auto"/>
            <w:shd w:val="clear" w:color="auto" w:fill="auto"/>
            <w:tcMar>
              <w:top w:w="40" w:type="dxa"/>
              <w:left w:w="40" w:type="dxa"/>
              <w:bottom w:w="40" w:type="dxa"/>
              <w:right w:w="40" w:type="dxa"/>
            </w:tcMar>
            <w:vAlign w:val="bottom"/>
          </w:tcPr>
          <w:p w14:paraId="42A10904" w14:textId="77777777" w:rsidR="00BB68E1" w:rsidRDefault="005D2D5E">
            <w:pPr>
              <w:textAlignment w:val="bottom"/>
              <w:rPr>
                <w:rFonts w:ascii="Times New Roman" w:hAnsi="Times New Roman"/>
                <w:sz w:val="18"/>
                <w:szCs w:val="18"/>
              </w:rPr>
            </w:pPr>
            <w:hyperlink r:id="rId51" w:anchor="s86D0592C3F0557EE917B606A0304B94F" w:history="1">
              <w:r>
                <w:rPr>
                  <w:rStyle w:val="a5"/>
                  <w:rFonts w:ascii="Times New Roman" w:eastAsia="宋体" w:hAnsi="Times New Roman"/>
                  <w:sz w:val="18"/>
                  <w:szCs w:val="18"/>
                </w:rPr>
                <w:t>Directors, Executive Officers and Corporate Governance</w:t>
              </w:r>
            </w:hyperlink>
          </w:p>
        </w:tc>
        <w:tc>
          <w:tcPr>
            <w:tcW w:w="0" w:type="auto"/>
            <w:shd w:val="clear" w:color="auto" w:fill="auto"/>
            <w:tcMar>
              <w:top w:w="40" w:type="dxa"/>
              <w:left w:w="40" w:type="dxa"/>
              <w:bottom w:w="40" w:type="dxa"/>
              <w:right w:w="40" w:type="dxa"/>
            </w:tcMar>
            <w:vAlign w:val="bottom"/>
          </w:tcPr>
          <w:p w14:paraId="42A10905" w14:textId="77777777" w:rsidR="00BB68E1" w:rsidRDefault="005D2D5E">
            <w:pPr>
              <w:jc w:val="center"/>
              <w:textAlignment w:val="bottom"/>
              <w:rPr>
                <w:rFonts w:ascii="Times New Roman" w:hAnsi="Times New Roman"/>
                <w:sz w:val="18"/>
                <w:szCs w:val="18"/>
              </w:rPr>
            </w:pPr>
            <w:hyperlink r:id="rId52" w:anchor="s86D0592C3F0557EE917B606A0304B94F" w:history="1">
              <w:r>
                <w:rPr>
                  <w:rStyle w:val="a5"/>
                  <w:rFonts w:ascii="Times New Roman" w:eastAsia="宋体" w:hAnsi="Times New Roman"/>
                  <w:sz w:val="18"/>
                  <w:szCs w:val="18"/>
                </w:rPr>
                <w:t>79</w:t>
              </w:r>
            </w:hyperlink>
          </w:p>
        </w:tc>
      </w:tr>
      <w:tr w:rsidR="00BB68E1" w14:paraId="42A1090A" w14:textId="77777777">
        <w:trPr>
          <w:jc w:val="center"/>
        </w:trPr>
        <w:tc>
          <w:tcPr>
            <w:tcW w:w="0" w:type="auto"/>
            <w:shd w:val="clear" w:color="auto" w:fill="auto"/>
            <w:tcMar>
              <w:top w:w="40" w:type="dxa"/>
              <w:left w:w="40" w:type="dxa"/>
              <w:bottom w:w="40" w:type="dxa"/>
              <w:right w:w="40" w:type="dxa"/>
            </w:tcMar>
            <w:vAlign w:val="bottom"/>
          </w:tcPr>
          <w:p w14:paraId="42A10907" w14:textId="77777777" w:rsidR="00BB68E1" w:rsidRDefault="005D2D5E">
            <w:pPr>
              <w:textAlignment w:val="bottom"/>
              <w:rPr>
                <w:rFonts w:ascii="Times New Roman" w:hAnsi="Times New Roman"/>
                <w:sz w:val="18"/>
                <w:szCs w:val="18"/>
              </w:rPr>
            </w:pPr>
            <w:hyperlink r:id="rId53" w:anchor="s9EFB89847AA45591827E57A3665D41B7" w:history="1">
              <w:r>
                <w:rPr>
                  <w:rStyle w:val="a5"/>
                  <w:rFonts w:ascii="Times New Roman" w:eastAsia="宋体" w:hAnsi="Times New Roman"/>
                  <w:sz w:val="18"/>
                  <w:szCs w:val="18"/>
                </w:rPr>
                <w:t>Item 11</w:t>
              </w:r>
            </w:hyperlink>
          </w:p>
        </w:tc>
        <w:tc>
          <w:tcPr>
            <w:tcW w:w="0" w:type="auto"/>
            <w:shd w:val="clear" w:color="auto" w:fill="auto"/>
            <w:tcMar>
              <w:top w:w="40" w:type="dxa"/>
              <w:left w:w="40" w:type="dxa"/>
              <w:bottom w:w="40" w:type="dxa"/>
              <w:right w:w="40" w:type="dxa"/>
            </w:tcMar>
            <w:vAlign w:val="bottom"/>
          </w:tcPr>
          <w:p w14:paraId="42A10908" w14:textId="77777777" w:rsidR="00BB68E1" w:rsidRDefault="005D2D5E">
            <w:pPr>
              <w:textAlignment w:val="bottom"/>
              <w:rPr>
                <w:rFonts w:ascii="Times New Roman" w:hAnsi="Times New Roman"/>
                <w:sz w:val="18"/>
                <w:szCs w:val="18"/>
              </w:rPr>
            </w:pPr>
            <w:hyperlink r:id="rId54" w:anchor="s9EFB89847AA45591827E57A3665D41B7" w:history="1">
              <w:r>
                <w:rPr>
                  <w:rStyle w:val="a5"/>
                  <w:rFonts w:ascii="Times New Roman" w:eastAsia="宋体" w:hAnsi="Times New Roman"/>
                  <w:sz w:val="18"/>
                  <w:szCs w:val="18"/>
                </w:rPr>
                <w:t>Executive Compensation</w:t>
              </w:r>
            </w:hyperlink>
          </w:p>
        </w:tc>
        <w:tc>
          <w:tcPr>
            <w:tcW w:w="0" w:type="auto"/>
            <w:shd w:val="clear" w:color="auto" w:fill="auto"/>
            <w:tcMar>
              <w:top w:w="40" w:type="dxa"/>
              <w:left w:w="40" w:type="dxa"/>
              <w:bottom w:w="40" w:type="dxa"/>
              <w:right w:w="40" w:type="dxa"/>
            </w:tcMar>
            <w:vAlign w:val="bottom"/>
          </w:tcPr>
          <w:p w14:paraId="42A10909" w14:textId="77777777" w:rsidR="00BB68E1" w:rsidRDefault="005D2D5E">
            <w:pPr>
              <w:jc w:val="center"/>
              <w:textAlignment w:val="bottom"/>
              <w:rPr>
                <w:rFonts w:ascii="Times New Roman" w:hAnsi="Times New Roman"/>
                <w:sz w:val="18"/>
                <w:szCs w:val="18"/>
              </w:rPr>
            </w:pPr>
            <w:hyperlink r:id="rId55" w:anchor="s9EFB89847AA45591827E57A3665D41B7" w:history="1">
              <w:r>
                <w:rPr>
                  <w:rStyle w:val="a5"/>
                  <w:rFonts w:ascii="Times New Roman" w:eastAsia="宋体" w:hAnsi="Times New Roman"/>
                  <w:sz w:val="18"/>
                  <w:szCs w:val="18"/>
                </w:rPr>
                <w:t>79</w:t>
              </w:r>
            </w:hyperlink>
          </w:p>
        </w:tc>
      </w:tr>
      <w:tr w:rsidR="00BB68E1" w14:paraId="42A1090E" w14:textId="77777777">
        <w:trPr>
          <w:jc w:val="center"/>
        </w:trPr>
        <w:tc>
          <w:tcPr>
            <w:tcW w:w="0" w:type="auto"/>
            <w:shd w:val="clear" w:color="auto" w:fill="auto"/>
            <w:tcMar>
              <w:top w:w="40" w:type="dxa"/>
              <w:left w:w="40" w:type="dxa"/>
              <w:bottom w:w="40" w:type="dxa"/>
              <w:right w:w="40" w:type="dxa"/>
            </w:tcMar>
            <w:vAlign w:val="bottom"/>
          </w:tcPr>
          <w:p w14:paraId="42A1090B" w14:textId="77777777" w:rsidR="00BB68E1" w:rsidRDefault="005D2D5E">
            <w:pPr>
              <w:textAlignment w:val="bottom"/>
              <w:rPr>
                <w:rFonts w:ascii="Times New Roman" w:hAnsi="Times New Roman"/>
                <w:sz w:val="18"/>
                <w:szCs w:val="18"/>
              </w:rPr>
            </w:pPr>
            <w:hyperlink r:id="rId56" w:anchor="s9DB6A0BF84EE51E9BDC5EBD836CE610B" w:history="1">
              <w:r>
                <w:rPr>
                  <w:rStyle w:val="a5"/>
                  <w:rFonts w:ascii="Times New Roman" w:eastAsia="宋体" w:hAnsi="Times New Roman"/>
                  <w:sz w:val="18"/>
                  <w:szCs w:val="18"/>
                </w:rPr>
                <w:t>Item 12</w:t>
              </w:r>
            </w:hyperlink>
          </w:p>
        </w:tc>
        <w:tc>
          <w:tcPr>
            <w:tcW w:w="0" w:type="auto"/>
            <w:shd w:val="clear" w:color="auto" w:fill="auto"/>
            <w:tcMar>
              <w:top w:w="40" w:type="dxa"/>
              <w:left w:w="40" w:type="dxa"/>
              <w:bottom w:w="40" w:type="dxa"/>
              <w:right w:w="40" w:type="dxa"/>
            </w:tcMar>
            <w:vAlign w:val="bottom"/>
          </w:tcPr>
          <w:p w14:paraId="42A1090C" w14:textId="77777777" w:rsidR="00BB68E1" w:rsidRDefault="005D2D5E">
            <w:pPr>
              <w:textAlignment w:val="bottom"/>
              <w:rPr>
                <w:rFonts w:ascii="Times New Roman" w:hAnsi="Times New Roman"/>
                <w:sz w:val="18"/>
                <w:szCs w:val="18"/>
              </w:rPr>
            </w:pPr>
            <w:hyperlink r:id="rId57" w:anchor="s9DB6A0BF84EE51E9BDC5EBD836CE610B" w:history="1">
              <w:r>
                <w:rPr>
                  <w:rStyle w:val="a5"/>
                  <w:rFonts w:ascii="Times New Roman" w:eastAsia="宋体" w:hAnsi="Times New Roman"/>
                  <w:sz w:val="18"/>
                  <w:szCs w:val="18"/>
                </w:rPr>
                <w:t>Security Ownership of Certain Beneficial Owners and Management and Related Stockholder Matters</w:t>
              </w:r>
            </w:hyperlink>
          </w:p>
        </w:tc>
        <w:tc>
          <w:tcPr>
            <w:tcW w:w="0" w:type="auto"/>
            <w:shd w:val="clear" w:color="auto" w:fill="auto"/>
            <w:tcMar>
              <w:top w:w="40" w:type="dxa"/>
              <w:left w:w="40" w:type="dxa"/>
              <w:bottom w:w="40" w:type="dxa"/>
              <w:right w:w="40" w:type="dxa"/>
            </w:tcMar>
            <w:vAlign w:val="bottom"/>
          </w:tcPr>
          <w:p w14:paraId="42A1090D" w14:textId="77777777" w:rsidR="00BB68E1" w:rsidRDefault="005D2D5E">
            <w:pPr>
              <w:jc w:val="center"/>
              <w:textAlignment w:val="bottom"/>
              <w:rPr>
                <w:rFonts w:ascii="Times New Roman" w:hAnsi="Times New Roman"/>
                <w:sz w:val="18"/>
                <w:szCs w:val="18"/>
              </w:rPr>
            </w:pPr>
            <w:hyperlink r:id="rId58" w:anchor="s9DB6A0BF84EE51E9BDC5EBD836CE610B" w:history="1">
              <w:r>
                <w:rPr>
                  <w:rStyle w:val="a5"/>
                  <w:rFonts w:ascii="Times New Roman" w:eastAsia="宋体" w:hAnsi="Times New Roman"/>
                  <w:sz w:val="18"/>
                  <w:szCs w:val="18"/>
                </w:rPr>
                <w:t>79</w:t>
              </w:r>
            </w:hyperlink>
          </w:p>
        </w:tc>
      </w:tr>
      <w:tr w:rsidR="00BB68E1" w14:paraId="42A10912" w14:textId="77777777">
        <w:trPr>
          <w:jc w:val="center"/>
        </w:trPr>
        <w:tc>
          <w:tcPr>
            <w:tcW w:w="0" w:type="auto"/>
            <w:shd w:val="clear" w:color="auto" w:fill="auto"/>
            <w:tcMar>
              <w:top w:w="40" w:type="dxa"/>
              <w:left w:w="40" w:type="dxa"/>
              <w:bottom w:w="40" w:type="dxa"/>
              <w:right w:w="40" w:type="dxa"/>
            </w:tcMar>
            <w:vAlign w:val="bottom"/>
          </w:tcPr>
          <w:p w14:paraId="42A1090F" w14:textId="77777777" w:rsidR="00BB68E1" w:rsidRDefault="005D2D5E">
            <w:pPr>
              <w:textAlignment w:val="bottom"/>
              <w:rPr>
                <w:rFonts w:ascii="Times New Roman" w:hAnsi="Times New Roman"/>
                <w:sz w:val="18"/>
                <w:szCs w:val="18"/>
              </w:rPr>
            </w:pPr>
            <w:hyperlink r:id="rId59" w:anchor="s4829A6E5D8085B038FA49B0E30A5AD0C" w:history="1">
              <w:r>
                <w:rPr>
                  <w:rStyle w:val="a5"/>
                  <w:rFonts w:ascii="Times New Roman" w:eastAsia="宋体" w:hAnsi="Times New Roman"/>
                  <w:sz w:val="18"/>
                  <w:szCs w:val="18"/>
                </w:rPr>
                <w:t>Item 13</w:t>
              </w:r>
            </w:hyperlink>
          </w:p>
        </w:tc>
        <w:tc>
          <w:tcPr>
            <w:tcW w:w="0" w:type="auto"/>
            <w:shd w:val="clear" w:color="auto" w:fill="auto"/>
            <w:tcMar>
              <w:top w:w="40" w:type="dxa"/>
              <w:left w:w="40" w:type="dxa"/>
              <w:bottom w:w="40" w:type="dxa"/>
              <w:right w:w="40" w:type="dxa"/>
            </w:tcMar>
            <w:vAlign w:val="bottom"/>
          </w:tcPr>
          <w:p w14:paraId="42A10910" w14:textId="77777777" w:rsidR="00BB68E1" w:rsidRDefault="005D2D5E">
            <w:pPr>
              <w:textAlignment w:val="bottom"/>
              <w:rPr>
                <w:rFonts w:ascii="Times New Roman" w:hAnsi="Times New Roman"/>
                <w:sz w:val="18"/>
                <w:szCs w:val="18"/>
              </w:rPr>
            </w:pPr>
            <w:hyperlink r:id="rId60" w:anchor="s4829A6E5D8085B038FA49B0E30A5AD0C" w:history="1">
              <w:r>
                <w:rPr>
                  <w:rStyle w:val="a5"/>
                  <w:rFonts w:ascii="Times New Roman" w:eastAsia="宋体" w:hAnsi="Times New Roman"/>
                  <w:sz w:val="18"/>
                  <w:szCs w:val="18"/>
                </w:rPr>
                <w:t>Certain Relationships and Related Transactions, and Director Independence</w:t>
              </w:r>
            </w:hyperlink>
          </w:p>
        </w:tc>
        <w:tc>
          <w:tcPr>
            <w:tcW w:w="0" w:type="auto"/>
            <w:shd w:val="clear" w:color="auto" w:fill="auto"/>
            <w:tcMar>
              <w:top w:w="40" w:type="dxa"/>
              <w:left w:w="40" w:type="dxa"/>
              <w:bottom w:w="40" w:type="dxa"/>
              <w:right w:w="40" w:type="dxa"/>
            </w:tcMar>
            <w:vAlign w:val="bottom"/>
          </w:tcPr>
          <w:p w14:paraId="42A10911" w14:textId="77777777" w:rsidR="00BB68E1" w:rsidRDefault="005D2D5E">
            <w:pPr>
              <w:jc w:val="center"/>
              <w:textAlignment w:val="bottom"/>
              <w:rPr>
                <w:rFonts w:ascii="Times New Roman" w:hAnsi="Times New Roman"/>
                <w:sz w:val="18"/>
                <w:szCs w:val="18"/>
              </w:rPr>
            </w:pPr>
            <w:hyperlink r:id="rId61" w:anchor="s4829A6E5D8085B038FA49B0E30A5AD0C" w:history="1">
              <w:r>
                <w:rPr>
                  <w:rStyle w:val="a5"/>
                  <w:rFonts w:ascii="Times New Roman" w:eastAsia="宋体" w:hAnsi="Times New Roman"/>
                  <w:sz w:val="18"/>
                  <w:szCs w:val="18"/>
                </w:rPr>
                <w:t>79</w:t>
              </w:r>
            </w:hyperlink>
          </w:p>
        </w:tc>
      </w:tr>
      <w:tr w:rsidR="00BB68E1" w14:paraId="42A10916" w14:textId="77777777">
        <w:trPr>
          <w:jc w:val="center"/>
        </w:trPr>
        <w:tc>
          <w:tcPr>
            <w:tcW w:w="0" w:type="auto"/>
            <w:shd w:val="clear" w:color="auto" w:fill="auto"/>
            <w:tcMar>
              <w:top w:w="40" w:type="dxa"/>
              <w:left w:w="40" w:type="dxa"/>
              <w:bottom w:w="40" w:type="dxa"/>
              <w:right w:w="40" w:type="dxa"/>
            </w:tcMar>
            <w:vAlign w:val="bottom"/>
          </w:tcPr>
          <w:p w14:paraId="42A10913" w14:textId="77777777" w:rsidR="00BB68E1" w:rsidRDefault="005D2D5E">
            <w:pPr>
              <w:textAlignment w:val="bottom"/>
              <w:rPr>
                <w:rFonts w:ascii="Times New Roman" w:hAnsi="Times New Roman"/>
                <w:sz w:val="18"/>
                <w:szCs w:val="18"/>
              </w:rPr>
            </w:pPr>
            <w:hyperlink r:id="rId62" w:anchor="s909BE7810FB259709A35A32EA0371910" w:history="1">
              <w:r>
                <w:rPr>
                  <w:rStyle w:val="a5"/>
                  <w:rFonts w:ascii="Times New Roman" w:eastAsia="宋体" w:hAnsi="Times New Roman"/>
                  <w:sz w:val="18"/>
                  <w:szCs w:val="18"/>
                </w:rPr>
                <w:t>Item 14</w:t>
              </w:r>
            </w:hyperlink>
          </w:p>
        </w:tc>
        <w:tc>
          <w:tcPr>
            <w:tcW w:w="0" w:type="auto"/>
            <w:shd w:val="clear" w:color="auto" w:fill="auto"/>
            <w:tcMar>
              <w:top w:w="40" w:type="dxa"/>
              <w:left w:w="40" w:type="dxa"/>
              <w:bottom w:w="40" w:type="dxa"/>
              <w:right w:w="40" w:type="dxa"/>
            </w:tcMar>
            <w:vAlign w:val="bottom"/>
          </w:tcPr>
          <w:p w14:paraId="42A10914" w14:textId="77777777" w:rsidR="00BB68E1" w:rsidRDefault="005D2D5E">
            <w:pPr>
              <w:textAlignment w:val="bottom"/>
              <w:rPr>
                <w:rFonts w:ascii="Times New Roman" w:hAnsi="Times New Roman"/>
                <w:sz w:val="18"/>
                <w:szCs w:val="18"/>
              </w:rPr>
            </w:pPr>
            <w:hyperlink r:id="rId63" w:anchor="s909BE7810FB259709A35A32EA0371910" w:history="1">
              <w:r>
                <w:rPr>
                  <w:rStyle w:val="a5"/>
                  <w:rFonts w:ascii="Times New Roman" w:eastAsia="宋体" w:hAnsi="Times New Roman"/>
                  <w:sz w:val="18"/>
                  <w:szCs w:val="18"/>
                </w:rPr>
                <w:t>Principal Accounting Fees and Services</w:t>
              </w:r>
            </w:hyperlink>
          </w:p>
        </w:tc>
        <w:tc>
          <w:tcPr>
            <w:tcW w:w="0" w:type="auto"/>
            <w:shd w:val="clear" w:color="auto" w:fill="auto"/>
            <w:tcMar>
              <w:top w:w="40" w:type="dxa"/>
              <w:left w:w="40" w:type="dxa"/>
              <w:bottom w:w="40" w:type="dxa"/>
              <w:right w:w="40" w:type="dxa"/>
            </w:tcMar>
            <w:vAlign w:val="bottom"/>
          </w:tcPr>
          <w:p w14:paraId="42A10915" w14:textId="77777777" w:rsidR="00BB68E1" w:rsidRDefault="005D2D5E">
            <w:pPr>
              <w:jc w:val="center"/>
              <w:textAlignment w:val="bottom"/>
              <w:rPr>
                <w:rFonts w:ascii="Times New Roman" w:hAnsi="Times New Roman"/>
                <w:sz w:val="18"/>
                <w:szCs w:val="18"/>
              </w:rPr>
            </w:pPr>
            <w:hyperlink r:id="rId64" w:anchor="s909BE7810FB259709A35A32EA0371910" w:history="1">
              <w:r>
                <w:rPr>
                  <w:rStyle w:val="a5"/>
                  <w:rFonts w:ascii="Times New Roman" w:eastAsia="宋体" w:hAnsi="Times New Roman"/>
                  <w:sz w:val="18"/>
                  <w:szCs w:val="18"/>
                </w:rPr>
                <w:t>79</w:t>
              </w:r>
            </w:hyperlink>
          </w:p>
        </w:tc>
      </w:tr>
      <w:tr w:rsidR="00BB68E1" w14:paraId="42A1091A" w14:textId="77777777">
        <w:trPr>
          <w:jc w:val="center"/>
        </w:trPr>
        <w:tc>
          <w:tcPr>
            <w:tcW w:w="0" w:type="auto"/>
            <w:shd w:val="clear" w:color="auto" w:fill="auto"/>
            <w:tcMar>
              <w:top w:w="40" w:type="dxa"/>
              <w:left w:w="40" w:type="dxa"/>
              <w:bottom w:w="40" w:type="dxa"/>
              <w:right w:w="40" w:type="dxa"/>
            </w:tcMar>
            <w:vAlign w:val="bottom"/>
          </w:tcPr>
          <w:p w14:paraId="42A1091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91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91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91E" w14:textId="77777777">
        <w:trPr>
          <w:jc w:val="center"/>
        </w:trPr>
        <w:tc>
          <w:tcPr>
            <w:tcW w:w="0" w:type="auto"/>
            <w:shd w:val="clear" w:color="auto" w:fill="auto"/>
            <w:tcMar>
              <w:top w:w="40" w:type="dxa"/>
              <w:left w:w="40" w:type="dxa"/>
              <w:bottom w:w="40" w:type="dxa"/>
              <w:right w:w="40" w:type="dxa"/>
            </w:tcMar>
            <w:vAlign w:val="bottom"/>
          </w:tcPr>
          <w:p w14:paraId="42A1091B" w14:textId="77777777" w:rsidR="00BB68E1" w:rsidRDefault="005D2D5E">
            <w:pPr>
              <w:textAlignment w:val="bottom"/>
              <w:rPr>
                <w:rFonts w:ascii="Times New Roman" w:hAnsi="Times New Roman"/>
                <w:sz w:val="18"/>
                <w:szCs w:val="18"/>
              </w:rPr>
            </w:pPr>
            <w:hyperlink r:id="rId65" w:anchor="s9AABE16EC66C5B009098F645ADD7B182" w:history="1">
              <w:r>
                <w:rPr>
                  <w:rStyle w:val="a5"/>
                  <w:rFonts w:ascii="Times New Roman" w:eastAsia="宋体" w:hAnsi="Times New Roman"/>
                  <w:sz w:val="18"/>
                  <w:szCs w:val="18"/>
                </w:rPr>
                <w:t>Part IV</w:t>
              </w:r>
            </w:hyperlink>
          </w:p>
        </w:tc>
        <w:tc>
          <w:tcPr>
            <w:tcW w:w="0" w:type="auto"/>
            <w:shd w:val="clear" w:color="auto" w:fill="auto"/>
            <w:tcMar>
              <w:top w:w="40" w:type="dxa"/>
              <w:left w:w="40" w:type="dxa"/>
              <w:bottom w:w="40" w:type="dxa"/>
              <w:right w:w="40" w:type="dxa"/>
            </w:tcMar>
            <w:vAlign w:val="bottom"/>
          </w:tcPr>
          <w:p w14:paraId="42A1091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91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922" w14:textId="77777777">
        <w:trPr>
          <w:jc w:val="center"/>
        </w:trPr>
        <w:tc>
          <w:tcPr>
            <w:tcW w:w="0" w:type="auto"/>
            <w:shd w:val="clear" w:color="auto" w:fill="auto"/>
            <w:tcMar>
              <w:top w:w="40" w:type="dxa"/>
              <w:left w:w="40" w:type="dxa"/>
              <w:bottom w:w="40" w:type="dxa"/>
              <w:right w:w="40" w:type="dxa"/>
            </w:tcMar>
            <w:vAlign w:val="bottom"/>
          </w:tcPr>
          <w:p w14:paraId="42A1091F" w14:textId="77777777" w:rsidR="00BB68E1" w:rsidRDefault="005D2D5E">
            <w:pPr>
              <w:textAlignment w:val="bottom"/>
              <w:rPr>
                <w:rFonts w:ascii="Times New Roman" w:hAnsi="Times New Roman"/>
                <w:sz w:val="18"/>
                <w:szCs w:val="18"/>
              </w:rPr>
            </w:pPr>
            <w:hyperlink r:id="rId66" w:anchor="s9815D9E0BC4E5A288EAB99CFBADF1B3F" w:history="1">
              <w:r>
                <w:rPr>
                  <w:rStyle w:val="a5"/>
                  <w:rFonts w:ascii="Times New Roman" w:eastAsia="宋体" w:hAnsi="Times New Roman"/>
                  <w:sz w:val="18"/>
                  <w:szCs w:val="18"/>
                </w:rPr>
                <w:t>Item 15</w:t>
              </w:r>
            </w:hyperlink>
          </w:p>
        </w:tc>
        <w:tc>
          <w:tcPr>
            <w:tcW w:w="0" w:type="auto"/>
            <w:shd w:val="clear" w:color="auto" w:fill="auto"/>
            <w:tcMar>
              <w:top w:w="40" w:type="dxa"/>
              <w:left w:w="40" w:type="dxa"/>
              <w:bottom w:w="40" w:type="dxa"/>
              <w:right w:w="40" w:type="dxa"/>
            </w:tcMar>
            <w:vAlign w:val="bottom"/>
          </w:tcPr>
          <w:p w14:paraId="42A10920" w14:textId="77777777" w:rsidR="00BB68E1" w:rsidRDefault="005D2D5E">
            <w:pPr>
              <w:textAlignment w:val="bottom"/>
              <w:rPr>
                <w:rFonts w:ascii="Times New Roman" w:hAnsi="Times New Roman"/>
                <w:sz w:val="18"/>
                <w:szCs w:val="18"/>
              </w:rPr>
            </w:pPr>
            <w:hyperlink r:id="rId67" w:anchor="s9815D9E0BC4E5A288EAB99CFBADF1B3F" w:history="1">
              <w:r>
                <w:rPr>
                  <w:rStyle w:val="a5"/>
                  <w:rFonts w:ascii="Times New Roman" w:eastAsia="宋体" w:hAnsi="Times New Roman"/>
                  <w:sz w:val="18"/>
                  <w:szCs w:val="18"/>
                </w:rPr>
                <w:t>Exhibits, Financial Sta</w:t>
              </w:r>
              <w:r>
                <w:rPr>
                  <w:rStyle w:val="a5"/>
                  <w:rFonts w:ascii="Times New Roman" w:eastAsia="宋体" w:hAnsi="Times New Roman"/>
                  <w:sz w:val="18"/>
                  <w:szCs w:val="18"/>
                </w:rPr>
                <w:t>tement Schedules</w:t>
              </w:r>
            </w:hyperlink>
          </w:p>
        </w:tc>
        <w:tc>
          <w:tcPr>
            <w:tcW w:w="0" w:type="auto"/>
            <w:shd w:val="clear" w:color="auto" w:fill="auto"/>
            <w:tcMar>
              <w:top w:w="40" w:type="dxa"/>
              <w:left w:w="40" w:type="dxa"/>
              <w:bottom w:w="40" w:type="dxa"/>
              <w:right w:w="40" w:type="dxa"/>
            </w:tcMar>
            <w:vAlign w:val="bottom"/>
          </w:tcPr>
          <w:p w14:paraId="42A10921" w14:textId="77777777" w:rsidR="00BB68E1" w:rsidRDefault="005D2D5E">
            <w:pPr>
              <w:jc w:val="center"/>
              <w:textAlignment w:val="bottom"/>
              <w:rPr>
                <w:rFonts w:ascii="Times New Roman" w:hAnsi="Times New Roman"/>
                <w:sz w:val="18"/>
                <w:szCs w:val="18"/>
              </w:rPr>
            </w:pPr>
            <w:hyperlink r:id="rId68" w:anchor="s9815D9E0BC4E5A288EAB99CFBADF1B3F" w:history="1">
              <w:r>
                <w:rPr>
                  <w:rStyle w:val="a5"/>
                  <w:rFonts w:ascii="Times New Roman" w:eastAsia="宋体" w:hAnsi="Times New Roman"/>
                  <w:sz w:val="18"/>
                  <w:szCs w:val="18"/>
                </w:rPr>
                <w:t>80</w:t>
              </w:r>
            </w:hyperlink>
          </w:p>
        </w:tc>
      </w:tr>
      <w:tr w:rsidR="00BB68E1" w14:paraId="42A10926" w14:textId="77777777">
        <w:trPr>
          <w:jc w:val="center"/>
        </w:trPr>
        <w:tc>
          <w:tcPr>
            <w:tcW w:w="0" w:type="auto"/>
            <w:shd w:val="clear" w:color="auto" w:fill="auto"/>
            <w:tcMar>
              <w:top w:w="40" w:type="dxa"/>
              <w:left w:w="40" w:type="dxa"/>
              <w:bottom w:w="40" w:type="dxa"/>
              <w:right w:w="40" w:type="dxa"/>
            </w:tcMar>
            <w:vAlign w:val="bottom"/>
          </w:tcPr>
          <w:p w14:paraId="42A10923" w14:textId="77777777" w:rsidR="00BB68E1" w:rsidRDefault="005D2D5E">
            <w:pPr>
              <w:textAlignment w:val="bottom"/>
              <w:rPr>
                <w:rFonts w:ascii="Times New Roman" w:hAnsi="Times New Roman"/>
                <w:sz w:val="18"/>
                <w:szCs w:val="18"/>
              </w:rPr>
            </w:pPr>
            <w:hyperlink r:id="rId69" w:anchor="sE049CC53B7765F3A8204EF788C261B8D" w:history="1">
              <w:r>
                <w:rPr>
                  <w:rStyle w:val="a5"/>
                  <w:rFonts w:ascii="Times New Roman" w:eastAsia="宋体" w:hAnsi="Times New Roman"/>
                  <w:sz w:val="18"/>
                  <w:szCs w:val="18"/>
                </w:rPr>
                <w:t>Item 16</w:t>
              </w:r>
            </w:hyperlink>
          </w:p>
        </w:tc>
        <w:tc>
          <w:tcPr>
            <w:tcW w:w="0" w:type="auto"/>
            <w:shd w:val="clear" w:color="auto" w:fill="auto"/>
            <w:tcMar>
              <w:top w:w="40" w:type="dxa"/>
              <w:left w:w="40" w:type="dxa"/>
              <w:bottom w:w="40" w:type="dxa"/>
              <w:right w:w="40" w:type="dxa"/>
            </w:tcMar>
            <w:vAlign w:val="bottom"/>
          </w:tcPr>
          <w:p w14:paraId="42A10924" w14:textId="77777777" w:rsidR="00BB68E1" w:rsidRDefault="005D2D5E">
            <w:pPr>
              <w:textAlignment w:val="bottom"/>
              <w:rPr>
                <w:rFonts w:ascii="Times New Roman" w:hAnsi="Times New Roman"/>
                <w:sz w:val="18"/>
                <w:szCs w:val="18"/>
              </w:rPr>
            </w:pPr>
            <w:hyperlink r:id="rId70" w:anchor="sE049CC53B7765F3A8204EF788C261B8D" w:history="1">
              <w:r>
                <w:rPr>
                  <w:rStyle w:val="a5"/>
                  <w:rFonts w:ascii="Times New Roman" w:eastAsia="宋体" w:hAnsi="Times New Roman"/>
                  <w:sz w:val="18"/>
                  <w:szCs w:val="18"/>
                </w:rPr>
                <w:t>Form 10-K Su</w:t>
              </w:r>
              <w:r>
                <w:rPr>
                  <w:rStyle w:val="a5"/>
                  <w:rFonts w:ascii="Times New Roman" w:eastAsia="宋体" w:hAnsi="Times New Roman"/>
                  <w:sz w:val="18"/>
                  <w:szCs w:val="18"/>
                </w:rPr>
                <w:t>mmary</w:t>
              </w:r>
            </w:hyperlink>
          </w:p>
        </w:tc>
        <w:tc>
          <w:tcPr>
            <w:tcW w:w="0" w:type="auto"/>
            <w:shd w:val="clear" w:color="auto" w:fill="auto"/>
            <w:tcMar>
              <w:top w:w="40" w:type="dxa"/>
              <w:left w:w="40" w:type="dxa"/>
              <w:bottom w:w="40" w:type="dxa"/>
              <w:right w:w="40" w:type="dxa"/>
            </w:tcMar>
            <w:vAlign w:val="bottom"/>
          </w:tcPr>
          <w:p w14:paraId="42A10925" w14:textId="77777777" w:rsidR="00BB68E1" w:rsidRDefault="005D2D5E">
            <w:pPr>
              <w:jc w:val="center"/>
              <w:textAlignment w:val="bottom"/>
              <w:rPr>
                <w:rFonts w:ascii="Times New Roman" w:hAnsi="Times New Roman"/>
                <w:sz w:val="18"/>
                <w:szCs w:val="18"/>
              </w:rPr>
            </w:pPr>
            <w:hyperlink r:id="rId71" w:anchor="sE049CC53B7765F3A8204EF788C261B8D" w:history="1">
              <w:r>
                <w:rPr>
                  <w:rStyle w:val="a5"/>
                  <w:rFonts w:ascii="Times New Roman" w:eastAsia="宋体" w:hAnsi="Times New Roman"/>
                  <w:sz w:val="18"/>
                  <w:szCs w:val="18"/>
                </w:rPr>
                <w:t>82</w:t>
              </w:r>
            </w:hyperlink>
          </w:p>
        </w:tc>
      </w:tr>
      <w:tr w:rsidR="00BB68E1" w14:paraId="42A1092A" w14:textId="77777777">
        <w:trPr>
          <w:jc w:val="center"/>
        </w:trPr>
        <w:tc>
          <w:tcPr>
            <w:tcW w:w="0" w:type="auto"/>
            <w:shd w:val="clear" w:color="auto" w:fill="auto"/>
            <w:tcMar>
              <w:top w:w="40" w:type="dxa"/>
              <w:left w:w="40" w:type="dxa"/>
              <w:bottom w:w="40" w:type="dxa"/>
              <w:right w:w="40" w:type="dxa"/>
            </w:tcMar>
            <w:vAlign w:val="bottom"/>
          </w:tcPr>
          <w:p w14:paraId="42A1092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928" w14:textId="77777777" w:rsidR="00BB68E1" w:rsidRDefault="005D2D5E">
            <w:pPr>
              <w:textAlignment w:val="bottom"/>
              <w:rPr>
                <w:rFonts w:ascii="Times New Roman" w:hAnsi="Times New Roman"/>
                <w:sz w:val="18"/>
                <w:szCs w:val="18"/>
              </w:rPr>
            </w:pPr>
            <w:hyperlink r:id="rId72" w:anchor="s8DD6A023D0DE57D1897EB75766F595CE" w:history="1">
              <w:r>
                <w:rPr>
                  <w:rStyle w:val="a5"/>
                  <w:rFonts w:ascii="Times New Roman" w:eastAsia="宋体" w:hAnsi="Times New Roman"/>
                  <w:sz w:val="18"/>
                  <w:szCs w:val="18"/>
                </w:rPr>
                <w:t>Signatures</w:t>
              </w:r>
            </w:hyperlink>
          </w:p>
        </w:tc>
        <w:tc>
          <w:tcPr>
            <w:tcW w:w="0" w:type="auto"/>
            <w:shd w:val="clear" w:color="auto" w:fill="auto"/>
            <w:tcMar>
              <w:top w:w="40" w:type="dxa"/>
              <w:left w:w="40" w:type="dxa"/>
              <w:bottom w:w="40" w:type="dxa"/>
              <w:right w:w="40" w:type="dxa"/>
            </w:tcMar>
            <w:vAlign w:val="bottom"/>
          </w:tcPr>
          <w:p w14:paraId="42A10929" w14:textId="77777777" w:rsidR="00BB68E1" w:rsidRDefault="005D2D5E">
            <w:pPr>
              <w:jc w:val="center"/>
              <w:textAlignment w:val="bottom"/>
              <w:rPr>
                <w:rFonts w:ascii="Times New Roman" w:hAnsi="Times New Roman"/>
                <w:sz w:val="18"/>
                <w:szCs w:val="18"/>
              </w:rPr>
            </w:pPr>
            <w:hyperlink r:id="rId73" w:anchor="s8DD6A023D0DE57D1897EB75766F595CE" w:history="1">
              <w:r>
                <w:rPr>
                  <w:rStyle w:val="a5"/>
                  <w:rFonts w:ascii="Times New Roman" w:eastAsia="宋体" w:hAnsi="Times New Roman"/>
                  <w:sz w:val="18"/>
                  <w:szCs w:val="18"/>
                </w:rPr>
                <w:t>83</w:t>
              </w:r>
            </w:hyperlink>
          </w:p>
        </w:tc>
      </w:tr>
      <w:tr w:rsidR="00BB68E1" w14:paraId="42A1092E" w14:textId="77777777">
        <w:trPr>
          <w:jc w:val="center"/>
        </w:trPr>
        <w:tc>
          <w:tcPr>
            <w:tcW w:w="0" w:type="auto"/>
            <w:shd w:val="clear" w:color="auto" w:fill="auto"/>
            <w:tcMar>
              <w:top w:w="40" w:type="dxa"/>
              <w:left w:w="40" w:type="dxa"/>
              <w:bottom w:w="40" w:type="dxa"/>
              <w:right w:w="40" w:type="dxa"/>
            </w:tcMar>
            <w:vAlign w:val="bottom"/>
          </w:tcPr>
          <w:p w14:paraId="42A1092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92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92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932" w14:textId="77777777">
        <w:trPr>
          <w:jc w:val="center"/>
        </w:trPr>
        <w:tc>
          <w:tcPr>
            <w:tcW w:w="0" w:type="auto"/>
            <w:shd w:val="clear" w:color="auto" w:fill="auto"/>
            <w:tcMar>
              <w:top w:w="40" w:type="dxa"/>
              <w:left w:w="40" w:type="dxa"/>
              <w:bottom w:w="40" w:type="dxa"/>
              <w:right w:w="40" w:type="dxa"/>
            </w:tcMar>
            <w:vAlign w:val="bottom"/>
          </w:tcPr>
          <w:p w14:paraId="42A1092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93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93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936" w14:textId="77777777">
        <w:trPr>
          <w:jc w:val="center"/>
        </w:trPr>
        <w:tc>
          <w:tcPr>
            <w:tcW w:w="0" w:type="auto"/>
            <w:shd w:val="clear" w:color="auto" w:fill="auto"/>
            <w:tcMar>
              <w:top w:w="40" w:type="dxa"/>
              <w:left w:w="40" w:type="dxa"/>
              <w:bottom w:w="40" w:type="dxa"/>
              <w:right w:w="40" w:type="dxa"/>
            </w:tcMar>
            <w:vAlign w:val="bottom"/>
          </w:tcPr>
          <w:p w14:paraId="42A1093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93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93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bl>
    <w:p w14:paraId="42A10937" w14:textId="77777777" w:rsidR="00BB68E1" w:rsidRDefault="00BB68E1">
      <w:pPr>
        <w:rPr>
          <w:rFonts w:ascii="Times New Roman" w:hAnsi="Times New Roman"/>
          <w:sz w:val="20"/>
          <w:szCs w:val="20"/>
        </w:rPr>
      </w:pPr>
    </w:p>
    <w:p w14:paraId="42A10938" w14:textId="77777777" w:rsidR="00BB68E1" w:rsidRDefault="005D2D5E">
      <w:r>
        <w:rPr>
          <w:rFonts w:ascii="Times New Roman" w:hAnsi="Times New Roman"/>
          <w:sz w:val="20"/>
          <w:szCs w:val="20"/>
        </w:rPr>
        <w:pict w14:anchorId="42A14278">
          <v:rect id="_x0000_i1027" style="width:415.3pt;height:1.5pt" o:hralign="center" o:hrstd="t" o:hr="t" fillcolor="#a0a0a0" stroked="f"/>
        </w:pict>
      </w:r>
    </w:p>
    <w:p w14:paraId="42A10939" w14:textId="77777777" w:rsidR="00BB68E1" w:rsidRDefault="00BB68E1">
      <w:pPr>
        <w:rPr>
          <w:rFonts w:ascii="Times New Roman" w:hAnsi="Times New Roman"/>
          <w:sz w:val="20"/>
          <w:szCs w:val="20"/>
        </w:rPr>
      </w:pPr>
    </w:p>
    <w:p w14:paraId="42A1093A"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42A1093B" w14:textId="77777777" w:rsidR="00BB68E1" w:rsidRDefault="00BB68E1">
      <w:pPr>
        <w:spacing w:line="288" w:lineRule="auto"/>
        <w:jc w:val="center"/>
        <w:rPr>
          <w:rFonts w:ascii="Times New Roman" w:hAnsi="Times New Roman"/>
          <w:sz w:val="20"/>
          <w:szCs w:val="20"/>
        </w:rPr>
      </w:pPr>
    </w:p>
    <w:p w14:paraId="42A1093C"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ANNUAL REPORT ON FORM 10-K</w:t>
      </w:r>
    </w:p>
    <w:p w14:paraId="42A1093D"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 xml:space="preserve">FOR THE FISCAL YEAR ENDED JANUARY 31, 2020 </w:t>
      </w:r>
    </w:p>
    <w:p w14:paraId="42A1093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All references in this Annual Report on Form 10-K, the </w:t>
      </w:r>
      <w:r>
        <w:rPr>
          <w:rFonts w:ascii="Times New Roman" w:eastAsia="宋体" w:hAnsi="Times New Roman"/>
          <w:sz w:val="20"/>
          <w:szCs w:val="20"/>
        </w:rPr>
        <w:t>information incorporated into this Annual Report on Form 10-K by reference to information in the Proxy Statement of Walmart Inc. for its Annual Shareholders' Meeting to be held on June 3, 2020 and in the exhibits to this Annual Report on Form 10-K to "Walm</w:t>
      </w:r>
      <w:r>
        <w:rPr>
          <w:rFonts w:ascii="Times New Roman" w:eastAsia="宋体" w:hAnsi="Times New Roman"/>
          <w:sz w:val="20"/>
          <w:szCs w:val="20"/>
        </w:rPr>
        <w:t xml:space="preserve">art Inc.," "Wal-Mart Stores, Inc.," "Walmart," "the Company," "our Company," </w:t>
      </w:r>
      <w:r>
        <w:rPr>
          <w:rFonts w:ascii="Times New Roman" w:eastAsia="宋体" w:hAnsi="Times New Roman"/>
          <w:sz w:val="20"/>
          <w:szCs w:val="20"/>
        </w:rPr>
        <w:lastRenderedPageBreak/>
        <w:t>"we," "us" and "our" are to the Delaware corporation named "Wal-Mart Stores, Inc." prior to February 1, 2018 and named "Walmart Inc." commencing on February 1, 2018 and, except wh</w:t>
      </w:r>
      <w:r>
        <w:rPr>
          <w:rFonts w:ascii="Times New Roman" w:eastAsia="宋体" w:hAnsi="Times New Roman"/>
          <w:sz w:val="20"/>
          <w:szCs w:val="20"/>
        </w:rPr>
        <w:t>ere expressly noted otherwise or the context otherwise requires, that corporation's consolidated subsidiaries.</w:t>
      </w:r>
    </w:p>
    <w:p w14:paraId="42A1093F"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u w:val="single"/>
        </w:rPr>
        <w:t>PART I</w:t>
      </w:r>
    </w:p>
    <w:p w14:paraId="42A10940"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Cautionary Statement Regarding Forward-Looking Statements</w:t>
      </w:r>
    </w:p>
    <w:p w14:paraId="42A1094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This Annual Report on Form 10-K and other reports, statements, and information t</w:t>
      </w:r>
      <w:r>
        <w:rPr>
          <w:rFonts w:ascii="Times New Roman" w:eastAsia="宋体" w:hAnsi="Times New Roman"/>
          <w:sz w:val="20"/>
          <w:szCs w:val="20"/>
        </w:rPr>
        <w:t>hat Walmart Inc. (which individually or together with its subsidiaries, as the context otherwise requires, is referred to as "we," "Walmart" or the "Company") has filed with or furnished to the Securities and Exchange Commission ("SEC") or may file with or</w:t>
      </w:r>
      <w:r>
        <w:rPr>
          <w:rFonts w:ascii="Times New Roman" w:eastAsia="宋体" w:hAnsi="Times New Roman"/>
          <w:sz w:val="20"/>
          <w:szCs w:val="20"/>
        </w:rPr>
        <w:t xml:space="preserve"> furnish to the SEC in the future, and prior or future public announcements and presentations that we or our management have made or may make, include or may include, or incorporate or may incorporate by reference, statements that may be deemed to be "forw</w:t>
      </w:r>
      <w:r>
        <w:rPr>
          <w:rFonts w:ascii="Times New Roman" w:eastAsia="宋体" w:hAnsi="Times New Roman"/>
          <w:sz w:val="20"/>
          <w:szCs w:val="20"/>
        </w:rPr>
        <w:t>ard-looking statements" within the meaning of Section 21E of the Securities Exchange Act of 1934, as amended (the "Act"), that are intended to enjoy the protection of the safe harbor for forward-looking statements provided by the Act.</w:t>
      </w:r>
    </w:p>
    <w:p w14:paraId="42A1094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u w:val="single"/>
        </w:rPr>
        <w:t>Nature of Forward-Loo</w:t>
      </w:r>
      <w:r>
        <w:rPr>
          <w:rFonts w:ascii="Times New Roman" w:eastAsia="宋体" w:hAnsi="Times New Roman"/>
          <w:sz w:val="20"/>
          <w:szCs w:val="20"/>
          <w:u w:val="single"/>
        </w:rPr>
        <w:t>king Statements</w:t>
      </w:r>
    </w:p>
    <w:p w14:paraId="42A1094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Such forward-looking statements are not statements of historical facts, but instead express our estimates or expectations for our consolidated, or one of our segment's, economic performance or results of operations for future periods or as </w:t>
      </w:r>
      <w:r>
        <w:rPr>
          <w:rFonts w:ascii="Times New Roman" w:eastAsia="宋体" w:hAnsi="Times New Roman"/>
          <w:sz w:val="20"/>
          <w:szCs w:val="20"/>
        </w:rPr>
        <w:t>of future dates or events or developments that may occur in the future or discuss our plans, objectives or goals. These forward-looking statements relate to:</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946" w14:textId="77777777">
        <w:trPr>
          <w:tblCellSpacing w:w="0" w:type="dxa"/>
        </w:trPr>
        <w:tc>
          <w:tcPr>
            <w:tcW w:w="960" w:type="dxa"/>
            <w:shd w:val="clear" w:color="auto" w:fill="auto"/>
            <w:vAlign w:val="center"/>
          </w:tcPr>
          <w:p w14:paraId="42A10944" w14:textId="77777777" w:rsidR="00BB68E1" w:rsidRDefault="00BB68E1">
            <w:pPr>
              <w:rPr>
                <w:rFonts w:ascii="Times New Roman" w:hAnsi="Times New Roman"/>
                <w:sz w:val="20"/>
                <w:szCs w:val="20"/>
              </w:rPr>
            </w:pPr>
          </w:p>
        </w:tc>
        <w:tc>
          <w:tcPr>
            <w:tcW w:w="0" w:type="auto"/>
            <w:shd w:val="clear" w:color="auto" w:fill="auto"/>
            <w:vAlign w:val="center"/>
          </w:tcPr>
          <w:p w14:paraId="42A10945" w14:textId="77777777" w:rsidR="00BB68E1" w:rsidRDefault="00BB68E1">
            <w:pPr>
              <w:rPr>
                <w:rFonts w:ascii="Times New Roman" w:hAnsi="Times New Roman"/>
                <w:sz w:val="20"/>
                <w:szCs w:val="20"/>
              </w:rPr>
            </w:pPr>
          </w:p>
        </w:tc>
      </w:tr>
      <w:tr w:rsidR="00BB68E1" w14:paraId="42A10949" w14:textId="77777777">
        <w:trPr>
          <w:tblCellSpacing w:w="0" w:type="dxa"/>
        </w:trPr>
        <w:tc>
          <w:tcPr>
            <w:tcW w:w="0" w:type="auto"/>
            <w:shd w:val="clear" w:color="auto" w:fill="auto"/>
          </w:tcPr>
          <w:p w14:paraId="42A10947"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48"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growth of our business or change in our competitive position in the future or in or over </w:t>
            </w:r>
            <w:r>
              <w:rPr>
                <w:rFonts w:ascii="Times New Roman" w:eastAsia="宋体" w:hAnsi="Times New Roman"/>
                <w:sz w:val="20"/>
                <w:szCs w:val="20"/>
              </w:rPr>
              <w:t>particular periods;</w:t>
            </w:r>
          </w:p>
        </w:tc>
      </w:tr>
    </w:tbl>
    <w:p w14:paraId="42A1094A"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94D" w14:textId="77777777">
        <w:trPr>
          <w:tblCellSpacing w:w="0" w:type="dxa"/>
        </w:trPr>
        <w:tc>
          <w:tcPr>
            <w:tcW w:w="960" w:type="dxa"/>
            <w:shd w:val="clear" w:color="auto" w:fill="auto"/>
            <w:vAlign w:val="center"/>
          </w:tcPr>
          <w:p w14:paraId="42A1094B" w14:textId="77777777" w:rsidR="00BB68E1" w:rsidRDefault="00BB68E1">
            <w:pPr>
              <w:rPr>
                <w:rFonts w:ascii="Times New Roman" w:hAnsi="Times New Roman"/>
                <w:sz w:val="20"/>
                <w:szCs w:val="20"/>
              </w:rPr>
            </w:pPr>
          </w:p>
        </w:tc>
        <w:tc>
          <w:tcPr>
            <w:tcW w:w="0" w:type="auto"/>
            <w:shd w:val="clear" w:color="auto" w:fill="auto"/>
            <w:vAlign w:val="center"/>
          </w:tcPr>
          <w:p w14:paraId="42A1094C" w14:textId="77777777" w:rsidR="00BB68E1" w:rsidRDefault="00BB68E1">
            <w:pPr>
              <w:rPr>
                <w:rFonts w:ascii="Times New Roman" w:hAnsi="Times New Roman"/>
                <w:sz w:val="20"/>
                <w:szCs w:val="20"/>
              </w:rPr>
            </w:pPr>
          </w:p>
        </w:tc>
      </w:tr>
      <w:tr w:rsidR="00BB68E1" w14:paraId="42A10950" w14:textId="77777777">
        <w:trPr>
          <w:tblCellSpacing w:w="0" w:type="dxa"/>
        </w:trPr>
        <w:tc>
          <w:tcPr>
            <w:tcW w:w="0" w:type="auto"/>
            <w:shd w:val="clear" w:color="auto" w:fill="auto"/>
          </w:tcPr>
          <w:p w14:paraId="42A1094E"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4F"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amount, number, growth, increase, reduction or decrease in or over certain periods, of or in certain financial items or measures or operating measures, including our earnings per share, net sales, comparable store and </w:t>
            </w:r>
            <w:r>
              <w:rPr>
                <w:rFonts w:ascii="Times New Roman" w:eastAsia="宋体" w:hAnsi="Times New Roman"/>
                <w:sz w:val="20"/>
                <w:szCs w:val="20"/>
              </w:rPr>
              <w:t>club sales, our Walmart U.S. operating segment's eCommerce sales, liabilities, expenses of certain categories, expense leverage, returns, capital and operating investments or expenditures of particular types and new store openings;</w:t>
            </w:r>
          </w:p>
        </w:tc>
      </w:tr>
    </w:tbl>
    <w:p w14:paraId="42A10951"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954" w14:textId="77777777">
        <w:trPr>
          <w:tblCellSpacing w:w="0" w:type="dxa"/>
        </w:trPr>
        <w:tc>
          <w:tcPr>
            <w:tcW w:w="960" w:type="dxa"/>
            <w:shd w:val="clear" w:color="auto" w:fill="auto"/>
            <w:vAlign w:val="center"/>
          </w:tcPr>
          <w:p w14:paraId="42A10952" w14:textId="77777777" w:rsidR="00BB68E1" w:rsidRDefault="00BB68E1">
            <w:pPr>
              <w:rPr>
                <w:rFonts w:ascii="Times New Roman" w:hAnsi="Times New Roman"/>
                <w:sz w:val="20"/>
                <w:szCs w:val="20"/>
              </w:rPr>
            </w:pPr>
          </w:p>
        </w:tc>
        <w:tc>
          <w:tcPr>
            <w:tcW w:w="0" w:type="auto"/>
            <w:shd w:val="clear" w:color="auto" w:fill="auto"/>
            <w:vAlign w:val="center"/>
          </w:tcPr>
          <w:p w14:paraId="42A10953" w14:textId="77777777" w:rsidR="00BB68E1" w:rsidRDefault="00BB68E1">
            <w:pPr>
              <w:rPr>
                <w:rFonts w:ascii="Times New Roman" w:hAnsi="Times New Roman"/>
                <w:sz w:val="20"/>
                <w:szCs w:val="20"/>
              </w:rPr>
            </w:pPr>
          </w:p>
        </w:tc>
      </w:tr>
      <w:tr w:rsidR="00BB68E1" w14:paraId="42A10957" w14:textId="77777777">
        <w:trPr>
          <w:tblCellSpacing w:w="0" w:type="dxa"/>
        </w:trPr>
        <w:tc>
          <w:tcPr>
            <w:tcW w:w="0" w:type="auto"/>
            <w:shd w:val="clear" w:color="auto" w:fill="auto"/>
          </w:tcPr>
          <w:p w14:paraId="42A10955"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56"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investments and capital expenditures we will make and how certain of those investments and capital expenditures are expected to be financed;</w:t>
            </w:r>
          </w:p>
        </w:tc>
      </w:tr>
    </w:tbl>
    <w:p w14:paraId="42A10958"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95B" w14:textId="77777777">
        <w:trPr>
          <w:tblCellSpacing w:w="0" w:type="dxa"/>
        </w:trPr>
        <w:tc>
          <w:tcPr>
            <w:tcW w:w="960" w:type="dxa"/>
            <w:shd w:val="clear" w:color="auto" w:fill="auto"/>
            <w:vAlign w:val="center"/>
          </w:tcPr>
          <w:p w14:paraId="42A10959" w14:textId="77777777" w:rsidR="00BB68E1" w:rsidRDefault="00BB68E1">
            <w:pPr>
              <w:rPr>
                <w:rFonts w:ascii="Times New Roman" w:hAnsi="Times New Roman"/>
                <w:sz w:val="20"/>
                <w:szCs w:val="20"/>
              </w:rPr>
            </w:pPr>
          </w:p>
        </w:tc>
        <w:tc>
          <w:tcPr>
            <w:tcW w:w="0" w:type="auto"/>
            <w:shd w:val="clear" w:color="auto" w:fill="auto"/>
            <w:vAlign w:val="center"/>
          </w:tcPr>
          <w:p w14:paraId="42A1095A" w14:textId="77777777" w:rsidR="00BB68E1" w:rsidRDefault="00BB68E1">
            <w:pPr>
              <w:rPr>
                <w:rFonts w:ascii="Times New Roman" w:hAnsi="Times New Roman"/>
                <w:sz w:val="20"/>
                <w:szCs w:val="20"/>
              </w:rPr>
            </w:pPr>
          </w:p>
        </w:tc>
      </w:tr>
      <w:tr w:rsidR="00BB68E1" w14:paraId="42A1095E" w14:textId="77777777">
        <w:trPr>
          <w:tblCellSpacing w:w="0" w:type="dxa"/>
        </w:trPr>
        <w:tc>
          <w:tcPr>
            <w:tcW w:w="0" w:type="auto"/>
            <w:shd w:val="clear" w:color="auto" w:fill="auto"/>
          </w:tcPr>
          <w:p w14:paraId="42A1095C"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5D"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our increasing investments in eCommerce, technology, supply chain, store remodels and other omni-channel cus</w:t>
            </w:r>
            <w:r>
              <w:rPr>
                <w:rFonts w:ascii="Times New Roman" w:eastAsia="宋体" w:hAnsi="Times New Roman"/>
                <w:sz w:val="20"/>
                <w:szCs w:val="20"/>
              </w:rPr>
              <w:t>tomer initiatives, such as same day pickup and delivery;</w:t>
            </w:r>
          </w:p>
        </w:tc>
      </w:tr>
    </w:tbl>
    <w:p w14:paraId="42A1095F"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962" w14:textId="77777777">
        <w:trPr>
          <w:tblCellSpacing w:w="0" w:type="dxa"/>
        </w:trPr>
        <w:tc>
          <w:tcPr>
            <w:tcW w:w="960" w:type="dxa"/>
            <w:shd w:val="clear" w:color="auto" w:fill="auto"/>
            <w:vAlign w:val="center"/>
          </w:tcPr>
          <w:p w14:paraId="42A10960" w14:textId="77777777" w:rsidR="00BB68E1" w:rsidRDefault="00BB68E1">
            <w:pPr>
              <w:rPr>
                <w:rFonts w:ascii="Times New Roman" w:hAnsi="Times New Roman"/>
                <w:sz w:val="20"/>
                <w:szCs w:val="20"/>
              </w:rPr>
            </w:pPr>
          </w:p>
        </w:tc>
        <w:tc>
          <w:tcPr>
            <w:tcW w:w="0" w:type="auto"/>
            <w:shd w:val="clear" w:color="auto" w:fill="auto"/>
            <w:vAlign w:val="center"/>
          </w:tcPr>
          <w:p w14:paraId="42A10961" w14:textId="77777777" w:rsidR="00BB68E1" w:rsidRDefault="00BB68E1">
            <w:pPr>
              <w:rPr>
                <w:rFonts w:ascii="Times New Roman" w:hAnsi="Times New Roman"/>
                <w:sz w:val="20"/>
                <w:szCs w:val="20"/>
              </w:rPr>
            </w:pPr>
          </w:p>
        </w:tc>
      </w:tr>
      <w:tr w:rsidR="00BB68E1" w14:paraId="42A10965" w14:textId="77777777">
        <w:trPr>
          <w:tblCellSpacing w:w="0" w:type="dxa"/>
        </w:trPr>
        <w:tc>
          <w:tcPr>
            <w:tcW w:w="0" w:type="auto"/>
            <w:shd w:val="clear" w:color="auto" w:fill="auto"/>
          </w:tcPr>
          <w:p w14:paraId="42A10963"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64"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volatility in currency exchange rates and fuel prices affecting our or one of our segments' results of operations;</w:t>
            </w:r>
          </w:p>
        </w:tc>
      </w:tr>
    </w:tbl>
    <w:p w14:paraId="42A10966"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969" w14:textId="77777777">
        <w:trPr>
          <w:tblCellSpacing w:w="0" w:type="dxa"/>
        </w:trPr>
        <w:tc>
          <w:tcPr>
            <w:tcW w:w="960" w:type="dxa"/>
            <w:shd w:val="clear" w:color="auto" w:fill="auto"/>
            <w:vAlign w:val="center"/>
          </w:tcPr>
          <w:p w14:paraId="42A10967" w14:textId="77777777" w:rsidR="00BB68E1" w:rsidRDefault="00BB68E1">
            <w:pPr>
              <w:rPr>
                <w:rFonts w:ascii="Times New Roman" w:hAnsi="Times New Roman"/>
                <w:sz w:val="20"/>
                <w:szCs w:val="20"/>
              </w:rPr>
            </w:pPr>
          </w:p>
        </w:tc>
        <w:tc>
          <w:tcPr>
            <w:tcW w:w="0" w:type="auto"/>
            <w:shd w:val="clear" w:color="auto" w:fill="auto"/>
            <w:vAlign w:val="center"/>
          </w:tcPr>
          <w:p w14:paraId="42A10968" w14:textId="77777777" w:rsidR="00BB68E1" w:rsidRDefault="00BB68E1">
            <w:pPr>
              <w:rPr>
                <w:rFonts w:ascii="Times New Roman" w:hAnsi="Times New Roman"/>
                <w:sz w:val="20"/>
                <w:szCs w:val="20"/>
              </w:rPr>
            </w:pPr>
          </w:p>
        </w:tc>
      </w:tr>
      <w:tr w:rsidR="00BB68E1" w14:paraId="42A1096C" w14:textId="77777777">
        <w:trPr>
          <w:tblCellSpacing w:w="0" w:type="dxa"/>
        </w:trPr>
        <w:tc>
          <w:tcPr>
            <w:tcW w:w="0" w:type="auto"/>
            <w:shd w:val="clear" w:color="auto" w:fill="auto"/>
          </w:tcPr>
          <w:p w14:paraId="42A1096A"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6B"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Company continuing to provide returns to shareholders </w:t>
            </w:r>
            <w:r>
              <w:rPr>
                <w:rFonts w:ascii="Times New Roman" w:eastAsia="宋体" w:hAnsi="Times New Roman"/>
                <w:sz w:val="20"/>
                <w:szCs w:val="20"/>
              </w:rPr>
              <w:t>through share repurchases and dividends, the use of share repurchase authorization over a certain period or the source of funding of a certain portion of our share repurchases;</w:t>
            </w:r>
          </w:p>
        </w:tc>
      </w:tr>
    </w:tbl>
    <w:p w14:paraId="42A1096D"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970" w14:textId="77777777">
        <w:trPr>
          <w:tblCellSpacing w:w="0" w:type="dxa"/>
        </w:trPr>
        <w:tc>
          <w:tcPr>
            <w:tcW w:w="960" w:type="dxa"/>
            <w:shd w:val="clear" w:color="auto" w:fill="auto"/>
            <w:vAlign w:val="center"/>
          </w:tcPr>
          <w:p w14:paraId="42A1096E" w14:textId="77777777" w:rsidR="00BB68E1" w:rsidRDefault="00BB68E1">
            <w:pPr>
              <w:rPr>
                <w:rFonts w:ascii="Times New Roman" w:hAnsi="Times New Roman"/>
                <w:sz w:val="20"/>
                <w:szCs w:val="20"/>
              </w:rPr>
            </w:pPr>
          </w:p>
        </w:tc>
        <w:tc>
          <w:tcPr>
            <w:tcW w:w="0" w:type="auto"/>
            <w:shd w:val="clear" w:color="auto" w:fill="auto"/>
            <w:vAlign w:val="center"/>
          </w:tcPr>
          <w:p w14:paraId="42A1096F" w14:textId="77777777" w:rsidR="00BB68E1" w:rsidRDefault="00BB68E1">
            <w:pPr>
              <w:rPr>
                <w:rFonts w:ascii="Times New Roman" w:hAnsi="Times New Roman"/>
                <w:sz w:val="20"/>
                <w:szCs w:val="20"/>
              </w:rPr>
            </w:pPr>
          </w:p>
        </w:tc>
      </w:tr>
      <w:tr w:rsidR="00BB68E1" w14:paraId="42A10973" w14:textId="77777777">
        <w:trPr>
          <w:tblCellSpacing w:w="0" w:type="dxa"/>
        </w:trPr>
        <w:tc>
          <w:tcPr>
            <w:tcW w:w="0" w:type="auto"/>
            <w:shd w:val="clear" w:color="auto" w:fill="auto"/>
          </w:tcPr>
          <w:p w14:paraId="42A10971"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72"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our sources of liquidity, including our cash, continuing to be </w:t>
            </w:r>
            <w:r>
              <w:rPr>
                <w:rFonts w:ascii="Times New Roman" w:eastAsia="宋体" w:hAnsi="Times New Roman"/>
                <w:sz w:val="20"/>
                <w:szCs w:val="20"/>
              </w:rPr>
              <w:t>adequate or sufficient to fund and finance our operations, expansion activities, dividends and share repurchases, to meet our cash needs and to fund our operations;</w:t>
            </w:r>
          </w:p>
        </w:tc>
      </w:tr>
    </w:tbl>
    <w:p w14:paraId="42A10974"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977" w14:textId="77777777">
        <w:trPr>
          <w:tblCellSpacing w:w="0" w:type="dxa"/>
        </w:trPr>
        <w:tc>
          <w:tcPr>
            <w:tcW w:w="960" w:type="dxa"/>
            <w:shd w:val="clear" w:color="auto" w:fill="auto"/>
            <w:vAlign w:val="center"/>
          </w:tcPr>
          <w:p w14:paraId="42A10975" w14:textId="77777777" w:rsidR="00BB68E1" w:rsidRDefault="00BB68E1">
            <w:pPr>
              <w:rPr>
                <w:rFonts w:ascii="Times New Roman" w:hAnsi="Times New Roman"/>
                <w:sz w:val="20"/>
                <w:szCs w:val="20"/>
              </w:rPr>
            </w:pPr>
          </w:p>
        </w:tc>
        <w:tc>
          <w:tcPr>
            <w:tcW w:w="0" w:type="auto"/>
            <w:shd w:val="clear" w:color="auto" w:fill="auto"/>
            <w:vAlign w:val="center"/>
          </w:tcPr>
          <w:p w14:paraId="42A10976" w14:textId="77777777" w:rsidR="00BB68E1" w:rsidRDefault="00BB68E1">
            <w:pPr>
              <w:rPr>
                <w:rFonts w:ascii="Times New Roman" w:hAnsi="Times New Roman"/>
                <w:sz w:val="20"/>
                <w:szCs w:val="20"/>
              </w:rPr>
            </w:pPr>
          </w:p>
        </w:tc>
      </w:tr>
      <w:tr w:rsidR="00BB68E1" w14:paraId="42A1097A" w14:textId="77777777">
        <w:trPr>
          <w:tblCellSpacing w:w="0" w:type="dxa"/>
        </w:trPr>
        <w:tc>
          <w:tcPr>
            <w:tcW w:w="0" w:type="auto"/>
            <w:shd w:val="clear" w:color="auto" w:fill="auto"/>
          </w:tcPr>
          <w:p w14:paraId="42A10978"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79"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the insignificance of ineffective hedges; and reclassification of amounts related to</w:t>
            </w:r>
            <w:r>
              <w:rPr>
                <w:rFonts w:ascii="Times New Roman" w:eastAsia="宋体" w:hAnsi="Times New Roman"/>
                <w:sz w:val="20"/>
                <w:szCs w:val="20"/>
              </w:rPr>
              <w:t xml:space="preserve"> our derivatives;</w:t>
            </w:r>
          </w:p>
        </w:tc>
      </w:tr>
    </w:tbl>
    <w:p w14:paraId="42A1097B"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97E" w14:textId="77777777">
        <w:trPr>
          <w:tblCellSpacing w:w="0" w:type="dxa"/>
        </w:trPr>
        <w:tc>
          <w:tcPr>
            <w:tcW w:w="960" w:type="dxa"/>
            <w:shd w:val="clear" w:color="auto" w:fill="auto"/>
            <w:vAlign w:val="center"/>
          </w:tcPr>
          <w:p w14:paraId="42A1097C" w14:textId="77777777" w:rsidR="00BB68E1" w:rsidRDefault="00BB68E1">
            <w:pPr>
              <w:rPr>
                <w:rFonts w:ascii="Times New Roman" w:hAnsi="Times New Roman"/>
                <w:sz w:val="20"/>
                <w:szCs w:val="20"/>
              </w:rPr>
            </w:pPr>
          </w:p>
        </w:tc>
        <w:tc>
          <w:tcPr>
            <w:tcW w:w="0" w:type="auto"/>
            <w:shd w:val="clear" w:color="auto" w:fill="auto"/>
            <w:vAlign w:val="center"/>
          </w:tcPr>
          <w:p w14:paraId="42A1097D" w14:textId="77777777" w:rsidR="00BB68E1" w:rsidRDefault="00BB68E1">
            <w:pPr>
              <w:rPr>
                <w:rFonts w:ascii="Times New Roman" w:hAnsi="Times New Roman"/>
                <w:sz w:val="20"/>
                <w:szCs w:val="20"/>
              </w:rPr>
            </w:pPr>
          </w:p>
        </w:tc>
      </w:tr>
      <w:tr w:rsidR="00BB68E1" w14:paraId="42A10981" w14:textId="77777777">
        <w:trPr>
          <w:tblCellSpacing w:w="0" w:type="dxa"/>
        </w:trPr>
        <w:tc>
          <w:tcPr>
            <w:tcW w:w="0" w:type="auto"/>
            <w:shd w:val="clear" w:color="auto" w:fill="auto"/>
          </w:tcPr>
          <w:p w14:paraId="42A1097F"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80"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our effective tax rate for certain periods and the realization of certain net deferred tax assets and the effects of resolutions of tax-related matters;</w:t>
            </w:r>
          </w:p>
        </w:tc>
      </w:tr>
    </w:tbl>
    <w:p w14:paraId="42A10982"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985" w14:textId="77777777">
        <w:trPr>
          <w:tblCellSpacing w:w="0" w:type="dxa"/>
        </w:trPr>
        <w:tc>
          <w:tcPr>
            <w:tcW w:w="960" w:type="dxa"/>
            <w:shd w:val="clear" w:color="auto" w:fill="auto"/>
            <w:vAlign w:val="center"/>
          </w:tcPr>
          <w:p w14:paraId="42A10983" w14:textId="77777777" w:rsidR="00BB68E1" w:rsidRDefault="00BB68E1">
            <w:pPr>
              <w:rPr>
                <w:rFonts w:ascii="Times New Roman" w:hAnsi="Times New Roman"/>
                <w:sz w:val="20"/>
                <w:szCs w:val="20"/>
              </w:rPr>
            </w:pPr>
          </w:p>
        </w:tc>
        <w:tc>
          <w:tcPr>
            <w:tcW w:w="0" w:type="auto"/>
            <w:shd w:val="clear" w:color="auto" w:fill="auto"/>
            <w:vAlign w:val="center"/>
          </w:tcPr>
          <w:p w14:paraId="42A10984" w14:textId="77777777" w:rsidR="00BB68E1" w:rsidRDefault="00BB68E1">
            <w:pPr>
              <w:rPr>
                <w:rFonts w:ascii="Times New Roman" w:hAnsi="Times New Roman"/>
                <w:sz w:val="20"/>
                <w:szCs w:val="20"/>
              </w:rPr>
            </w:pPr>
          </w:p>
        </w:tc>
      </w:tr>
      <w:tr w:rsidR="00BB68E1" w14:paraId="42A10988" w14:textId="77777777">
        <w:trPr>
          <w:tblCellSpacing w:w="0" w:type="dxa"/>
        </w:trPr>
        <w:tc>
          <w:tcPr>
            <w:tcW w:w="0" w:type="auto"/>
            <w:shd w:val="clear" w:color="auto" w:fill="auto"/>
          </w:tcPr>
          <w:p w14:paraId="42A10986"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87"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effect of adverse decisions in, or settlement of, litigation or other proceedings or investigations to which we are subject; </w:t>
            </w:r>
          </w:p>
        </w:tc>
      </w:tr>
    </w:tbl>
    <w:p w14:paraId="42A10989"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98C" w14:textId="77777777">
        <w:trPr>
          <w:tblCellSpacing w:w="0" w:type="dxa"/>
        </w:trPr>
        <w:tc>
          <w:tcPr>
            <w:tcW w:w="960" w:type="dxa"/>
            <w:shd w:val="clear" w:color="auto" w:fill="auto"/>
            <w:vAlign w:val="center"/>
          </w:tcPr>
          <w:p w14:paraId="42A1098A" w14:textId="77777777" w:rsidR="00BB68E1" w:rsidRDefault="00BB68E1">
            <w:pPr>
              <w:rPr>
                <w:rFonts w:ascii="Times New Roman" w:hAnsi="Times New Roman"/>
                <w:sz w:val="20"/>
                <w:szCs w:val="20"/>
              </w:rPr>
            </w:pPr>
          </w:p>
        </w:tc>
        <w:tc>
          <w:tcPr>
            <w:tcW w:w="0" w:type="auto"/>
            <w:shd w:val="clear" w:color="auto" w:fill="auto"/>
            <w:vAlign w:val="center"/>
          </w:tcPr>
          <w:p w14:paraId="42A1098B" w14:textId="77777777" w:rsidR="00BB68E1" w:rsidRDefault="00BB68E1">
            <w:pPr>
              <w:rPr>
                <w:rFonts w:ascii="Times New Roman" w:hAnsi="Times New Roman"/>
                <w:sz w:val="20"/>
                <w:szCs w:val="20"/>
              </w:rPr>
            </w:pPr>
          </w:p>
        </w:tc>
      </w:tr>
      <w:tr w:rsidR="00BB68E1" w14:paraId="42A1098F" w14:textId="77777777">
        <w:trPr>
          <w:tblCellSpacing w:w="0" w:type="dxa"/>
        </w:trPr>
        <w:tc>
          <w:tcPr>
            <w:tcW w:w="0" w:type="auto"/>
            <w:shd w:val="clear" w:color="auto" w:fill="auto"/>
          </w:tcPr>
          <w:p w14:paraId="42A1098D"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8E"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effect on the Company's results of operations or financial condition of the Company's adoption of certain new, or </w:t>
            </w:r>
            <w:r>
              <w:rPr>
                <w:rFonts w:ascii="Times New Roman" w:eastAsia="宋体" w:hAnsi="Times New Roman"/>
                <w:sz w:val="20"/>
                <w:szCs w:val="20"/>
              </w:rPr>
              <w:t>amendments to existing, accounting standards; or</w:t>
            </w:r>
          </w:p>
        </w:tc>
      </w:tr>
    </w:tbl>
    <w:p w14:paraId="42A10990"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993" w14:textId="77777777">
        <w:trPr>
          <w:tblCellSpacing w:w="0" w:type="dxa"/>
        </w:trPr>
        <w:tc>
          <w:tcPr>
            <w:tcW w:w="960" w:type="dxa"/>
            <w:shd w:val="clear" w:color="auto" w:fill="auto"/>
            <w:vAlign w:val="center"/>
          </w:tcPr>
          <w:p w14:paraId="42A10991" w14:textId="77777777" w:rsidR="00BB68E1" w:rsidRDefault="00BB68E1">
            <w:pPr>
              <w:rPr>
                <w:rFonts w:ascii="Times New Roman" w:hAnsi="Times New Roman"/>
                <w:sz w:val="20"/>
                <w:szCs w:val="20"/>
              </w:rPr>
            </w:pPr>
          </w:p>
        </w:tc>
        <w:tc>
          <w:tcPr>
            <w:tcW w:w="0" w:type="auto"/>
            <w:shd w:val="clear" w:color="auto" w:fill="auto"/>
            <w:vAlign w:val="center"/>
          </w:tcPr>
          <w:p w14:paraId="42A10992" w14:textId="77777777" w:rsidR="00BB68E1" w:rsidRDefault="00BB68E1">
            <w:pPr>
              <w:rPr>
                <w:rFonts w:ascii="Times New Roman" w:hAnsi="Times New Roman"/>
                <w:sz w:val="20"/>
                <w:szCs w:val="20"/>
              </w:rPr>
            </w:pPr>
          </w:p>
        </w:tc>
      </w:tr>
      <w:tr w:rsidR="00BB68E1" w14:paraId="42A10996" w14:textId="77777777">
        <w:trPr>
          <w:tblCellSpacing w:w="0" w:type="dxa"/>
        </w:trPr>
        <w:tc>
          <w:tcPr>
            <w:tcW w:w="0" w:type="auto"/>
            <w:shd w:val="clear" w:color="auto" w:fill="auto"/>
          </w:tcPr>
          <w:p w14:paraId="42A10994"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95"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our commitments, intentions, plans or goals related to the sustainability of our environment and supply chains, the promotion of economic opportunity or other societal initiatives.</w:t>
            </w:r>
          </w:p>
        </w:tc>
      </w:tr>
    </w:tbl>
    <w:p w14:paraId="42A1099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Our forward-looking statements may also include statements of our strategies, plans and objectives for our operations, including areas of future focus in our operations, and the assumptions underlying any of the forward-looking statements we make. The forw</w:t>
      </w:r>
      <w:r>
        <w:rPr>
          <w:rFonts w:ascii="Times New Roman" w:eastAsia="宋体" w:hAnsi="Times New Roman"/>
          <w:sz w:val="20"/>
          <w:szCs w:val="20"/>
        </w:rPr>
        <w:t>ard-looking statements we make can typically be identified by the use therein of words and phrases such as "aim," "anticipate," "believe," "could be," "could increase," "could occur," "could result," "continue," "estimate," "expansion," "expect," "expectat</w:t>
      </w:r>
      <w:r>
        <w:rPr>
          <w:rFonts w:ascii="Times New Roman" w:eastAsia="宋体" w:hAnsi="Times New Roman"/>
          <w:sz w:val="20"/>
          <w:szCs w:val="20"/>
        </w:rPr>
        <w:t>ion," "expected to be," "focus," "forecast," "goal," "grow," "guidance," "intend," "invest," "is expected," "may continue," "may fluctuate," "may grow," "may impact," "may result," "objective," "plan," "priority," "project," "strategy," "to be," "we'll," "</w:t>
      </w:r>
      <w:r>
        <w:rPr>
          <w:rFonts w:ascii="Times New Roman" w:eastAsia="宋体" w:hAnsi="Times New Roman"/>
          <w:sz w:val="20"/>
          <w:szCs w:val="20"/>
        </w:rPr>
        <w:t xml:space="preserve">we will," "will add," "will allow," "will be," "will benefit," "will change," "will come in at," "will continue," "will decrease," "will grow," "will have," "will impact," "will include," "will increase," "will open," "will remain," "will result," </w:t>
      </w:r>
    </w:p>
    <w:p w14:paraId="42A10998" w14:textId="77777777" w:rsidR="00BB68E1" w:rsidRDefault="00BB68E1">
      <w:pPr>
        <w:rPr>
          <w:rFonts w:ascii="Times New Roman" w:hAnsi="Times New Roman"/>
          <w:sz w:val="20"/>
          <w:szCs w:val="20"/>
        </w:rPr>
      </w:pPr>
    </w:p>
    <w:p w14:paraId="42A10999"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4</w:t>
      </w:r>
    </w:p>
    <w:p w14:paraId="42A1099A" w14:textId="77777777" w:rsidR="00BB68E1" w:rsidRDefault="00BB68E1">
      <w:pPr>
        <w:spacing w:line="288" w:lineRule="auto"/>
        <w:jc w:val="center"/>
        <w:rPr>
          <w:rFonts w:ascii="Times New Roman" w:hAnsi="Times New Roman"/>
          <w:sz w:val="20"/>
          <w:szCs w:val="20"/>
        </w:rPr>
      </w:pPr>
    </w:p>
    <w:p w14:paraId="42A1099B" w14:textId="77777777" w:rsidR="00BB68E1" w:rsidRDefault="005D2D5E">
      <w:r>
        <w:rPr>
          <w:rFonts w:ascii="Times New Roman" w:hAnsi="Times New Roman"/>
          <w:sz w:val="20"/>
          <w:szCs w:val="20"/>
        </w:rPr>
        <w:pict w14:anchorId="42A14279">
          <v:rect id="_x0000_i1028" style="width:415.3pt;height:1.5pt" o:hralign="center" o:hrstd="t" o:hr="t" fillcolor="#a0a0a0" stroked="f"/>
        </w:pict>
      </w:r>
    </w:p>
    <w:p w14:paraId="42A1099C" w14:textId="77777777" w:rsidR="00BB68E1" w:rsidRDefault="00BB68E1">
      <w:pPr>
        <w:rPr>
          <w:rFonts w:ascii="Times New Roman" w:hAnsi="Times New Roman"/>
          <w:sz w:val="20"/>
          <w:szCs w:val="20"/>
        </w:rPr>
      </w:pPr>
    </w:p>
    <w:p w14:paraId="42A1099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"will stay," "will strengthen," "would be," "would decrease" and "would increase," variations of such words or phrases, other phrases commencing with the word "will" or similar words and phrases denoting anticipated or expected occurrences or results. </w:t>
      </w:r>
    </w:p>
    <w:p w14:paraId="42A1099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u w:val="single"/>
        </w:rPr>
        <w:t>Ris</w:t>
      </w:r>
      <w:r>
        <w:rPr>
          <w:rFonts w:ascii="Times New Roman" w:eastAsia="宋体" w:hAnsi="Times New Roman"/>
          <w:sz w:val="20"/>
          <w:szCs w:val="20"/>
          <w:u w:val="single"/>
        </w:rPr>
        <w:t>ks Factors and Uncertainties Affecting Our Business</w:t>
      </w:r>
    </w:p>
    <w:p w14:paraId="42A1099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Our business operations are subject to numerous risks, factors and uncertainties, domestically and internationally, outside of our control. One, or a combination, of these risks, factors and uncertainties</w:t>
      </w:r>
      <w:r>
        <w:rPr>
          <w:rFonts w:ascii="Times New Roman" w:eastAsia="宋体" w:hAnsi="Times New Roman"/>
          <w:sz w:val="20"/>
          <w:szCs w:val="20"/>
        </w:rPr>
        <w:t xml:space="preserve"> could materially affect any of those matters as to which we have made forward-looking statements and cause our actual results or an actual event or occurrence to differ materially from those results or an event or occurrence described in a forward-looking</w:t>
      </w:r>
      <w:r>
        <w:rPr>
          <w:rFonts w:ascii="Times New Roman" w:eastAsia="宋体" w:hAnsi="Times New Roman"/>
          <w:sz w:val="20"/>
          <w:szCs w:val="20"/>
        </w:rPr>
        <w:t xml:space="preserve"> statement. These risks, factors and uncertainties, which may be global in their effect or affect only some of the markets in which we operate and which may affect us on a consolidated basis or affect only some of our reportable segments, include, but are </w:t>
      </w:r>
      <w:r>
        <w:rPr>
          <w:rFonts w:ascii="Times New Roman" w:eastAsia="宋体" w:hAnsi="Times New Roman"/>
          <w:sz w:val="20"/>
          <w:szCs w:val="20"/>
        </w:rPr>
        <w:t>not limited to:</w:t>
      </w:r>
    </w:p>
    <w:p w14:paraId="42A109A0"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Economic Factors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9A3" w14:textId="77777777">
        <w:trPr>
          <w:tblCellSpacing w:w="0" w:type="dxa"/>
        </w:trPr>
        <w:tc>
          <w:tcPr>
            <w:tcW w:w="960" w:type="dxa"/>
            <w:shd w:val="clear" w:color="auto" w:fill="auto"/>
            <w:vAlign w:val="center"/>
          </w:tcPr>
          <w:p w14:paraId="42A109A1" w14:textId="77777777" w:rsidR="00BB68E1" w:rsidRDefault="00BB68E1">
            <w:pPr>
              <w:rPr>
                <w:rFonts w:ascii="Times New Roman" w:hAnsi="Times New Roman"/>
                <w:sz w:val="20"/>
                <w:szCs w:val="20"/>
              </w:rPr>
            </w:pPr>
          </w:p>
        </w:tc>
        <w:tc>
          <w:tcPr>
            <w:tcW w:w="0" w:type="auto"/>
            <w:shd w:val="clear" w:color="auto" w:fill="auto"/>
            <w:vAlign w:val="center"/>
          </w:tcPr>
          <w:p w14:paraId="42A109A2" w14:textId="77777777" w:rsidR="00BB68E1" w:rsidRDefault="00BB68E1">
            <w:pPr>
              <w:rPr>
                <w:rFonts w:ascii="Times New Roman" w:hAnsi="Times New Roman"/>
                <w:sz w:val="20"/>
                <w:szCs w:val="20"/>
              </w:rPr>
            </w:pPr>
          </w:p>
        </w:tc>
      </w:tr>
      <w:tr w:rsidR="00BB68E1" w14:paraId="42A109A6" w14:textId="77777777">
        <w:trPr>
          <w:tblCellSpacing w:w="0" w:type="dxa"/>
        </w:trPr>
        <w:tc>
          <w:tcPr>
            <w:tcW w:w="0" w:type="auto"/>
            <w:shd w:val="clear" w:color="auto" w:fill="auto"/>
          </w:tcPr>
          <w:p w14:paraId="42A109A4"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A5"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economic, geo-political, capital markets and business conditions, trends and events around the world and in the markets in which Walmart operates;</w:t>
            </w:r>
          </w:p>
        </w:tc>
      </w:tr>
    </w:tbl>
    <w:p w14:paraId="42A109A7"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905"/>
      </w:tblGrid>
      <w:tr w:rsidR="00BB68E1" w14:paraId="42A109AA" w14:textId="77777777">
        <w:trPr>
          <w:tblCellSpacing w:w="0" w:type="dxa"/>
        </w:trPr>
        <w:tc>
          <w:tcPr>
            <w:tcW w:w="960" w:type="dxa"/>
            <w:shd w:val="clear" w:color="auto" w:fill="auto"/>
            <w:vAlign w:val="center"/>
          </w:tcPr>
          <w:p w14:paraId="42A109A8" w14:textId="77777777" w:rsidR="00BB68E1" w:rsidRDefault="00BB68E1">
            <w:pPr>
              <w:rPr>
                <w:rFonts w:ascii="Times New Roman" w:hAnsi="Times New Roman"/>
                <w:sz w:val="20"/>
                <w:szCs w:val="20"/>
              </w:rPr>
            </w:pPr>
          </w:p>
        </w:tc>
        <w:tc>
          <w:tcPr>
            <w:tcW w:w="0" w:type="auto"/>
            <w:shd w:val="clear" w:color="auto" w:fill="auto"/>
            <w:vAlign w:val="center"/>
          </w:tcPr>
          <w:p w14:paraId="42A109A9" w14:textId="77777777" w:rsidR="00BB68E1" w:rsidRDefault="00BB68E1">
            <w:pPr>
              <w:rPr>
                <w:rFonts w:ascii="Times New Roman" w:hAnsi="Times New Roman"/>
                <w:sz w:val="20"/>
                <w:szCs w:val="20"/>
              </w:rPr>
            </w:pPr>
          </w:p>
        </w:tc>
      </w:tr>
      <w:tr w:rsidR="00BB68E1" w14:paraId="42A109AD" w14:textId="77777777">
        <w:trPr>
          <w:tblCellSpacing w:w="0" w:type="dxa"/>
        </w:trPr>
        <w:tc>
          <w:tcPr>
            <w:tcW w:w="0" w:type="auto"/>
            <w:shd w:val="clear" w:color="auto" w:fill="auto"/>
          </w:tcPr>
          <w:p w14:paraId="42A109AB"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AC"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currency exchange rate fluctuations;</w:t>
            </w:r>
          </w:p>
        </w:tc>
      </w:tr>
    </w:tbl>
    <w:p w14:paraId="42A109AE"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794"/>
      </w:tblGrid>
      <w:tr w:rsidR="00BB68E1" w14:paraId="42A109B1" w14:textId="77777777">
        <w:trPr>
          <w:tblCellSpacing w:w="0" w:type="dxa"/>
        </w:trPr>
        <w:tc>
          <w:tcPr>
            <w:tcW w:w="960" w:type="dxa"/>
            <w:shd w:val="clear" w:color="auto" w:fill="auto"/>
            <w:vAlign w:val="center"/>
          </w:tcPr>
          <w:p w14:paraId="42A109AF" w14:textId="77777777" w:rsidR="00BB68E1" w:rsidRDefault="00BB68E1">
            <w:pPr>
              <w:rPr>
                <w:rFonts w:ascii="Times New Roman" w:hAnsi="Times New Roman"/>
                <w:sz w:val="20"/>
                <w:szCs w:val="20"/>
              </w:rPr>
            </w:pPr>
          </w:p>
        </w:tc>
        <w:tc>
          <w:tcPr>
            <w:tcW w:w="0" w:type="auto"/>
            <w:shd w:val="clear" w:color="auto" w:fill="auto"/>
            <w:vAlign w:val="center"/>
          </w:tcPr>
          <w:p w14:paraId="42A109B0" w14:textId="77777777" w:rsidR="00BB68E1" w:rsidRDefault="00BB68E1">
            <w:pPr>
              <w:rPr>
                <w:rFonts w:ascii="Times New Roman" w:hAnsi="Times New Roman"/>
                <w:sz w:val="20"/>
                <w:szCs w:val="20"/>
              </w:rPr>
            </w:pPr>
          </w:p>
        </w:tc>
      </w:tr>
      <w:tr w:rsidR="00BB68E1" w14:paraId="42A109B4" w14:textId="77777777">
        <w:trPr>
          <w:tblCellSpacing w:w="0" w:type="dxa"/>
        </w:trPr>
        <w:tc>
          <w:tcPr>
            <w:tcW w:w="0" w:type="auto"/>
            <w:shd w:val="clear" w:color="auto" w:fill="auto"/>
          </w:tcPr>
          <w:p w14:paraId="42A109B2"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B3"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changes in </w:t>
            </w:r>
            <w:r>
              <w:rPr>
                <w:rFonts w:ascii="Times New Roman" w:eastAsia="宋体" w:hAnsi="Times New Roman"/>
                <w:sz w:val="20"/>
                <w:szCs w:val="20"/>
              </w:rPr>
              <w:t>market rates of interest;</w:t>
            </w:r>
          </w:p>
        </w:tc>
      </w:tr>
    </w:tbl>
    <w:p w14:paraId="42A109B5"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794"/>
      </w:tblGrid>
      <w:tr w:rsidR="00BB68E1" w14:paraId="42A109B8" w14:textId="77777777">
        <w:trPr>
          <w:tblCellSpacing w:w="0" w:type="dxa"/>
        </w:trPr>
        <w:tc>
          <w:tcPr>
            <w:tcW w:w="960" w:type="dxa"/>
            <w:shd w:val="clear" w:color="auto" w:fill="auto"/>
            <w:vAlign w:val="center"/>
          </w:tcPr>
          <w:p w14:paraId="42A109B6" w14:textId="77777777" w:rsidR="00BB68E1" w:rsidRDefault="00BB68E1">
            <w:pPr>
              <w:rPr>
                <w:rFonts w:ascii="Times New Roman" w:hAnsi="Times New Roman"/>
                <w:sz w:val="20"/>
                <w:szCs w:val="20"/>
              </w:rPr>
            </w:pPr>
          </w:p>
        </w:tc>
        <w:tc>
          <w:tcPr>
            <w:tcW w:w="0" w:type="auto"/>
            <w:shd w:val="clear" w:color="auto" w:fill="auto"/>
            <w:vAlign w:val="center"/>
          </w:tcPr>
          <w:p w14:paraId="42A109B7" w14:textId="77777777" w:rsidR="00BB68E1" w:rsidRDefault="00BB68E1">
            <w:pPr>
              <w:rPr>
                <w:rFonts w:ascii="Times New Roman" w:hAnsi="Times New Roman"/>
                <w:sz w:val="20"/>
                <w:szCs w:val="20"/>
              </w:rPr>
            </w:pPr>
          </w:p>
        </w:tc>
      </w:tr>
      <w:tr w:rsidR="00BB68E1" w14:paraId="42A109BB" w14:textId="77777777">
        <w:trPr>
          <w:tblCellSpacing w:w="0" w:type="dxa"/>
        </w:trPr>
        <w:tc>
          <w:tcPr>
            <w:tcW w:w="0" w:type="auto"/>
            <w:shd w:val="clear" w:color="auto" w:fill="auto"/>
          </w:tcPr>
          <w:p w14:paraId="42A109B9"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BA"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changes in market levels of wages;</w:t>
            </w:r>
          </w:p>
        </w:tc>
      </w:tr>
    </w:tbl>
    <w:p w14:paraId="42A109BC"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654"/>
      </w:tblGrid>
      <w:tr w:rsidR="00BB68E1" w14:paraId="42A109BF" w14:textId="77777777">
        <w:trPr>
          <w:tblCellSpacing w:w="0" w:type="dxa"/>
        </w:trPr>
        <w:tc>
          <w:tcPr>
            <w:tcW w:w="960" w:type="dxa"/>
            <w:shd w:val="clear" w:color="auto" w:fill="auto"/>
            <w:vAlign w:val="center"/>
          </w:tcPr>
          <w:p w14:paraId="42A109BD" w14:textId="77777777" w:rsidR="00BB68E1" w:rsidRDefault="00BB68E1">
            <w:pPr>
              <w:rPr>
                <w:rFonts w:ascii="Times New Roman" w:hAnsi="Times New Roman"/>
                <w:sz w:val="20"/>
                <w:szCs w:val="20"/>
              </w:rPr>
            </w:pPr>
          </w:p>
        </w:tc>
        <w:tc>
          <w:tcPr>
            <w:tcW w:w="0" w:type="auto"/>
            <w:shd w:val="clear" w:color="auto" w:fill="auto"/>
            <w:vAlign w:val="center"/>
          </w:tcPr>
          <w:p w14:paraId="42A109BE" w14:textId="77777777" w:rsidR="00BB68E1" w:rsidRDefault="00BB68E1">
            <w:pPr>
              <w:rPr>
                <w:rFonts w:ascii="Times New Roman" w:hAnsi="Times New Roman"/>
                <w:sz w:val="20"/>
                <w:szCs w:val="20"/>
              </w:rPr>
            </w:pPr>
          </w:p>
        </w:tc>
      </w:tr>
      <w:tr w:rsidR="00BB68E1" w14:paraId="42A109C2" w14:textId="77777777">
        <w:trPr>
          <w:tblCellSpacing w:w="0" w:type="dxa"/>
        </w:trPr>
        <w:tc>
          <w:tcPr>
            <w:tcW w:w="0" w:type="auto"/>
            <w:shd w:val="clear" w:color="auto" w:fill="auto"/>
          </w:tcPr>
          <w:p w14:paraId="42A109C0"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C1"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changes in the size of various markets, including eCommerce markets;</w:t>
            </w:r>
          </w:p>
        </w:tc>
      </w:tr>
    </w:tbl>
    <w:p w14:paraId="42A109C3"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772"/>
      </w:tblGrid>
      <w:tr w:rsidR="00BB68E1" w14:paraId="42A109C6" w14:textId="77777777">
        <w:trPr>
          <w:tblCellSpacing w:w="0" w:type="dxa"/>
        </w:trPr>
        <w:tc>
          <w:tcPr>
            <w:tcW w:w="960" w:type="dxa"/>
            <w:shd w:val="clear" w:color="auto" w:fill="auto"/>
            <w:vAlign w:val="center"/>
          </w:tcPr>
          <w:p w14:paraId="42A109C4" w14:textId="77777777" w:rsidR="00BB68E1" w:rsidRDefault="00BB68E1">
            <w:pPr>
              <w:rPr>
                <w:rFonts w:ascii="Times New Roman" w:hAnsi="Times New Roman"/>
                <w:sz w:val="20"/>
                <w:szCs w:val="20"/>
              </w:rPr>
            </w:pPr>
          </w:p>
        </w:tc>
        <w:tc>
          <w:tcPr>
            <w:tcW w:w="0" w:type="auto"/>
            <w:shd w:val="clear" w:color="auto" w:fill="auto"/>
            <w:vAlign w:val="center"/>
          </w:tcPr>
          <w:p w14:paraId="42A109C5" w14:textId="77777777" w:rsidR="00BB68E1" w:rsidRDefault="00BB68E1">
            <w:pPr>
              <w:rPr>
                <w:rFonts w:ascii="Times New Roman" w:hAnsi="Times New Roman"/>
                <w:sz w:val="20"/>
                <w:szCs w:val="20"/>
              </w:rPr>
            </w:pPr>
          </w:p>
        </w:tc>
      </w:tr>
      <w:tr w:rsidR="00BB68E1" w14:paraId="42A109C9" w14:textId="77777777">
        <w:trPr>
          <w:tblCellSpacing w:w="0" w:type="dxa"/>
        </w:trPr>
        <w:tc>
          <w:tcPr>
            <w:tcW w:w="0" w:type="auto"/>
            <w:shd w:val="clear" w:color="auto" w:fill="auto"/>
          </w:tcPr>
          <w:p w14:paraId="42A109C7"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C8"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unemployment levels;</w:t>
            </w:r>
          </w:p>
        </w:tc>
      </w:tr>
    </w:tbl>
    <w:p w14:paraId="42A109CA"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215"/>
      </w:tblGrid>
      <w:tr w:rsidR="00BB68E1" w14:paraId="42A109CD" w14:textId="77777777">
        <w:trPr>
          <w:tblCellSpacing w:w="0" w:type="dxa"/>
        </w:trPr>
        <w:tc>
          <w:tcPr>
            <w:tcW w:w="960" w:type="dxa"/>
            <w:shd w:val="clear" w:color="auto" w:fill="auto"/>
            <w:vAlign w:val="center"/>
          </w:tcPr>
          <w:p w14:paraId="42A109CB" w14:textId="77777777" w:rsidR="00BB68E1" w:rsidRDefault="00BB68E1">
            <w:pPr>
              <w:rPr>
                <w:rFonts w:ascii="Times New Roman" w:hAnsi="Times New Roman"/>
                <w:sz w:val="20"/>
                <w:szCs w:val="20"/>
              </w:rPr>
            </w:pPr>
          </w:p>
        </w:tc>
        <w:tc>
          <w:tcPr>
            <w:tcW w:w="0" w:type="auto"/>
            <w:shd w:val="clear" w:color="auto" w:fill="auto"/>
            <w:vAlign w:val="center"/>
          </w:tcPr>
          <w:p w14:paraId="42A109CC" w14:textId="77777777" w:rsidR="00BB68E1" w:rsidRDefault="00BB68E1">
            <w:pPr>
              <w:rPr>
                <w:rFonts w:ascii="Times New Roman" w:hAnsi="Times New Roman"/>
                <w:sz w:val="20"/>
                <w:szCs w:val="20"/>
              </w:rPr>
            </w:pPr>
          </w:p>
        </w:tc>
      </w:tr>
      <w:tr w:rsidR="00BB68E1" w14:paraId="42A109D0" w14:textId="77777777">
        <w:trPr>
          <w:tblCellSpacing w:w="0" w:type="dxa"/>
        </w:trPr>
        <w:tc>
          <w:tcPr>
            <w:tcW w:w="0" w:type="auto"/>
            <w:shd w:val="clear" w:color="auto" w:fill="auto"/>
          </w:tcPr>
          <w:p w14:paraId="42A109CE"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CF"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inflation or deflation, generally and in certain product </w:t>
            </w:r>
            <w:r>
              <w:rPr>
                <w:rFonts w:ascii="Times New Roman" w:eastAsia="宋体" w:hAnsi="Times New Roman"/>
                <w:sz w:val="20"/>
                <w:szCs w:val="20"/>
              </w:rPr>
              <w:t>categories;</w:t>
            </w:r>
          </w:p>
        </w:tc>
      </w:tr>
    </w:tbl>
    <w:p w14:paraId="42A109D1"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128"/>
      </w:tblGrid>
      <w:tr w:rsidR="00BB68E1" w14:paraId="42A109D4" w14:textId="77777777">
        <w:trPr>
          <w:tblCellSpacing w:w="0" w:type="dxa"/>
        </w:trPr>
        <w:tc>
          <w:tcPr>
            <w:tcW w:w="960" w:type="dxa"/>
            <w:shd w:val="clear" w:color="auto" w:fill="auto"/>
            <w:vAlign w:val="center"/>
          </w:tcPr>
          <w:p w14:paraId="42A109D2" w14:textId="77777777" w:rsidR="00BB68E1" w:rsidRDefault="00BB68E1">
            <w:pPr>
              <w:rPr>
                <w:rFonts w:ascii="Times New Roman" w:hAnsi="Times New Roman"/>
                <w:sz w:val="20"/>
                <w:szCs w:val="20"/>
              </w:rPr>
            </w:pPr>
          </w:p>
        </w:tc>
        <w:tc>
          <w:tcPr>
            <w:tcW w:w="0" w:type="auto"/>
            <w:shd w:val="clear" w:color="auto" w:fill="auto"/>
            <w:vAlign w:val="center"/>
          </w:tcPr>
          <w:p w14:paraId="42A109D3" w14:textId="77777777" w:rsidR="00BB68E1" w:rsidRDefault="00BB68E1">
            <w:pPr>
              <w:rPr>
                <w:rFonts w:ascii="Times New Roman" w:hAnsi="Times New Roman"/>
                <w:sz w:val="20"/>
                <w:szCs w:val="20"/>
              </w:rPr>
            </w:pPr>
          </w:p>
        </w:tc>
      </w:tr>
      <w:tr w:rsidR="00BB68E1" w14:paraId="42A109D7" w14:textId="77777777">
        <w:trPr>
          <w:tblCellSpacing w:w="0" w:type="dxa"/>
        </w:trPr>
        <w:tc>
          <w:tcPr>
            <w:tcW w:w="0" w:type="auto"/>
            <w:shd w:val="clear" w:color="auto" w:fill="auto"/>
          </w:tcPr>
          <w:p w14:paraId="42A109D5"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D6"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transportation, energy and utility costs;</w:t>
            </w:r>
          </w:p>
        </w:tc>
      </w:tr>
    </w:tbl>
    <w:p w14:paraId="42A109D8"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910"/>
      </w:tblGrid>
      <w:tr w:rsidR="00BB68E1" w14:paraId="42A109DB" w14:textId="77777777">
        <w:trPr>
          <w:tblCellSpacing w:w="0" w:type="dxa"/>
        </w:trPr>
        <w:tc>
          <w:tcPr>
            <w:tcW w:w="960" w:type="dxa"/>
            <w:shd w:val="clear" w:color="auto" w:fill="auto"/>
            <w:vAlign w:val="center"/>
          </w:tcPr>
          <w:p w14:paraId="42A109D9" w14:textId="77777777" w:rsidR="00BB68E1" w:rsidRDefault="00BB68E1">
            <w:pPr>
              <w:rPr>
                <w:rFonts w:ascii="Times New Roman" w:hAnsi="Times New Roman"/>
                <w:sz w:val="20"/>
                <w:szCs w:val="20"/>
              </w:rPr>
            </w:pPr>
          </w:p>
        </w:tc>
        <w:tc>
          <w:tcPr>
            <w:tcW w:w="0" w:type="auto"/>
            <w:shd w:val="clear" w:color="auto" w:fill="auto"/>
            <w:vAlign w:val="center"/>
          </w:tcPr>
          <w:p w14:paraId="42A109DA" w14:textId="77777777" w:rsidR="00BB68E1" w:rsidRDefault="00BB68E1">
            <w:pPr>
              <w:rPr>
                <w:rFonts w:ascii="Times New Roman" w:hAnsi="Times New Roman"/>
                <w:sz w:val="20"/>
                <w:szCs w:val="20"/>
              </w:rPr>
            </w:pPr>
          </w:p>
        </w:tc>
      </w:tr>
      <w:tr w:rsidR="00BB68E1" w14:paraId="42A109DE" w14:textId="77777777">
        <w:trPr>
          <w:tblCellSpacing w:w="0" w:type="dxa"/>
        </w:trPr>
        <w:tc>
          <w:tcPr>
            <w:tcW w:w="0" w:type="auto"/>
            <w:shd w:val="clear" w:color="auto" w:fill="auto"/>
          </w:tcPr>
          <w:p w14:paraId="42A109DC"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DD"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commodity prices, including the prices of oil and natural gas;</w:t>
            </w:r>
          </w:p>
        </w:tc>
      </w:tr>
    </w:tbl>
    <w:p w14:paraId="42A109DF"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9E2" w14:textId="77777777">
        <w:trPr>
          <w:tblCellSpacing w:w="0" w:type="dxa"/>
        </w:trPr>
        <w:tc>
          <w:tcPr>
            <w:tcW w:w="960" w:type="dxa"/>
            <w:shd w:val="clear" w:color="auto" w:fill="auto"/>
            <w:vAlign w:val="center"/>
          </w:tcPr>
          <w:p w14:paraId="42A109E0" w14:textId="77777777" w:rsidR="00BB68E1" w:rsidRDefault="00BB68E1">
            <w:pPr>
              <w:rPr>
                <w:rFonts w:ascii="Times New Roman" w:hAnsi="Times New Roman"/>
                <w:sz w:val="20"/>
                <w:szCs w:val="20"/>
              </w:rPr>
            </w:pPr>
          </w:p>
        </w:tc>
        <w:tc>
          <w:tcPr>
            <w:tcW w:w="0" w:type="auto"/>
            <w:shd w:val="clear" w:color="auto" w:fill="auto"/>
            <w:vAlign w:val="center"/>
          </w:tcPr>
          <w:p w14:paraId="42A109E1" w14:textId="77777777" w:rsidR="00BB68E1" w:rsidRDefault="00BB68E1">
            <w:pPr>
              <w:rPr>
                <w:rFonts w:ascii="Times New Roman" w:hAnsi="Times New Roman"/>
                <w:sz w:val="20"/>
                <w:szCs w:val="20"/>
              </w:rPr>
            </w:pPr>
          </w:p>
        </w:tc>
      </w:tr>
      <w:tr w:rsidR="00BB68E1" w14:paraId="42A109E5" w14:textId="77777777">
        <w:trPr>
          <w:tblCellSpacing w:w="0" w:type="dxa"/>
        </w:trPr>
        <w:tc>
          <w:tcPr>
            <w:tcW w:w="0" w:type="auto"/>
            <w:shd w:val="clear" w:color="auto" w:fill="auto"/>
          </w:tcPr>
          <w:p w14:paraId="42A109E3"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E4"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consumer confidence, disposable income, credit availability, spending levels, shopping patterns, debt levels, and </w:t>
            </w:r>
            <w:r>
              <w:rPr>
                <w:rFonts w:ascii="Times New Roman" w:eastAsia="宋体" w:hAnsi="Times New Roman"/>
                <w:sz w:val="20"/>
                <w:szCs w:val="20"/>
              </w:rPr>
              <w:t>demand for certain merchandise;</w:t>
            </w:r>
          </w:p>
        </w:tc>
      </w:tr>
    </w:tbl>
    <w:p w14:paraId="42A109E6"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9E9" w14:textId="77777777">
        <w:trPr>
          <w:tblCellSpacing w:w="0" w:type="dxa"/>
        </w:trPr>
        <w:tc>
          <w:tcPr>
            <w:tcW w:w="960" w:type="dxa"/>
            <w:shd w:val="clear" w:color="auto" w:fill="auto"/>
            <w:vAlign w:val="center"/>
          </w:tcPr>
          <w:p w14:paraId="42A109E7" w14:textId="77777777" w:rsidR="00BB68E1" w:rsidRDefault="00BB68E1">
            <w:pPr>
              <w:rPr>
                <w:rFonts w:ascii="Times New Roman" w:hAnsi="Times New Roman"/>
                <w:sz w:val="20"/>
                <w:szCs w:val="20"/>
              </w:rPr>
            </w:pPr>
          </w:p>
        </w:tc>
        <w:tc>
          <w:tcPr>
            <w:tcW w:w="0" w:type="auto"/>
            <w:shd w:val="clear" w:color="auto" w:fill="auto"/>
            <w:vAlign w:val="center"/>
          </w:tcPr>
          <w:p w14:paraId="42A109E8" w14:textId="77777777" w:rsidR="00BB68E1" w:rsidRDefault="00BB68E1">
            <w:pPr>
              <w:rPr>
                <w:rFonts w:ascii="Times New Roman" w:hAnsi="Times New Roman"/>
                <w:sz w:val="20"/>
                <w:szCs w:val="20"/>
              </w:rPr>
            </w:pPr>
          </w:p>
        </w:tc>
      </w:tr>
      <w:tr w:rsidR="00BB68E1" w14:paraId="42A109EC" w14:textId="77777777">
        <w:trPr>
          <w:tblCellSpacing w:w="0" w:type="dxa"/>
        </w:trPr>
        <w:tc>
          <w:tcPr>
            <w:tcW w:w="0" w:type="auto"/>
            <w:shd w:val="clear" w:color="auto" w:fill="auto"/>
          </w:tcPr>
          <w:p w14:paraId="42A109EA"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EB"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trends in consumer shopping habits around the world and in the markets in which Walmart operates;</w:t>
            </w:r>
          </w:p>
        </w:tc>
      </w:tr>
    </w:tbl>
    <w:p w14:paraId="42A109ED"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9F0" w14:textId="77777777">
        <w:trPr>
          <w:tblCellSpacing w:w="0" w:type="dxa"/>
        </w:trPr>
        <w:tc>
          <w:tcPr>
            <w:tcW w:w="960" w:type="dxa"/>
            <w:shd w:val="clear" w:color="auto" w:fill="auto"/>
            <w:vAlign w:val="center"/>
          </w:tcPr>
          <w:p w14:paraId="42A109EE" w14:textId="77777777" w:rsidR="00BB68E1" w:rsidRDefault="00BB68E1">
            <w:pPr>
              <w:rPr>
                <w:rFonts w:ascii="Times New Roman" w:hAnsi="Times New Roman"/>
                <w:sz w:val="20"/>
                <w:szCs w:val="20"/>
              </w:rPr>
            </w:pPr>
          </w:p>
        </w:tc>
        <w:tc>
          <w:tcPr>
            <w:tcW w:w="0" w:type="auto"/>
            <w:shd w:val="clear" w:color="auto" w:fill="auto"/>
            <w:vAlign w:val="center"/>
          </w:tcPr>
          <w:p w14:paraId="42A109EF" w14:textId="77777777" w:rsidR="00BB68E1" w:rsidRDefault="00BB68E1">
            <w:pPr>
              <w:rPr>
                <w:rFonts w:ascii="Times New Roman" w:hAnsi="Times New Roman"/>
                <w:sz w:val="20"/>
                <w:szCs w:val="20"/>
              </w:rPr>
            </w:pPr>
          </w:p>
        </w:tc>
      </w:tr>
      <w:tr w:rsidR="00BB68E1" w14:paraId="42A109F3" w14:textId="77777777">
        <w:trPr>
          <w:tblCellSpacing w:w="0" w:type="dxa"/>
        </w:trPr>
        <w:tc>
          <w:tcPr>
            <w:tcW w:w="0" w:type="auto"/>
            <w:shd w:val="clear" w:color="auto" w:fill="auto"/>
          </w:tcPr>
          <w:p w14:paraId="42A109F1"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F2"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consumer enrollment in health and drug insurance programs and such programs' reimbursement rates and drug </w:t>
            </w:r>
            <w:r>
              <w:rPr>
                <w:rFonts w:ascii="Times New Roman" w:eastAsia="宋体" w:hAnsi="Times New Roman"/>
                <w:sz w:val="20"/>
                <w:szCs w:val="20"/>
              </w:rPr>
              <w:t>formularies; and</w:t>
            </w:r>
          </w:p>
        </w:tc>
      </w:tr>
    </w:tbl>
    <w:p w14:paraId="42A109F4"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9F7" w14:textId="77777777">
        <w:trPr>
          <w:tblCellSpacing w:w="0" w:type="dxa"/>
        </w:trPr>
        <w:tc>
          <w:tcPr>
            <w:tcW w:w="960" w:type="dxa"/>
            <w:shd w:val="clear" w:color="auto" w:fill="auto"/>
            <w:vAlign w:val="center"/>
          </w:tcPr>
          <w:p w14:paraId="42A109F5" w14:textId="77777777" w:rsidR="00BB68E1" w:rsidRDefault="00BB68E1">
            <w:pPr>
              <w:rPr>
                <w:rFonts w:ascii="Times New Roman" w:hAnsi="Times New Roman"/>
                <w:sz w:val="20"/>
                <w:szCs w:val="20"/>
              </w:rPr>
            </w:pPr>
          </w:p>
        </w:tc>
        <w:tc>
          <w:tcPr>
            <w:tcW w:w="0" w:type="auto"/>
            <w:shd w:val="clear" w:color="auto" w:fill="auto"/>
            <w:vAlign w:val="center"/>
          </w:tcPr>
          <w:p w14:paraId="42A109F6" w14:textId="77777777" w:rsidR="00BB68E1" w:rsidRDefault="00BB68E1">
            <w:pPr>
              <w:rPr>
                <w:rFonts w:ascii="Times New Roman" w:hAnsi="Times New Roman"/>
                <w:sz w:val="20"/>
                <w:szCs w:val="20"/>
              </w:rPr>
            </w:pPr>
          </w:p>
        </w:tc>
      </w:tr>
      <w:tr w:rsidR="00BB68E1" w14:paraId="42A109FA" w14:textId="77777777">
        <w:trPr>
          <w:tblCellSpacing w:w="0" w:type="dxa"/>
        </w:trPr>
        <w:tc>
          <w:tcPr>
            <w:tcW w:w="0" w:type="auto"/>
            <w:shd w:val="clear" w:color="auto" w:fill="auto"/>
          </w:tcPr>
          <w:p w14:paraId="42A109F8"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9F9"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initiatives of competitors, competitors' entry into and expansion in Walmart's markets, and competitive pressures;</w:t>
            </w:r>
          </w:p>
        </w:tc>
      </w:tr>
    </w:tbl>
    <w:p w14:paraId="42A109FB"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Operating Factors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9FE" w14:textId="77777777">
        <w:trPr>
          <w:tblCellSpacing w:w="0" w:type="dxa"/>
        </w:trPr>
        <w:tc>
          <w:tcPr>
            <w:tcW w:w="960" w:type="dxa"/>
            <w:shd w:val="clear" w:color="auto" w:fill="auto"/>
            <w:vAlign w:val="center"/>
          </w:tcPr>
          <w:p w14:paraId="42A109FC" w14:textId="77777777" w:rsidR="00BB68E1" w:rsidRDefault="00BB68E1">
            <w:pPr>
              <w:rPr>
                <w:rFonts w:ascii="Times New Roman" w:hAnsi="Times New Roman"/>
                <w:sz w:val="20"/>
                <w:szCs w:val="20"/>
              </w:rPr>
            </w:pPr>
          </w:p>
        </w:tc>
        <w:tc>
          <w:tcPr>
            <w:tcW w:w="0" w:type="auto"/>
            <w:shd w:val="clear" w:color="auto" w:fill="auto"/>
            <w:vAlign w:val="center"/>
          </w:tcPr>
          <w:p w14:paraId="42A109FD" w14:textId="77777777" w:rsidR="00BB68E1" w:rsidRDefault="00BB68E1">
            <w:pPr>
              <w:rPr>
                <w:rFonts w:ascii="Times New Roman" w:hAnsi="Times New Roman"/>
                <w:sz w:val="20"/>
                <w:szCs w:val="20"/>
              </w:rPr>
            </w:pPr>
          </w:p>
        </w:tc>
      </w:tr>
      <w:tr w:rsidR="00BB68E1" w14:paraId="42A10A01" w14:textId="77777777">
        <w:trPr>
          <w:tblCellSpacing w:w="0" w:type="dxa"/>
        </w:trPr>
        <w:tc>
          <w:tcPr>
            <w:tcW w:w="0" w:type="auto"/>
            <w:shd w:val="clear" w:color="auto" w:fill="auto"/>
          </w:tcPr>
          <w:p w14:paraId="42A109FF"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00"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amount of Walmart's net sales and operating expenses denominated in U.S. dollar and </w:t>
            </w:r>
            <w:r>
              <w:rPr>
                <w:rFonts w:ascii="Times New Roman" w:eastAsia="宋体" w:hAnsi="Times New Roman"/>
                <w:sz w:val="20"/>
                <w:szCs w:val="20"/>
              </w:rPr>
              <w:t>various foreign currencies;</w:t>
            </w:r>
          </w:p>
        </w:tc>
      </w:tr>
    </w:tbl>
    <w:p w14:paraId="42A10A02"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A05" w14:textId="77777777">
        <w:trPr>
          <w:tblCellSpacing w:w="0" w:type="dxa"/>
        </w:trPr>
        <w:tc>
          <w:tcPr>
            <w:tcW w:w="960" w:type="dxa"/>
            <w:shd w:val="clear" w:color="auto" w:fill="auto"/>
            <w:vAlign w:val="center"/>
          </w:tcPr>
          <w:p w14:paraId="42A10A03" w14:textId="77777777" w:rsidR="00BB68E1" w:rsidRDefault="00BB68E1">
            <w:pPr>
              <w:rPr>
                <w:rFonts w:ascii="Times New Roman" w:hAnsi="Times New Roman"/>
                <w:sz w:val="20"/>
                <w:szCs w:val="20"/>
              </w:rPr>
            </w:pPr>
          </w:p>
        </w:tc>
        <w:tc>
          <w:tcPr>
            <w:tcW w:w="0" w:type="auto"/>
            <w:shd w:val="clear" w:color="auto" w:fill="auto"/>
            <w:vAlign w:val="center"/>
          </w:tcPr>
          <w:p w14:paraId="42A10A04" w14:textId="77777777" w:rsidR="00BB68E1" w:rsidRDefault="00BB68E1">
            <w:pPr>
              <w:rPr>
                <w:rFonts w:ascii="Times New Roman" w:hAnsi="Times New Roman"/>
                <w:sz w:val="20"/>
                <w:szCs w:val="20"/>
              </w:rPr>
            </w:pPr>
          </w:p>
        </w:tc>
      </w:tr>
      <w:tr w:rsidR="00BB68E1" w14:paraId="42A10A08" w14:textId="77777777">
        <w:trPr>
          <w:tblCellSpacing w:w="0" w:type="dxa"/>
        </w:trPr>
        <w:tc>
          <w:tcPr>
            <w:tcW w:w="0" w:type="auto"/>
            <w:shd w:val="clear" w:color="auto" w:fill="auto"/>
          </w:tcPr>
          <w:p w14:paraId="42A10A06"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07"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the financial performance of Walmart and each of its segments, including the amounts of Walmart's cash flow during various periods;</w:t>
            </w:r>
          </w:p>
        </w:tc>
      </w:tr>
    </w:tbl>
    <w:p w14:paraId="42A10A09"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A0C" w14:textId="77777777">
        <w:trPr>
          <w:tblCellSpacing w:w="0" w:type="dxa"/>
        </w:trPr>
        <w:tc>
          <w:tcPr>
            <w:tcW w:w="960" w:type="dxa"/>
            <w:shd w:val="clear" w:color="auto" w:fill="auto"/>
            <w:vAlign w:val="center"/>
          </w:tcPr>
          <w:p w14:paraId="42A10A0A" w14:textId="77777777" w:rsidR="00BB68E1" w:rsidRDefault="00BB68E1">
            <w:pPr>
              <w:rPr>
                <w:rFonts w:ascii="Times New Roman" w:hAnsi="Times New Roman"/>
                <w:sz w:val="20"/>
                <w:szCs w:val="20"/>
              </w:rPr>
            </w:pPr>
          </w:p>
        </w:tc>
        <w:tc>
          <w:tcPr>
            <w:tcW w:w="0" w:type="auto"/>
            <w:shd w:val="clear" w:color="auto" w:fill="auto"/>
            <w:vAlign w:val="center"/>
          </w:tcPr>
          <w:p w14:paraId="42A10A0B" w14:textId="77777777" w:rsidR="00BB68E1" w:rsidRDefault="00BB68E1">
            <w:pPr>
              <w:rPr>
                <w:rFonts w:ascii="Times New Roman" w:hAnsi="Times New Roman"/>
                <w:sz w:val="20"/>
                <w:szCs w:val="20"/>
              </w:rPr>
            </w:pPr>
          </w:p>
        </w:tc>
      </w:tr>
      <w:tr w:rsidR="00BB68E1" w14:paraId="42A10A0F" w14:textId="77777777">
        <w:trPr>
          <w:tblCellSpacing w:w="0" w:type="dxa"/>
        </w:trPr>
        <w:tc>
          <w:tcPr>
            <w:tcW w:w="0" w:type="auto"/>
            <w:shd w:val="clear" w:color="auto" w:fill="auto"/>
          </w:tcPr>
          <w:p w14:paraId="42A10A0D"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0E"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customer transaction and average ticket in Walmart's stores and clubs and on </w:t>
            </w:r>
            <w:r>
              <w:rPr>
                <w:rFonts w:ascii="Times New Roman" w:eastAsia="宋体" w:hAnsi="Times New Roman"/>
                <w:sz w:val="20"/>
                <w:szCs w:val="20"/>
              </w:rPr>
              <w:t>its eCommerce platforms;</w:t>
            </w:r>
          </w:p>
        </w:tc>
      </w:tr>
    </w:tbl>
    <w:p w14:paraId="42A10A10"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293"/>
      </w:tblGrid>
      <w:tr w:rsidR="00BB68E1" w14:paraId="42A10A13" w14:textId="77777777">
        <w:trPr>
          <w:tblCellSpacing w:w="0" w:type="dxa"/>
        </w:trPr>
        <w:tc>
          <w:tcPr>
            <w:tcW w:w="960" w:type="dxa"/>
            <w:shd w:val="clear" w:color="auto" w:fill="auto"/>
            <w:vAlign w:val="center"/>
          </w:tcPr>
          <w:p w14:paraId="42A10A11" w14:textId="77777777" w:rsidR="00BB68E1" w:rsidRDefault="00BB68E1">
            <w:pPr>
              <w:rPr>
                <w:rFonts w:ascii="Times New Roman" w:hAnsi="Times New Roman"/>
                <w:sz w:val="20"/>
                <w:szCs w:val="20"/>
              </w:rPr>
            </w:pPr>
          </w:p>
        </w:tc>
        <w:tc>
          <w:tcPr>
            <w:tcW w:w="0" w:type="auto"/>
            <w:shd w:val="clear" w:color="auto" w:fill="auto"/>
            <w:vAlign w:val="center"/>
          </w:tcPr>
          <w:p w14:paraId="42A10A12" w14:textId="77777777" w:rsidR="00BB68E1" w:rsidRDefault="00BB68E1">
            <w:pPr>
              <w:rPr>
                <w:rFonts w:ascii="Times New Roman" w:hAnsi="Times New Roman"/>
                <w:sz w:val="20"/>
                <w:szCs w:val="20"/>
              </w:rPr>
            </w:pPr>
          </w:p>
        </w:tc>
      </w:tr>
      <w:tr w:rsidR="00BB68E1" w14:paraId="42A10A16" w14:textId="77777777">
        <w:trPr>
          <w:tblCellSpacing w:w="0" w:type="dxa"/>
        </w:trPr>
        <w:tc>
          <w:tcPr>
            <w:tcW w:w="0" w:type="auto"/>
            <w:shd w:val="clear" w:color="auto" w:fill="auto"/>
          </w:tcPr>
          <w:p w14:paraId="42A10A14"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15"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the mix of merchandise Walmart sells and its customers purchase;</w:t>
            </w:r>
          </w:p>
        </w:tc>
      </w:tr>
    </w:tbl>
    <w:p w14:paraId="42A10A17"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6905"/>
      </w:tblGrid>
      <w:tr w:rsidR="00BB68E1" w14:paraId="42A10A1A" w14:textId="77777777">
        <w:trPr>
          <w:tblCellSpacing w:w="0" w:type="dxa"/>
        </w:trPr>
        <w:tc>
          <w:tcPr>
            <w:tcW w:w="960" w:type="dxa"/>
            <w:shd w:val="clear" w:color="auto" w:fill="auto"/>
            <w:vAlign w:val="center"/>
          </w:tcPr>
          <w:p w14:paraId="42A10A18" w14:textId="77777777" w:rsidR="00BB68E1" w:rsidRDefault="00BB68E1">
            <w:pPr>
              <w:rPr>
                <w:rFonts w:ascii="Times New Roman" w:hAnsi="Times New Roman"/>
                <w:sz w:val="20"/>
                <w:szCs w:val="20"/>
              </w:rPr>
            </w:pPr>
          </w:p>
        </w:tc>
        <w:tc>
          <w:tcPr>
            <w:tcW w:w="0" w:type="auto"/>
            <w:shd w:val="clear" w:color="auto" w:fill="auto"/>
            <w:vAlign w:val="center"/>
          </w:tcPr>
          <w:p w14:paraId="42A10A19" w14:textId="77777777" w:rsidR="00BB68E1" w:rsidRDefault="00BB68E1">
            <w:pPr>
              <w:rPr>
                <w:rFonts w:ascii="Times New Roman" w:hAnsi="Times New Roman"/>
                <w:sz w:val="20"/>
                <w:szCs w:val="20"/>
              </w:rPr>
            </w:pPr>
          </w:p>
        </w:tc>
      </w:tr>
      <w:tr w:rsidR="00BB68E1" w14:paraId="42A10A1D" w14:textId="77777777">
        <w:trPr>
          <w:tblCellSpacing w:w="0" w:type="dxa"/>
        </w:trPr>
        <w:tc>
          <w:tcPr>
            <w:tcW w:w="0" w:type="auto"/>
            <w:shd w:val="clear" w:color="auto" w:fill="auto"/>
          </w:tcPr>
          <w:p w14:paraId="42A10A1B"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1C"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the availability of goods from suppliers and the cost of goods acquired from suppliers;</w:t>
            </w:r>
          </w:p>
        </w:tc>
      </w:tr>
    </w:tbl>
    <w:p w14:paraId="42A10A1E"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A21" w14:textId="77777777">
        <w:trPr>
          <w:tblCellSpacing w:w="0" w:type="dxa"/>
        </w:trPr>
        <w:tc>
          <w:tcPr>
            <w:tcW w:w="960" w:type="dxa"/>
            <w:shd w:val="clear" w:color="auto" w:fill="auto"/>
            <w:vAlign w:val="center"/>
          </w:tcPr>
          <w:p w14:paraId="42A10A1F" w14:textId="77777777" w:rsidR="00BB68E1" w:rsidRDefault="00BB68E1">
            <w:pPr>
              <w:rPr>
                <w:rFonts w:ascii="Times New Roman" w:hAnsi="Times New Roman"/>
                <w:sz w:val="20"/>
                <w:szCs w:val="20"/>
              </w:rPr>
            </w:pPr>
          </w:p>
        </w:tc>
        <w:tc>
          <w:tcPr>
            <w:tcW w:w="0" w:type="auto"/>
            <w:shd w:val="clear" w:color="auto" w:fill="auto"/>
            <w:vAlign w:val="center"/>
          </w:tcPr>
          <w:p w14:paraId="42A10A20" w14:textId="77777777" w:rsidR="00BB68E1" w:rsidRDefault="00BB68E1">
            <w:pPr>
              <w:rPr>
                <w:rFonts w:ascii="Times New Roman" w:hAnsi="Times New Roman"/>
                <w:sz w:val="20"/>
                <w:szCs w:val="20"/>
              </w:rPr>
            </w:pPr>
          </w:p>
        </w:tc>
      </w:tr>
      <w:tr w:rsidR="00BB68E1" w14:paraId="42A10A24" w14:textId="77777777">
        <w:trPr>
          <w:tblCellSpacing w:w="0" w:type="dxa"/>
        </w:trPr>
        <w:tc>
          <w:tcPr>
            <w:tcW w:w="0" w:type="auto"/>
            <w:shd w:val="clear" w:color="auto" w:fill="auto"/>
          </w:tcPr>
          <w:p w14:paraId="42A10A22"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23"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effectiveness of the implementation and </w:t>
            </w:r>
            <w:r>
              <w:rPr>
                <w:rFonts w:ascii="Times New Roman" w:eastAsia="宋体" w:hAnsi="Times New Roman"/>
                <w:sz w:val="20"/>
                <w:szCs w:val="20"/>
              </w:rPr>
              <w:t>operation of Walmart's strategies, plans, programs and initiatives;</w:t>
            </w:r>
          </w:p>
        </w:tc>
      </w:tr>
    </w:tbl>
    <w:p w14:paraId="42A10A25"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265"/>
      </w:tblGrid>
      <w:tr w:rsidR="00BB68E1" w14:paraId="42A10A28" w14:textId="77777777">
        <w:trPr>
          <w:tblCellSpacing w:w="0" w:type="dxa"/>
        </w:trPr>
        <w:tc>
          <w:tcPr>
            <w:tcW w:w="960" w:type="dxa"/>
            <w:shd w:val="clear" w:color="auto" w:fill="auto"/>
            <w:vAlign w:val="center"/>
          </w:tcPr>
          <w:p w14:paraId="42A10A26" w14:textId="77777777" w:rsidR="00BB68E1" w:rsidRDefault="00BB68E1">
            <w:pPr>
              <w:rPr>
                <w:rFonts w:ascii="Times New Roman" w:hAnsi="Times New Roman"/>
                <w:sz w:val="20"/>
                <w:szCs w:val="20"/>
              </w:rPr>
            </w:pPr>
          </w:p>
        </w:tc>
        <w:tc>
          <w:tcPr>
            <w:tcW w:w="0" w:type="auto"/>
            <w:shd w:val="clear" w:color="auto" w:fill="auto"/>
            <w:vAlign w:val="center"/>
          </w:tcPr>
          <w:p w14:paraId="42A10A27" w14:textId="77777777" w:rsidR="00BB68E1" w:rsidRDefault="00BB68E1">
            <w:pPr>
              <w:rPr>
                <w:rFonts w:ascii="Times New Roman" w:hAnsi="Times New Roman"/>
                <w:sz w:val="20"/>
                <w:szCs w:val="20"/>
              </w:rPr>
            </w:pPr>
          </w:p>
        </w:tc>
      </w:tr>
      <w:tr w:rsidR="00BB68E1" w14:paraId="42A10A2B" w14:textId="77777777">
        <w:trPr>
          <w:tblCellSpacing w:w="0" w:type="dxa"/>
        </w:trPr>
        <w:tc>
          <w:tcPr>
            <w:tcW w:w="0" w:type="auto"/>
            <w:shd w:val="clear" w:color="auto" w:fill="auto"/>
          </w:tcPr>
          <w:p w14:paraId="42A10A29"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2A"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the impact of acquisitions, divestitures, store or club closures and other strategic decisions;</w:t>
            </w:r>
          </w:p>
        </w:tc>
      </w:tr>
    </w:tbl>
    <w:p w14:paraId="42A10A2C"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A2F" w14:textId="77777777">
        <w:trPr>
          <w:tblCellSpacing w:w="0" w:type="dxa"/>
        </w:trPr>
        <w:tc>
          <w:tcPr>
            <w:tcW w:w="960" w:type="dxa"/>
            <w:shd w:val="clear" w:color="auto" w:fill="auto"/>
            <w:vAlign w:val="center"/>
          </w:tcPr>
          <w:p w14:paraId="42A10A2D" w14:textId="77777777" w:rsidR="00BB68E1" w:rsidRDefault="00BB68E1">
            <w:pPr>
              <w:rPr>
                <w:rFonts w:ascii="Times New Roman" w:hAnsi="Times New Roman"/>
                <w:sz w:val="20"/>
                <w:szCs w:val="20"/>
              </w:rPr>
            </w:pPr>
          </w:p>
        </w:tc>
        <w:tc>
          <w:tcPr>
            <w:tcW w:w="0" w:type="auto"/>
            <w:shd w:val="clear" w:color="auto" w:fill="auto"/>
            <w:vAlign w:val="center"/>
          </w:tcPr>
          <w:p w14:paraId="42A10A2E" w14:textId="77777777" w:rsidR="00BB68E1" w:rsidRDefault="00BB68E1">
            <w:pPr>
              <w:rPr>
                <w:rFonts w:ascii="Times New Roman" w:hAnsi="Times New Roman"/>
                <w:sz w:val="20"/>
                <w:szCs w:val="20"/>
              </w:rPr>
            </w:pPr>
          </w:p>
        </w:tc>
      </w:tr>
      <w:tr w:rsidR="00BB68E1" w14:paraId="42A10A32" w14:textId="77777777">
        <w:trPr>
          <w:tblCellSpacing w:w="0" w:type="dxa"/>
        </w:trPr>
        <w:tc>
          <w:tcPr>
            <w:tcW w:w="0" w:type="auto"/>
            <w:shd w:val="clear" w:color="auto" w:fill="auto"/>
          </w:tcPr>
          <w:p w14:paraId="42A10A30"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31"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Walmart's ability to successfully integrate acquired businesses, </w:t>
            </w:r>
            <w:r>
              <w:rPr>
                <w:rFonts w:ascii="Times New Roman" w:eastAsia="宋体" w:hAnsi="Times New Roman"/>
                <w:sz w:val="20"/>
                <w:szCs w:val="20"/>
              </w:rPr>
              <w:t>including within the eCommerce space;</w:t>
            </w:r>
          </w:p>
        </w:tc>
      </w:tr>
    </w:tbl>
    <w:p w14:paraId="42A10A33"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402"/>
      </w:tblGrid>
      <w:tr w:rsidR="00BB68E1" w14:paraId="42A10A36" w14:textId="77777777">
        <w:trPr>
          <w:tblCellSpacing w:w="0" w:type="dxa"/>
        </w:trPr>
        <w:tc>
          <w:tcPr>
            <w:tcW w:w="960" w:type="dxa"/>
            <w:shd w:val="clear" w:color="auto" w:fill="auto"/>
            <w:vAlign w:val="center"/>
          </w:tcPr>
          <w:p w14:paraId="42A10A34" w14:textId="77777777" w:rsidR="00BB68E1" w:rsidRDefault="00BB68E1">
            <w:pPr>
              <w:rPr>
                <w:rFonts w:ascii="Times New Roman" w:hAnsi="Times New Roman"/>
                <w:sz w:val="20"/>
                <w:szCs w:val="20"/>
              </w:rPr>
            </w:pPr>
          </w:p>
        </w:tc>
        <w:tc>
          <w:tcPr>
            <w:tcW w:w="0" w:type="auto"/>
            <w:shd w:val="clear" w:color="auto" w:fill="auto"/>
            <w:vAlign w:val="center"/>
          </w:tcPr>
          <w:p w14:paraId="42A10A35" w14:textId="77777777" w:rsidR="00BB68E1" w:rsidRDefault="00BB68E1">
            <w:pPr>
              <w:rPr>
                <w:rFonts w:ascii="Times New Roman" w:hAnsi="Times New Roman"/>
                <w:sz w:val="20"/>
                <w:szCs w:val="20"/>
              </w:rPr>
            </w:pPr>
          </w:p>
        </w:tc>
      </w:tr>
      <w:tr w:rsidR="00BB68E1" w14:paraId="42A10A39" w14:textId="77777777">
        <w:trPr>
          <w:tblCellSpacing w:w="0" w:type="dxa"/>
        </w:trPr>
        <w:tc>
          <w:tcPr>
            <w:tcW w:w="0" w:type="auto"/>
            <w:shd w:val="clear" w:color="auto" w:fill="auto"/>
          </w:tcPr>
          <w:p w14:paraId="42A10A37"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38"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unexpected changes in Walmart's objectives and plans;</w:t>
            </w:r>
          </w:p>
        </w:tc>
      </w:tr>
    </w:tbl>
    <w:p w14:paraId="42A10A3A"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738"/>
      </w:tblGrid>
      <w:tr w:rsidR="00BB68E1" w14:paraId="42A10A3D" w14:textId="77777777">
        <w:trPr>
          <w:tblCellSpacing w:w="0" w:type="dxa"/>
        </w:trPr>
        <w:tc>
          <w:tcPr>
            <w:tcW w:w="960" w:type="dxa"/>
            <w:shd w:val="clear" w:color="auto" w:fill="auto"/>
            <w:vAlign w:val="center"/>
          </w:tcPr>
          <w:p w14:paraId="42A10A3B" w14:textId="77777777" w:rsidR="00BB68E1" w:rsidRDefault="00BB68E1">
            <w:pPr>
              <w:rPr>
                <w:rFonts w:ascii="Times New Roman" w:hAnsi="Times New Roman"/>
                <w:sz w:val="20"/>
                <w:szCs w:val="20"/>
              </w:rPr>
            </w:pPr>
          </w:p>
        </w:tc>
        <w:tc>
          <w:tcPr>
            <w:tcW w:w="0" w:type="auto"/>
            <w:shd w:val="clear" w:color="auto" w:fill="auto"/>
            <w:vAlign w:val="center"/>
          </w:tcPr>
          <w:p w14:paraId="42A10A3C" w14:textId="77777777" w:rsidR="00BB68E1" w:rsidRDefault="00BB68E1">
            <w:pPr>
              <w:rPr>
                <w:rFonts w:ascii="Times New Roman" w:hAnsi="Times New Roman"/>
                <w:sz w:val="20"/>
                <w:szCs w:val="20"/>
              </w:rPr>
            </w:pPr>
          </w:p>
        </w:tc>
      </w:tr>
      <w:tr w:rsidR="00BB68E1" w14:paraId="42A10A40" w14:textId="77777777">
        <w:trPr>
          <w:tblCellSpacing w:w="0" w:type="dxa"/>
        </w:trPr>
        <w:tc>
          <w:tcPr>
            <w:tcW w:w="0" w:type="auto"/>
            <w:shd w:val="clear" w:color="auto" w:fill="auto"/>
          </w:tcPr>
          <w:p w14:paraId="42A10A3E"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3F"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the amount of shrinkage Walmart experiences;</w:t>
            </w:r>
          </w:p>
        </w:tc>
      </w:tr>
    </w:tbl>
    <w:p w14:paraId="42A10A41"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A44" w14:textId="77777777">
        <w:trPr>
          <w:tblCellSpacing w:w="0" w:type="dxa"/>
        </w:trPr>
        <w:tc>
          <w:tcPr>
            <w:tcW w:w="960" w:type="dxa"/>
            <w:shd w:val="clear" w:color="auto" w:fill="auto"/>
            <w:vAlign w:val="center"/>
          </w:tcPr>
          <w:p w14:paraId="42A10A42" w14:textId="77777777" w:rsidR="00BB68E1" w:rsidRDefault="00BB68E1">
            <w:pPr>
              <w:rPr>
                <w:rFonts w:ascii="Times New Roman" w:hAnsi="Times New Roman"/>
                <w:sz w:val="20"/>
                <w:szCs w:val="20"/>
              </w:rPr>
            </w:pPr>
          </w:p>
        </w:tc>
        <w:tc>
          <w:tcPr>
            <w:tcW w:w="0" w:type="auto"/>
            <w:shd w:val="clear" w:color="auto" w:fill="auto"/>
            <w:vAlign w:val="center"/>
          </w:tcPr>
          <w:p w14:paraId="42A10A43" w14:textId="77777777" w:rsidR="00BB68E1" w:rsidRDefault="00BB68E1">
            <w:pPr>
              <w:rPr>
                <w:rFonts w:ascii="Times New Roman" w:hAnsi="Times New Roman"/>
                <w:sz w:val="20"/>
                <w:szCs w:val="20"/>
              </w:rPr>
            </w:pPr>
          </w:p>
        </w:tc>
      </w:tr>
      <w:tr w:rsidR="00BB68E1" w14:paraId="42A10A47" w14:textId="77777777">
        <w:trPr>
          <w:tblCellSpacing w:w="0" w:type="dxa"/>
        </w:trPr>
        <w:tc>
          <w:tcPr>
            <w:tcW w:w="0" w:type="auto"/>
            <w:shd w:val="clear" w:color="auto" w:fill="auto"/>
          </w:tcPr>
          <w:p w14:paraId="42A10A45"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46"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consumer acceptance of and response to Walmart's stores and clubs, eCommerce platforms, </w:t>
            </w:r>
            <w:r>
              <w:rPr>
                <w:rFonts w:ascii="Times New Roman" w:eastAsia="宋体" w:hAnsi="Times New Roman"/>
                <w:sz w:val="20"/>
                <w:szCs w:val="20"/>
              </w:rPr>
              <w:t>programs, merchandise offerings and delivery methods;</w:t>
            </w:r>
          </w:p>
        </w:tc>
      </w:tr>
    </w:tbl>
    <w:p w14:paraId="42A10A48"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A4B" w14:textId="77777777">
        <w:trPr>
          <w:tblCellSpacing w:w="0" w:type="dxa"/>
        </w:trPr>
        <w:tc>
          <w:tcPr>
            <w:tcW w:w="960" w:type="dxa"/>
            <w:shd w:val="clear" w:color="auto" w:fill="auto"/>
            <w:vAlign w:val="center"/>
          </w:tcPr>
          <w:p w14:paraId="42A10A49" w14:textId="77777777" w:rsidR="00BB68E1" w:rsidRDefault="00BB68E1">
            <w:pPr>
              <w:rPr>
                <w:rFonts w:ascii="Times New Roman" w:hAnsi="Times New Roman"/>
                <w:sz w:val="20"/>
                <w:szCs w:val="20"/>
              </w:rPr>
            </w:pPr>
          </w:p>
        </w:tc>
        <w:tc>
          <w:tcPr>
            <w:tcW w:w="0" w:type="auto"/>
            <w:shd w:val="clear" w:color="auto" w:fill="auto"/>
            <w:vAlign w:val="center"/>
          </w:tcPr>
          <w:p w14:paraId="42A10A4A" w14:textId="77777777" w:rsidR="00BB68E1" w:rsidRDefault="00BB68E1">
            <w:pPr>
              <w:rPr>
                <w:rFonts w:ascii="Times New Roman" w:hAnsi="Times New Roman"/>
                <w:sz w:val="20"/>
                <w:szCs w:val="20"/>
              </w:rPr>
            </w:pPr>
          </w:p>
        </w:tc>
      </w:tr>
      <w:tr w:rsidR="00BB68E1" w14:paraId="42A10A4E" w14:textId="77777777">
        <w:trPr>
          <w:tblCellSpacing w:w="0" w:type="dxa"/>
        </w:trPr>
        <w:tc>
          <w:tcPr>
            <w:tcW w:w="0" w:type="auto"/>
            <w:shd w:val="clear" w:color="auto" w:fill="auto"/>
          </w:tcPr>
          <w:p w14:paraId="42A10A4C"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4D"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Walmart's gross profit margins, including pharmacy margins and margins of other product categories;</w:t>
            </w:r>
          </w:p>
        </w:tc>
      </w:tr>
    </w:tbl>
    <w:p w14:paraId="42A10A4F"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561"/>
      </w:tblGrid>
      <w:tr w:rsidR="00BB68E1" w14:paraId="42A10A52" w14:textId="77777777">
        <w:trPr>
          <w:tblCellSpacing w:w="0" w:type="dxa"/>
        </w:trPr>
        <w:tc>
          <w:tcPr>
            <w:tcW w:w="960" w:type="dxa"/>
            <w:shd w:val="clear" w:color="auto" w:fill="auto"/>
            <w:vAlign w:val="center"/>
          </w:tcPr>
          <w:p w14:paraId="42A10A50" w14:textId="77777777" w:rsidR="00BB68E1" w:rsidRDefault="00BB68E1">
            <w:pPr>
              <w:rPr>
                <w:rFonts w:ascii="Times New Roman" w:hAnsi="Times New Roman"/>
                <w:sz w:val="20"/>
                <w:szCs w:val="20"/>
              </w:rPr>
            </w:pPr>
          </w:p>
        </w:tc>
        <w:tc>
          <w:tcPr>
            <w:tcW w:w="0" w:type="auto"/>
            <w:shd w:val="clear" w:color="auto" w:fill="auto"/>
            <w:vAlign w:val="center"/>
          </w:tcPr>
          <w:p w14:paraId="42A10A51" w14:textId="77777777" w:rsidR="00BB68E1" w:rsidRDefault="00BB68E1">
            <w:pPr>
              <w:rPr>
                <w:rFonts w:ascii="Times New Roman" w:hAnsi="Times New Roman"/>
                <w:sz w:val="20"/>
                <w:szCs w:val="20"/>
              </w:rPr>
            </w:pPr>
          </w:p>
        </w:tc>
      </w:tr>
      <w:tr w:rsidR="00BB68E1" w14:paraId="42A10A55" w14:textId="77777777">
        <w:trPr>
          <w:tblCellSpacing w:w="0" w:type="dxa"/>
        </w:trPr>
        <w:tc>
          <w:tcPr>
            <w:tcW w:w="0" w:type="auto"/>
            <w:shd w:val="clear" w:color="auto" w:fill="auto"/>
          </w:tcPr>
          <w:p w14:paraId="42A10A53"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54"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the selling prices of gasoline and diesel fuel;</w:t>
            </w:r>
          </w:p>
        </w:tc>
      </w:tr>
    </w:tbl>
    <w:p w14:paraId="42A10A56"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852"/>
      </w:tblGrid>
      <w:tr w:rsidR="00BB68E1" w14:paraId="42A10A59" w14:textId="77777777">
        <w:trPr>
          <w:tblCellSpacing w:w="0" w:type="dxa"/>
        </w:trPr>
        <w:tc>
          <w:tcPr>
            <w:tcW w:w="960" w:type="dxa"/>
            <w:shd w:val="clear" w:color="auto" w:fill="auto"/>
            <w:vAlign w:val="center"/>
          </w:tcPr>
          <w:p w14:paraId="42A10A57" w14:textId="77777777" w:rsidR="00BB68E1" w:rsidRDefault="00BB68E1">
            <w:pPr>
              <w:rPr>
                <w:rFonts w:ascii="Times New Roman" w:hAnsi="Times New Roman"/>
                <w:sz w:val="20"/>
                <w:szCs w:val="20"/>
              </w:rPr>
            </w:pPr>
          </w:p>
        </w:tc>
        <w:tc>
          <w:tcPr>
            <w:tcW w:w="0" w:type="auto"/>
            <w:shd w:val="clear" w:color="auto" w:fill="auto"/>
            <w:vAlign w:val="center"/>
          </w:tcPr>
          <w:p w14:paraId="42A10A58" w14:textId="77777777" w:rsidR="00BB68E1" w:rsidRDefault="00BB68E1">
            <w:pPr>
              <w:rPr>
                <w:rFonts w:ascii="Times New Roman" w:hAnsi="Times New Roman"/>
                <w:sz w:val="20"/>
                <w:szCs w:val="20"/>
              </w:rPr>
            </w:pPr>
          </w:p>
        </w:tc>
      </w:tr>
      <w:tr w:rsidR="00BB68E1" w14:paraId="42A10A5C" w14:textId="77777777">
        <w:trPr>
          <w:tblCellSpacing w:w="0" w:type="dxa"/>
        </w:trPr>
        <w:tc>
          <w:tcPr>
            <w:tcW w:w="0" w:type="auto"/>
            <w:shd w:val="clear" w:color="auto" w:fill="auto"/>
          </w:tcPr>
          <w:p w14:paraId="42A10A5A"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5B"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disruption of seasonal </w:t>
            </w:r>
            <w:r>
              <w:rPr>
                <w:rFonts w:ascii="Times New Roman" w:eastAsia="宋体" w:hAnsi="Times New Roman"/>
                <w:sz w:val="20"/>
                <w:szCs w:val="20"/>
              </w:rPr>
              <w:t>buying patterns in Walmart's markets;</w:t>
            </w:r>
          </w:p>
        </w:tc>
      </w:tr>
    </w:tbl>
    <w:p w14:paraId="42A10A5D"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081"/>
      </w:tblGrid>
      <w:tr w:rsidR="00BB68E1" w14:paraId="42A10A60" w14:textId="77777777">
        <w:trPr>
          <w:tblCellSpacing w:w="0" w:type="dxa"/>
        </w:trPr>
        <w:tc>
          <w:tcPr>
            <w:tcW w:w="960" w:type="dxa"/>
            <w:shd w:val="clear" w:color="auto" w:fill="auto"/>
            <w:vAlign w:val="center"/>
          </w:tcPr>
          <w:p w14:paraId="42A10A5E" w14:textId="77777777" w:rsidR="00BB68E1" w:rsidRDefault="00BB68E1">
            <w:pPr>
              <w:rPr>
                <w:rFonts w:ascii="Times New Roman" w:hAnsi="Times New Roman"/>
                <w:sz w:val="20"/>
                <w:szCs w:val="20"/>
              </w:rPr>
            </w:pPr>
          </w:p>
        </w:tc>
        <w:tc>
          <w:tcPr>
            <w:tcW w:w="0" w:type="auto"/>
            <w:shd w:val="clear" w:color="auto" w:fill="auto"/>
            <w:vAlign w:val="center"/>
          </w:tcPr>
          <w:p w14:paraId="42A10A5F" w14:textId="77777777" w:rsidR="00BB68E1" w:rsidRDefault="00BB68E1">
            <w:pPr>
              <w:rPr>
                <w:rFonts w:ascii="Times New Roman" w:hAnsi="Times New Roman"/>
                <w:sz w:val="20"/>
                <w:szCs w:val="20"/>
              </w:rPr>
            </w:pPr>
          </w:p>
        </w:tc>
      </w:tr>
      <w:tr w:rsidR="00BB68E1" w14:paraId="42A10A63" w14:textId="77777777">
        <w:trPr>
          <w:tblCellSpacing w:w="0" w:type="dxa"/>
        </w:trPr>
        <w:tc>
          <w:tcPr>
            <w:tcW w:w="0" w:type="auto"/>
            <w:shd w:val="clear" w:color="auto" w:fill="auto"/>
          </w:tcPr>
          <w:p w14:paraId="42A10A61"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62"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disruptions in Walmart's supply chain;</w:t>
            </w:r>
          </w:p>
        </w:tc>
      </w:tr>
    </w:tbl>
    <w:p w14:paraId="42A10A64"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A67" w14:textId="77777777">
        <w:trPr>
          <w:tblCellSpacing w:w="0" w:type="dxa"/>
        </w:trPr>
        <w:tc>
          <w:tcPr>
            <w:tcW w:w="960" w:type="dxa"/>
            <w:shd w:val="clear" w:color="auto" w:fill="auto"/>
            <w:vAlign w:val="center"/>
          </w:tcPr>
          <w:p w14:paraId="42A10A65" w14:textId="77777777" w:rsidR="00BB68E1" w:rsidRDefault="00BB68E1">
            <w:pPr>
              <w:rPr>
                <w:rFonts w:ascii="Times New Roman" w:hAnsi="Times New Roman"/>
                <w:sz w:val="20"/>
                <w:szCs w:val="20"/>
              </w:rPr>
            </w:pPr>
          </w:p>
        </w:tc>
        <w:tc>
          <w:tcPr>
            <w:tcW w:w="0" w:type="auto"/>
            <w:shd w:val="clear" w:color="auto" w:fill="auto"/>
            <w:vAlign w:val="center"/>
          </w:tcPr>
          <w:p w14:paraId="42A10A66" w14:textId="77777777" w:rsidR="00BB68E1" w:rsidRDefault="00BB68E1">
            <w:pPr>
              <w:rPr>
                <w:rFonts w:ascii="Times New Roman" w:hAnsi="Times New Roman"/>
                <w:sz w:val="20"/>
                <w:szCs w:val="20"/>
              </w:rPr>
            </w:pPr>
          </w:p>
        </w:tc>
      </w:tr>
      <w:tr w:rsidR="00BB68E1" w14:paraId="42A10A6A" w14:textId="77777777">
        <w:trPr>
          <w:tblCellSpacing w:w="0" w:type="dxa"/>
        </w:trPr>
        <w:tc>
          <w:tcPr>
            <w:tcW w:w="0" w:type="auto"/>
            <w:shd w:val="clear" w:color="auto" w:fill="auto"/>
          </w:tcPr>
          <w:p w14:paraId="42A10A68"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69"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cybersecurity events affecting Walmart and related costs and impact of any disruption in business;</w:t>
            </w:r>
          </w:p>
        </w:tc>
      </w:tr>
    </w:tbl>
    <w:p w14:paraId="42A10A6B"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363"/>
      </w:tblGrid>
      <w:tr w:rsidR="00BB68E1" w14:paraId="42A10A6E" w14:textId="77777777">
        <w:trPr>
          <w:tblCellSpacing w:w="0" w:type="dxa"/>
        </w:trPr>
        <w:tc>
          <w:tcPr>
            <w:tcW w:w="960" w:type="dxa"/>
            <w:shd w:val="clear" w:color="auto" w:fill="auto"/>
            <w:vAlign w:val="center"/>
          </w:tcPr>
          <w:p w14:paraId="42A10A6C" w14:textId="77777777" w:rsidR="00BB68E1" w:rsidRDefault="00BB68E1">
            <w:pPr>
              <w:rPr>
                <w:rFonts w:ascii="Times New Roman" w:hAnsi="Times New Roman"/>
                <w:sz w:val="20"/>
                <w:szCs w:val="20"/>
              </w:rPr>
            </w:pPr>
          </w:p>
        </w:tc>
        <w:tc>
          <w:tcPr>
            <w:tcW w:w="0" w:type="auto"/>
            <w:shd w:val="clear" w:color="auto" w:fill="auto"/>
            <w:vAlign w:val="center"/>
          </w:tcPr>
          <w:p w14:paraId="42A10A6D" w14:textId="77777777" w:rsidR="00BB68E1" w:rsidRDefault="00BB68E1">
            <w:pPr>
              <w:rPr>
                <w:rFonts w:ascii="Times New Roman" w:hAnsi="Times New Roman"/>
                <w:sz w:val="20"/>
                <w:szCs w:val="20"/>
              </w:rPr>
            </w:pPr>
          </w:p>
        </w:tc>
      </w:tr>
      <w:tr w:rsidR="00BB68E1" w14:paraId="42A10A71" w14:textId="77777777">
        <w:trPr>
          <w:tblCellSpacing w:w="0" w:type="dxa"/>
        </w:trPr>
        <w:tc>
          <w:tcPr>
            <w:tcW w:w="0" w:type="auto"/>
            <w:shd w:val="clear" w:color="auto" w:fill="auto"/>
          </w:tcPr>
          <w:p w14:paraId="42A10A6F"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70"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Walmart's labor costs, including healthcare and other </w:t>
            </w:r>
            <w:r>
              <w:rPr>
                <w:rFonts w:ascii="Times New Roman" w:eastAsia="宋体" w:hAnsi="Times New Roman"/>
                <w:sz w:val="20"/>
                <w:szCs w:val="20"/>
              </w:rPr>
              <w:t>benefit costs;</w:t>
            </w:r>
          </w:p>
        </w:tc>
      </w:tr>
    </w:tbl>
    <w:p w14:paraId="42A10A72"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296"/>
      </w:tblGrid>
      <w:tr w:rsidR="00BB68E1" w14:paraId="42A10A75" w14:textId="77777777">
        <w:trPr>
          <w:tblCellSpacing w:w="0" w:type="dxa"/>
        </w:trPr>
        <w:tc>
          <w:tcPr>
            <w:tcW w:w="960" w:type="dxa"/>
            <w:shd w:val="clear" w:color="auto" w:fill="auto"/>
            <w:vAlign w:val="center"/>
          </w:tcPr>
          <w:p w14:paraId="42A10A73" w14:textId="77777777" w:rsidR="00BB68E1" w:rsidRDefault="00BB68E1">
            <w:pPr>
              <w:rPr>
                <w:rFonts w:ascii="Times New Roman" w:hAnsi="Times New Roman"/>
                <w:sz w:val="20"/>
                <w:szCs w:val="20"/>
              </w:rPr>
            </w:pPr>
          </w:p>
        </w:tc>
        <w:tc>
          <w:tcPr>
            <w:tcW w:w="0" w:type="auto"/>
            <w:shd w:val="clear" w:color="auto" w:fill="auto"/>
            <w:vAlign w:val="center"/>
          </w:tcPr>
          <w:p w14:paraId="42A10A74" w14:textId="77777777" w:rsidR="00BB68E1" w:rsidRDefault="00BB68E1">
            <w:pPr>
              <w:rPr>
                <w:rFonts w:ascii="Times New Roman" w:hAnsi="Times New Roman"/>
                <w:sz w:val="20"/>
                <w:szCs w:val="20"/>
              </w:rPr>
            </w:pPr>
          </w:p>
        </w:tc>
      </w:tr>
      <w:tr w:rsidR="00BB68E1" w14:paraId="42A10A78" w14:textId="77777777">
        <w:trPr>
          <w:tblCellSpacing w:w="0" w:type="dxa"/>
        </w:trPr>
        <w:tc>
          <w:tcPr>
            <w:tcW w:w="0" w:type="auto"/>
            <w:shd w:val="clear" w:color="auto" w:fill="auto"/>
          </w:tcPr>
          <w:p w14:paraId="42A10A76"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77"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Walmart's casualty and accident-related costs and insurance costs;</w:t>
            </w:r>
          </w:p>
        </w:tc>
      </w:tr>
    </w:tbl>
    <w:p w14:paraId="42A10A79"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A7C" w14:textId="77777777">
        <w:trPr>
          <w:tblCellSpacing w:w="0" w:type="dxa"/>
        </w:trPr>
        <w:tc>
          <w:tcPr>
            <w:tcW w:w="960" w:type="dxa"/>
            <w:shd w:val="clear" w:color="auto" w:fill="auto"/>
            <w:vAlign w:val="center"/>
          </w:tcPr>
          <w:p w14:paraId="42A10A7A" w14:textId="77777777" w:rsidR="00BB68E1" w:rsidRDefault="00BB68E1">
            <w:pPr>
              <w:rPr>
                <w:rFonts w:ascii="Times New Roman" w:hAnsi="Times New Roman"/>
                <w:sz w:val="20"/>
                <w:szCs w:val="20"/>
              </w:rPr>
            </w:pPr>
          </w:p>
        </w:tc>
        <w:tc>
          <w:tcPr>
            <w:tcW w:w="0" w:type="auto"/>
            <w:shd w:val="clear" w:color="auto" w:fill="auto"/>
            <w:vAlign w:val="center"/>
          </w:tcPr>
          <w:p w14:paraId="42A10A7B" w14:textId="77777777" w:rsidR="00BB68E1" w:rsidRDefault="00BB68E1">
            <w:pPr>
              <w:rPr>
                <w:rFonts w:ascii="Times New Roman" w:hAnsi="Times New Roman"/>
                <w:sz w:val="20"/>
                <w:szCs w:val="20"/>
              </w:rPr>
            </w:pPr>
          </w:p>
        </w:tc>
      </w:tr>
      <w:tr w:rsidR="00BB68E1" w14:paraId="42A10A7F" w14:textId="77777777">
        <w:trPr>
          <w:tblCellSpacing w:w="0" w:type="dxa"/>
        </w:trPr>
        <w:tc>
          <w:tcPr>
            <w:tcW w:w="0" w:type="auto"/>
            <w:shd w:val="clear" w:color="auto" w:fill="auto"/>
          </w:tcPr>
          <w:p w14:paraId="42A10A7D"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7E"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the size of and turnover in Walmart's workforce and the number of associates at various pay levels within that workforce;</w:t>
            </w:r>
          </w:p>
        </w:tc>
      </w:tr>
    </w:tbl>
    <w:p w14:paraId="42A10A80"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173"/>
      </w:tblGrid>
      <w:tr w:rsidR="00BB68E1" w14:paraId="42A10A83" w14:textId="77777777">
        <w:trPr>
          <w:tblCellSpacing w:w="0" w:type="dxa"/>
        </w:trPr>
        <w:tc>
          <w:tcPr>
            <w:tcW w:w="960" w:type="dxa"/>
            <w:shd w:val="clear" w:color="auto" w:fill="auto"/>
            <w:vAlign w:val="center"/>
          </w:tcPr>
          <w:p w14:paraId="42A10A81" w14:textId="77777777" w:rsidR="00BB68E1" w:rsidRDefault="00BB68E1">
            <w:pPr>
              <w:rPr>
                <w:rFonts w:ascii="Times New Roman" w:hAnsi="Times New Roman"/>
                <w:sz w:val="20"/>
                <w:szCs w:val="20"/>
              </w:rPr>
            </w:pPr>
          </w:p>
        </w:tc>
        <w:tc>
          <w:tcPr>
            <w:tcW w:w="0" w:type="auto"/>
            <w:shd w:val="clear" w:color="auto" w:fill="auto"/>
            <w:vAlign w:val="center"/>
          </w:tcPr>
          <w:p w14:paraId="42A10A82" w14:textId="77777777" w:rsidR="00BB68E1" w:rsidRDefault="00BB68E1">
            <w:pPr>
              <w:rPr>
                <w:rFonts w:ascii="Times New Roman" w:hAnsi="Times New Roman"/>
                <w:sz w:val="20"/>
                <w:szCs w:val="20"/>
              </w:rPr>
            </w:pPr>
          </w:p>
        </w:tc>
      </w:tr>
      <w:tr w:rsidR="00BB68E1" w14:paraId="42A10A86" w14:textId="77777777">
        <w:trPr>
          <w:tblCellSpacing w:w="0" w:type="dxa"/>
        </w:trPr>
        <w:tc>
          <w:tcPr>
            <w:tcW w:w="0" w:type="auto"/>
            <w:shd w:val="clear" w:color="auto" w:fill="auto"/>
          </w:tcPr>
          <w:p w14:paraId="42A10A84"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85"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availability of </w:t>
            </w:r>
            <w:r>
              <w:rPr>
                <w:rFonts w:ascii="Times New Roman" w:eastAsia="宋体" w:hAnsi="Times New Roman"/>
                <w:sz w:val="20"/>
                <w:szCs w:val="20"/>
              </w:rPr>
              <w:t>necessary personnel to staff Walmart's stores, clubs and other facilities;</w:t>
            </w:r>
          </w:p>
        </w:tc>
      </w:tr>
    </w:tbl>
    <w:p w14:paraId="42A10A87"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610"/>
      </w:tblGrid>
      <w:tr w:rsidR="00BB68E1" w14:paraId="42A10A8A" w14:textId="77777777">
        <w:trPr>
          <w:tblCellSpacing w:w="0" w:type="dxa"/>
        </w:trPr>
        <w:tc>
          <w:tcPr>
            <w:tcW w:w="960" w:type="dxa"/>
            <w:shd w:val="clear" w:color="auto" w:fill="auto"/>
            <w:vAlign w:val="center"/>
          </w:tcPr>
          <w:p w14:paraId="42A10A88" w14:textId="77777777" w:rsidR="00BB68E1" w:rsidRDefault="00BB68E1">
            <w:pPr>
              <w:rPr>
                <w:rFonts w:ascii="Times New Roman" w:hAnsi="Times New Roman"/>
                <w:sz w:val="20"/>
                <w:szCs w:val="20"/>
              </w:rPr>
            </w:pPr>
          </w:p>
        </w:tc>
        <w:tc>
          <w:tcPr>
            <w:tcW w:w="0" w:type="auto"/>
            <w:shd w:val="clear" w:color="auto" w:fill="auto"/>
            <w:vAlign w:val="center"/>
          </w:tcPr>
          <w:p w14:paraId="42A10A89" w14:textId="77777777" w:rsidR="00BB68E1" w:rsidRDefault="00BB68E1">
            <w:pPr>
              <w:rPr>
                <w:rFonts w:ascii="Times New Roman" w:hAnsi="Times New Roman"/>
                <w:sz w:val="20"/>
                <w:szCs w:val="20"/>
              </w:rPr>
            </w:pPr>
          </w:p>
        </w:tc>
      </w:tr>
      <w:tr w:rsidR="00BB68E1" w14:paraId="42A10A8D" w14:textId="77777777">
        <w:trPr>
          <w:tblCellSpacing w:w="0" w:type="dxa"/>
        </w:trPr>
        <w:tc>
          <w:tcPr>
            <w:tcW w:w="0" w:type="auto"/>
            <w:shd w:val="clear" w:color="auto" w:fill="auto"/>
          </w:tcPr>
          <w:p w14:paraId="42A10A8B"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8C"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delays in the opening of new, expanded, relocated or remodeled units;</w:t>
            </w:r>
          </w:p>
        </w:tc>
      </w:tr>
    </w:tbl>
    <w:p w14:paraId="42A10A8E"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A91" w14:textId="77777777">
        <w:trPr>
          <w:tblCellSpacing w:w="0" w:type="dxa"/>
        </w:trPr>
        <w:tc>
          <w:tcPr>
            <w:tcW w:w="960" w:type="dxa"/>
            <w:shd w:val="clear" w:color="auto" w:fill="auto"/>
            <w:vAlign w:val="center"/>
          </w:tcPr>
          <w:p w14:paraId="42A10A8F" w14:textId="77777777" w:rsidR="00BB68E1" w:rsidRDefault="00BB68E1">
            <w:pPr>
              <w:rPr>
                <w:rFonts w:ascii="Times New Roman" w:hAnsi="Times New Roman"/>
                <w:sz w:val="20"/>
                <w:szCs w:val="20"/>
              </w:rPr>
            </w:pPr>
          </w:p>
        </w:tc>
        <w:tc>
          <w:tcPr>
            <w:tcW w:w="0" w:type="auto"/>
            <w:shd w:val="clear" w:color="auto" w:fill="auto"/>
            <w:vAlign w:val="center"/>
          </w:tcPr>
          <w:p w14:paraId="42A10A90" w14:textId="77777777" w:rsidR="00BB68E1" w:rsidRDefault="00BB68E1">
            <w:pPr>
              <w:rPr>
                <w:rFonts w:ascii="Times New Roman" w:hAnsi="Times New Roman"/>
                <w:sz w:val="20"/>
                <w:szCs w:val="20"/>
              </w:rPr>
            </w:pPr>
          </w:p>
        </w:tc>
      </w:tr>
      <w:tr w:rsidR="00BB68E1" w14:paraId="42A10A94" w14:textId="77777777">
        <w:trPr>
          <w:tblCellSpacing w:w="0" w:type="dxa"/>
        </w:trPr>
        <w:tc>
          <w:tcPr>
            <w:tcW w:w="0" w:type="auto"/>
            <w:shd w:val="clear" w:color="auto" w:fill="auto"/>
          </w:tcPr>
          <w:p w14:paraId="42A10A92"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93"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developments in, and the outcome of, legal and regulatory proceedings and </w:t>
            </w:r>
            <w:r>
              <w:rPr>
                <w:rFonts w:ascii="Times New Roman" w:eastAsia="宋体" w:hAnsi="Times New Roman"/>
                <w:sz w:val="20"/>
                <w:szCs w:val="20"/>
              </w:rPr>
              <w:t>investigations to which Walmart is a party or is subject, and the liabilities, obligations and expenses, if any, that Walmart may incur in connection therewith;</w:t>
            </w:r>
          </w:p>
        </w:tc>
      </w:tr>
    </w:tbl>
    <w:p w14:paraId="42A10A95"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A98" w14:textId="77777777">
        <w:trPr>
          <w:tblCellSpacing w:w="0" w:type="dxa"/>
        </w:trPr>
        <w:tc>
          <w:tcPr>
            <w:tcW w:w="960" w:type="dxa"/>
            <w:shd w:val="clear" w:color="auto" w:fill="auto"/>
            <w:vAlign w:val="center"/>
          </w:tcPr>
          <w:p w14:paraId="42A10A96" w14:textId="77777777" w:rsidR="00BB68E1" w:rsidRDefault="00BB68E1">
            <w:pPr>
              <w:rPr>
                <w:rFonts w:ascii="Times New Roman" w:hAnsi="Times New Roman"/>
                <w:sz w:val="20"/>
                <w:szCs w:val="20"/>
              </w:rPr>
            </w:pPr>
          </w:p>
        </w:tc>
        <w:tc>
          <w:tcPr>
            <w:tcW w:w="0" w:type="auto"/>
            <w:shd w:val="clear" w:color="auto" w:fill="auto"/>
            <w:vAlign w:val="center"/>
          </w:tcPr>
          <w:p w14:paraId="42A10A97" w14:textId="77777777" w:rsidR="00BB68E1" w:rsidRDefault="00BB68E1">
            <w:pPr>
              <w:rPr>
                <w:rFonts w:ascii="Times New Roman" w:hAnsi="Times New Roman"/>
                <w:sz w:val="20"/>
                <w:szCs w:val="20"/>
              </w:rPr>
            </w:pPr>
          </w:p>
        </w:tc>
      </w:tr>
      <w:tr w:rsidR="00BB68E1" w14:paraId="42A10A9B" w14:textId="77777777">
        <w:trPr>
          <w:tblCellSpacing w:w="0" w:type="dxa"/>
        </w:trPr>
        <w:tc>
          <w:tcPr>
            <w:tcW w:w="0" w:type="auto"/>
            <w:shd w:val="clear" w:color="auto" w:fill="auto"/>
          </w:tcPr>
          <w:p w14:paraId="42A10A99"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9A"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changes in the credit ratings assigned to the Company's commercial paper and debt securi</w:t>
            </w:r>
            <w:r>
              <w:rPr>
                <w:rFonts w:ascii="Times New Roman" w:eastAsia="宋体" w:hAnsi="Times New Roman"/>
                <w:sz w:val="20"/>
                <w:szCs w:val="20"/>
              </w:rPr>
              <w:t>ties by credit rating agencies;</w:t>
            </w:r>
          </w:p>
        </w:tc>
      </w:tr>
    </w:tbl>
    <w:p w14:paraId="42A10A9C"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602"/>
      </w:tblGrid>
      <w:tr w:rsidR="00BB68E1" w14:paraId="42A10A9F" w14:textId="77777777">
        <w:trPr>
          <w:tblCellSpacing w:w="0" w:type="dxa"/>
        </w:trPr>
        <w:tc>
          <w:tcPr>
            <w:tcW w:w="960" w:type="dxa"/>
            <w:shd w:val="clear" w:color="auto" w:fill="auto"/>
            <w:vAlign w:val="center"/>
          </w:tcPr>
          <w:p w14:paraId="42A10A9D" w14:textId="77777777" w:rsidR="00BB68E1" w:rsidRDefault="00BB68E1">
            <w:pPr>
              <w:rPr>
                <w:rFonts w:ascii="Times New Roman" w:hAnsi="Times New Roman"/>
                <w:sz w:val="20"/>
                <w:szCs w:val="20"/>
              </w:rPr>
            </w:pPr>
          </w:p>
        </w:tc>
        <w:tc>
          <w:tcPr>
            <w:tcW w:w="0" w:type="auto"/>
            <w:shd w:val="clear" w:color="auto" w:fill="auto"/>
            <w:vAlign w:val="center"/>
          </w:tcPr>
          <w:p w14:paraId="42A10A9E" w14:textId="77777777" w:rsidR="00BB68E1" w:rsidRDefault="00BB68E1">
            <w:pPr>
              <w:rPr>
                <w:rFonts w:ascii="Times New Roman" w:hAnsi="Times New Roman"/>
                <w:sz w:val="20"/>
                <w:szCs w:val="20"/>
              </w:rPr>
            </w:pPr>
          </w:p>
        </w:tc>
      </w:tr>
      <w:tr w:rsidR="00BB68E1" w14:paraId="42A10AA2" w14:textId="77777777">
        <w:trPr>
          <w:tblCellSpacing w:w="0" w:type="dxa"/>
        </w:trPr>
        <w:tc>
          <w:tcPr>
            <w:tcW w:w="0" w:type="auto"/>
            <w:shd w:val="clear" w:color="auto" w:fill="auto"/>
          </w:tcPr>
          <w:p w14:paraId="42A10AA0"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A1"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Walmart's effective tax rate; and</w:t>
            </w:r>
          </w:p>
        </w:tc>
      </w:tr>
    </w:tbl>
    <w:p w14:paraId="42A10AA3"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977"/>
      </w:tblGrid>
      <w:tr w:rsidR="00BB68E1" w14:paraId="42A10AA6" w14:textId="77777777">
        <w:trPr>
          <w:tblCellSpacing w:w="0" w:type="dxa"/>
        </w:trPr>
        <w:tc>
          <w:tcPr>
            <w:tcW w:w="960" w:type="dxa"/>
            <w:shd w:val="clear" w:color="auto" w:fill="auto"/>
            <w:vAlign w:val="center"/>
          </w:tcPr>
          <w:p w14:paraId="42A10AA4" w14:textId="77777777" w:rsidR="00BB68E1" w:rsidRDefault="00BB68E1">
            <w:pPr>
              <w:rPr>
                <w:rFonts w:ascii="Times New Roman" w:hAnsi="Times New Roman"/>
                <w:sz w:val="20"/>
                <w:szCs w:val="20"/>
              </w:rPr>
            </w:pPr>
          </w:p>
        </w:tc>
        <w:tc>
          <w:tcPr>
            <w:tcW w:w="0" w:type="auto"/>
            <w:shd w:val="clear" w:color="auto" w:fill="auto"/>
            <w:vAlign w:val="center"/>
          </w:tcPr>
          <w:p w14:paraId="42A10AA5" w14:textId="77777777" w:rsidR="00BB68E1" w:rsidRDefault="00BB68E1">
            <w:pPr>
              <w:rPr>
                <w:rFonts w:ascii="Times New Roman" w:hAnsi="Times New Roman"/>
                <w:sz w:val="20"/>
                <w:szCs w:val="20"/>
              </w:rPr>
            </w:pPr>
          </w:p>
        </w:tc>
      </w:tr>
      <w:tr w:rsidR="00BB68E1" w14:paraId="42A10AA9" w14:textId="77777777">
        <w:trPr>
          <w:tblCellSpacing w:w="0" w:type="dxa"/>
        </w:trPr>
        <w:tc>
          <w:tcPr>
            <w:tcW w:w="0" w:type="auto"/>
            <w:shd w:val="clear" w:color="auto" w:fill="auto"/>
          </w:tcPr>
          <w:p w14:paraId="42A10AA7"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A8"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unanticipated changes in accounting judgments and estimates;</w:t>
            </w:r>
          </w:p>
        </w:tc>
      </w:tr>
    </w:tbl>
    <w:p w14:paraId="42A10AAA" w14:textId="77777777" w:rsidR="00BB68E1" w:rsidRDefault="00BB68E1">
      <w:pPr>
        <w:rPr>
          <w:rFonts w:ascii="Times New Roman" w:hAnsi="Times New Roman"/>
          <w:sz w:val="20"/>
          <w:szCs w:val="20"/>
        </w:rPr>
      </w:pPr>
    </w:p>
    <w:p w14:paraId="42A10AAB"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5</w:t>
      </w:r>
    </w:p>
    <w:p w14:paraId="42A10AAC" w14:textId="77777777" w:rsidR="00BB68E1" w:rsidRDefault="00BB68E1">
      <w:pPr>
        <w:spacing w:line="288" w:lineRule="auto"/>
        <w:jc w:val="center"/>
        <w:rPr>
          <w:rFonts w:ascii="Times New Roman" w:hAnsi="Times New Roman"/>
          <w:sz w:val="20"/>
          <w:szCs w:val="20"/>
        </w:rPr>
      </w:pPr>
    </w:p>
    <w:p w14:paraId="42A10AAD" w14:textId="77777777" w:rsidR="00BB68E1" w:rsidRDefault="005D2D5E">
      <w:r>
        <w:rPr>
          <w:rFonts w:ascii="Times New Roman" w:hAnsi="Times New Roman"/>
          <w:sz w:val="20"/>
          <w:szCs w:val="20"/>
        </w:rPr>
        <w:pict w14:anchorId="42A1427A">
          <v:rect id="_x0000_i1029" style="width:415.3pt;height:1.5pt" o:hralign="center" o:hrstd="t" o:hr="t" fillcolor="#a0a0a0" stroked="f"/>
        </w:pict>
      </w:r>
    </w:p>
    <w:p w14:paraId="42A10AAE" w14:textId="77777777" w:rsidR="00BB68E1" w:rsidRDefault="00BB68E1">
      <w:pPr>
        <w:rPr>
          <w:rFonts w:ascii="Times New Roman" w:hAnsi="Times New Roman"/>
          <w:sz w:val="20"/>
          <w:szCs w:val="20"/>
        </w:rPr>
      </w:pPr>
    </w:p>
    <w:p w14:paraId="42A10AAF"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Regulatory and Other Factors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AB2" w14:textId="77777777">
        <w:trPr>
          <w:tblCellSpacing w:w="0" w:type="dxa"/>
        </w:trPr>
        <w:tc>
          <w:tcPr>
            <w:tcW w:w="960" w:type="dxa"/>
            <w:shd w:val="clear" w:color="auto" w:fill="auto"/>
            <w:vAlign w:val="center"/>
          </w:tcPr>
          <w:p w14:paraId="42A10AB0" w14:textId="77777777" w:rsidR="00BB68E1" w:rsidRDefault="00BB68E1">
            <w:pPr>
              <w:rPr>
                <w:rFonts w:ascii="Times New Roman" w:hAnsi="Times New Roman"/>
                <w:sz w:val="20"/>
                <w:szCs w:val="20"/>
              </w:rPr>
            </w:pPr>
          </w:p>
        </w:tc>
        <w:tc>
          <w:tcPr>
            <w:tcW w:w="0" w:type="auto"/>
            <w:shd w:val="clear" w:color="auto" w:fill="auto"/>
            <w:vAlign w:val="center"/>
          </w:tcPr>
          <w:p w14:paraId="42A10AB1" w14:textId="77777777" w:rsidR="00BB68E1" w:rsidRDefault="00BB68E1">
            <w:pPr>
              <w:rPr>
                <w:rFonts w:ascii="Times New Roman" w:hAnsi="Times New Roman"/>
                <w:sz w:val="20"/>
                <w:szCs w:val="20"/>
              </w:rPr>
            </w:pPr>
          </w:p>
        </w:tc>
      </w:tr>
      <w:tr w:rsidR="00BB68E1" w14:paraId="42A10AB5" w14:textId="77777777">
        <w:trPr>
          <w:tblCellSpacing w:w="0" w:type="dxa"/>
        </w:trPr>
        <w:tc>
          <w:tcPr>
            <w:tcW w:w="0" w:type="auto"/>
            <w:shd w:val="clear" w:color="auto" w:fill="auto"/>
          </w:tcPr>
          <w:p w14:paraId="42A10AB3"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B4"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changes in existing tax, labor and other laws and changes in tax </w:t>
            </w:r>
            <w:r>
              <w:rPr>
                <w:rFonts w:ascii="Times New Roman" w:eastAsia="宋体" w:hAnsi="Times New Roman"/>
                <w:sz w:val="20"/>
                <w:szCs w:val="20"/>
              </w:rPr>
              <w:t>rates, including the enactment of laws and the adoption and interpretation of administrative rules and regulations;</w:t>
            </w:r>
          </w:p>
        </w:tc>
      </w:tr>
    </w:tbl>
    <w:p w14:paraId="42A10AB6"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226"/>
      </w:tblGrid>
      <w:tr w:rsidR="00BB68E1" w14:paraId="42A10AB9" w14:textId="77777777">
        <w:trPr>
          <w:tblCellSpacing w:w="0" w:type="dxa"/>
        </w:trPr>
        <w:tc>
          <w:tcPr>
            <w:tcW w:w="960" w:type="dxa"/>
            <w:shd w:val="clear" w:color="auto" w:fill="auto"/>
            <w:vAlign w:val="center"/>
          </w:tcPr>
          <w:p w14:paraId="42A10AB7" w14:textId="77777777" w:rsidR="00BB68E1" w:rsidRDefault="00BB68E1">
            <w:pPr>
              <w:rPr>
                <w:rFonts w:ascii="Times New Roman" w:hAnsi="Times New Roman"/>
                <w:sz w:val="20"/>
                <w:szCs w:val="20"/>
              </w:rPr>
            </w:pPr>
          </w:p>
        </w:tc>
        <w:tc>
          <w:tcPr>
            <w:tcW w:w="0" w:type="auto"/>
            <w:shd w:val="clear" w:color="auto" w:fill="auto"/>
            <w:vAlign w:val="center"/>
          </w:tcPr>
          <w:p w14:paraId="42A10AB8" w14:textId="77777777" w:rsidR="00BB68E1" w:rsidRDefault="00BB68E1">
            <w:pPr>
              <w:rPr>
                <w:rFonts w:ascii="Times New Roman" w:hAnsi="Times New Roman"/>
                <w:sz w:val="20"/>
                <w:szCs w:val="20"/>
              </w:rPr>
            </w:pPr>
          </w:p>
        </w:tc>
      </w:tr>
      <w:tr w:rsidR="00BB68E1" w14:paraId="42A10ABC" w14:textId="77777777">
        <w:trPr>
          <w:tblCellSpacing w:w="0" w:type="dxa"/>
        </w:trPr>
        <w:tc>
          <w:tcPr>
            <w:tcW w:w="0" w:type="auto"/>
            <w:shd w:val="clear" w:color="auto" w:fill="auto"/>
          </w:tcPr>
          <w:p w14:paraId="42A10ABA"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BB"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the imposition of new taxes on imports and new tariffs and changes in existing tariff rates;</w:t>
            </w:r>
          </w:p>
        </w:tc>
      </w:tr>
    </w:tbl>
    <w:p w14:paraId="42A10ABD"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6504"/>
      </w:tblGrid>
      <w:tr w:rsidR="00BB68E1" w14:paraId="42A10AC0" w14:textId="77777777">
        <w:trPr>
          <w:tblCellSpacing w:w="0" w:type="dxa"/>
        </w:trPr>
        <w:tc>
          <w:tcPr>
            <w:tcW w:w="960" w:type="dxa"/>
            <w:shd w:val="clear" w:color="auto" w:fill="auto"/>
            <w:vAlign w:val="center"/>
          </w:tcPr>
          <w:p w14:paraId="42A10ABE" w14:textId="77777777" w:rsidR="00BB68E1" w:rsidRDefault="00BB68E1">
            <w:pPr>
              <w:rPr>
                <w:rFonts w:ascii="Times New Roman" w:hAnsi="Times New Roman"/>
                <w:sz w:val="20"/>
                <w:szCs w:val="20"/>
              </w:rPr>
            </w:pPr>
          </w:p>
        </w:tc>
        <w:tc>
          <w:tcPr>
            <w:tcW w:w="0" w:type="auto"/>
            <w:shd w:val="clear" w:color="auto" w:fill="auto"/>
            <w:vAlign w:val="center"/>
          </w:tcPr>
          <w:p w14:paraId="42A10ABF" w14:textId="77777777" w:rsidR="00BB68E1" w:rsidRDefault="00BB68E1">
            <w:pPr>
              <w:rPr>
                <w:rFonts w:ascii="Times New Roman" w:hAnsi="Times New Roman"/>
                <w:sz w:val="20"/>
                <w:szCs w:val="20"/>
              </w:rPr>
            </w:pPr>
          </w:p>
        </w:tc>
      </w:tr>
      <w:tr w:rsidR="00BB68E1" w14:paraId="42A10AC3" w14:textId="77777777">
        <w:trPr>
          <w:tblCellSpacing w:w="0" w:type="dxa"/>
        </w:trPr>
        <w:tc>
          <w:tcPr>
            <w:tcW w:w="0" w:type="auto"/>
            <w:shd w:val="clear" w:color="auto" w:fill="auto"/>
          </w:tcPr>
          <w:p w14:paraId="42A10AC1"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C2"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imposition of new trade </w:t>
            </w:r>
            <w:r>
              <w:rPr>
                <w:rFonts w:ascii="Times New Roman" w:eastAsia="宋体" w:hAnsi="Times New Roman"/>
                <w:sz w:val="20"/>
                <w:szCs w:val="20"/>
              </w:rPr>
              <w:t>restrictions and changes in existing trade restrictions;</w:t>
            </w:r>
          </w:p>
        </w:tc>
      </w:tr>
    </w:tbl>
    <w:p w14:paraId="42A10AC4"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AC7" w14:textId="77777777">
        <w:trPr>
          <w:tblCellSpacing w:w="0" w:type="dxa"/>
        </w:trPr>
        <w:tc>
          <w:tcPr>
            <w:tcW w:w="960" w:type="dxa"/>
            <w:shd w:val="clear" w:color="auto" w:fill="auto"/>
            <w:vAlign w:val="center"/>
          </w:tcPr>
          <w:p w14:paraId="42A10AC5" w14:textId="77777777" w:rsidR="00BB68E1" w:rsidRDefault="00BB68E1">
            <w:pPr>
              <w:rPr>
                <w:rFonts w:ascii="Times New Roman" w:hAnsi="Times New Roman"/>
                <w:sz w:val="20"/>
                <w:szCs w:val="20"/>
              </w:rPr>
            </w:pPr>
          </w:p>
        </w:tc>
        <w:tc>
          <w:tcPr>
            <w:tcW w:w="0" w:type="auto"/>
            <w:shd w:val="clear" w:color="auto" w:fill="auto"/>
            <w:vAlign w:val="center"/>
          </w:tcPr>
          <w:p w14:paraId="42A10AC6" w14:textId="77777777" w:rsidR="00BB68E1" w:rsidRDefault="00BB68E1">
            <w:pPr>
              <w:rPr>
                <w:rFonts w:ascii="Times New Roman" w:hAnsi="Times New Roman"/>
                <w:sz w:val="20"/>
                <w:szCs w:val="20"/>
              </w:rPr>
            </w:pPr>
          </w:p>
        </w:tc>
      </w:tr>
      <w:tr w:rsidR="00BB68E1" w14:paraId="42A10ACA" w14:textId="77777777">
        <w:trPr>
          <w:tblCellSpacing w:w="0" w:type="dxa"/>
        </w:trPr>
        <w:tc>
          <w:tcPr>
            <w:tcW w:w="0" w:type="auto"/>
            <w:shd w:val="clear" w:color="auto" w:fill="auto"/>
          </w:tcPr>
          <w:p w14:paraId="42A10AC8"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C9"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adoption or creation of new, and modification of existing, governmental policies, programs and initiatives in the markets in which Walmart operates and elsewhere and actions with </w:t>
            </w:r>
            <w:r>
              <w:rPr>
                <w:rFonts w:ascii="Times New Roman" w:eastAsia="宋体" w:hAnsi="Times New Roman"/>
                <w:sz w:val="20"/>
                <w:szCs w:val="20"/>
              </w:rPr>
              <w:t>respect to such policies, programs and initiatives;</w:t>
            </w:r>
          </w:p>
        </w:tc>
      </w:tr>
    </w:tbl>
    <w:p w14:paraId="42A10ACB"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688"/>
      </w:tblGrid>
      <w:tr w:rsidR="00BB68E1" w14:paraId="42A10ACE" w14:textId="77777777">
        <w:trPr>
          <w:tblCellSpacing w:w="0" w:type="dxa"/>
        </w:trPr>
        <w:tc>
          <w:tcPr>
            <w:tcW w:w="960" w:type="dxa"/>
            <w:shd w:val="clear" w:color="auto" w:fill="auto"/>
            <w:vAlign w:val="center"/>
          </w:tcPr>
          <w:p w14:paraId="42A10ACC" w14:textId="77777777" w:rsidR="00BB68E1" w:rsidRDefault="00BB68E1">
            <w:pPr>
              <w:rPr>
                <w:rFonts w:ascii="Times New Roman" w:hAnsi="Times New Roman"/>
                <w:sz w:val="20"/>
                <w:szCs w:val="20"/>
              </w:rPr>
            </w:pPr>
          </w:p>
        </w:tc>
        <w:tc>
          <w:tcPr>
            <w:tcW w:w="0" w:type="auto"/>
            <w:shd w:val="clear" w:color="auto" w:fill="auto"/>
            <w:vAlign w:val="center"/>
          </w:tcPr>
          <w:p w14:paraId="42A10ACD" w14:textId="77777777" w:rsidR="00BB68E1" w:rsidRDefault="00BB68E1">
            <w:pPr>
              <w:rPr>
                <w:rFonts w:ascii="Times New Roman" w:hAnsi="Times New Roman"/>
                <w:sz w:val="20"/>
                <w:szCs w:val="20"/>
              </w:rPr>
            </w:pPr>
          </w:p>
        </w:tc>
      </w:tr>
      <w:tr w:rsidR="00BB68E1" w14:paraId="42A10AD1" w14:textId="77777777">
        <w:trPr>
          <w:tblCellSpacing w:w="0" w:type="dxa"/>
        </w:trPr>
        <w:tc>
          <w:tcPr>
            <w:tcW w:w="0" w:type="auto"/>
            <w:shd w:val="clear" w:color="auto" w:fill="auto"/>
          </w:tcPr>
          <w:p w14:paraId="42A10ACF"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D0"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changes in currency control laws;</w:t>
            </w:r>
          </w:p>
        </w:tc>
      </w:tr>
    </w:tbl>
    <w:p w14:paraId="42A10AD2"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071"/>
      </w:tblGrid>
      <w:tr w:rsidR="00BB68E1" w14:paraId="42A10AD5" w14:textId="77777777">
        <w:trPr>
          <w:tblCellSpacing w:w="0" w:type="dxa"/>
        </w:trPr>
        <w:tc>
          <w:tcPr>
            <w:tcW w:w="960" w:type="dxa"/>
            <w:shd w:val="clear" w:color="auto" w:fill="auto"/>
            <w:vAlign w:val="center"/>
          </w:tcPr>
          <w:p w14:paraId="42A10AD3" w14:textId="77777777" w:rsidR="00BB68E1" w:rsidRDefault="00BB68E1">
            <w:pPr>
              <w:rPr>
                <w:rFonts w:ascii="Times New Roman" w:hAnsi="Times New Roman"/>
                <w:sz w:val="20"/>
                <w:szCs w:val="20"/>
              </w:rPr>
            </w:pPr>
          </w:p>
        </w:tc>
        <w:tc>
          <w:tcPr>
            <w:tcW w:w="0" w:type="auto"/>
            <w:shd w:val="clear" w:color="auto" w:fill="auto"/>
            <w:vAlign w:val="center"/>
          </w:tcPr>
          <w:p w14:paraId="42A10AD4" w14:textId="77777777" w:rsidR="00BB68E1" w:rsidRDefault="00BB68E1">
            <w:pPr>
              <w:rPr>
                <w:rFonts w:ascii="Times New Roman" w:hAnsi="Times New Roman"/>
                <w:sz w:val="20"/>
                <w:szCs w:val="20"/>
              </w:rPr>
            </w:pPr>
          </w:p>
        </w:tc>
      </w:tr>
      <w:tr w:rsidR="00BB68E1" w14:paraId="42A10AD8" w14:textId="77777777">
        <w:trPr>
          <w:tblCellSpacing w:w="0" w:type="dxa"/>
        </w:trPr>
        <w:tc>
          <w:tcPr>
            <w:tcW w:w="0" w:type="auto"/>
            <w:shd w:val="clear" w:color="auto" w:fill="auto"/>
          </w:tcPr>
          <w:p w14:paraId="42A10AD6"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D7"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changes in the level of public assistance payments;</w:t>
            </w:r>
          </w:p>
        </w:tc>
      </w:tr>
    </w:tbl>
    <w:p w14:paraId="42A10AD9"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399"/>
      </w:tblGrid>
      <w:tr w:rsidR="00BB68E1" w14:paraId="42A10ADC" w14:textId="77777777">
        <w:trPr>
          <w:tblCellSpacing w:w="0" w:type="dxa"/>
        </w:trPr>
        <w:tc>
          <w:tcPr>
            <w:tcW w:w="960" w:type="dxa"/>
            <w:shd w:val="clear" w:color="auto" w:fill="auto"/>
            <w:vAlign w:val="center"/>
          </w:tcPr>
          <w:p w14:paraId="42A10ADA" w14:textId="77777777" w:rsidR="00BB68E1" w:rsidRDefault="00BB68E1">
            <w:pPr>
              <w:rPr>
                <w:rFonts w:ascii="Times New Roman" w:hAnsi="Times New Roman"/>
                <w:sz w:val="20"/>
                <w:szCs w:val="20"/>
              </w:rPr>
            </w:pPr>
          </w:p>
        </w:tc>
        <w:tc>
          <w:tcPr>
            <w:tcW w:w="0" w:type="auto"/>
            <w:shd w:val="clear" w:color="auto" w:fill="auto"/>
            <w:vAlign w:val="center"/>
          </w:tcPr>
          <w:p w14:paraId="42A10ADB" w14:textId="77777777" w:rsidR="00BB68E1" w:rsidRDefault="00BB68E1">
            <w:pPr>
              <w:rPr>
                <w:rFonts w:ascii="Times New Roman" w:hAnsi="Times New Roman"/>
                <w:sz w:val="20"/>
                <w:szCs w:val="20"/>
              </w:rPr>
            </w:pPr>
          </w:p>
        </w:tc>
      </w:tr>
      <w:tr w:rsidR="00BB68E1" w14:paraId="42A10ADF" w14:textId="77777777">
        <w:trPr>
          <w:tblCellSpacing w:w="0" w:type="dxa"/>
        </w:trPr>
        <w:tc>
          <w:tcPr>
            <w:tcW w:w="0" w:type="auto"/>
            <w:shd w:val="clear" w:color="auto" w:fill="auto"/>
          </w:tcPr>
          <w:p w14:paraId="42A10ADD"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DE"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one or more prolonged federal government shutdowns;</w:t>
            </w:r>
          </w:p>
        </w:tc>
      </w:tr>
    </w:tbl>
    <w:p w14:paraId="42A10AE0"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266"/>
      </w:tblGrid>
      <w:tr w:rsidR="00BB68E1" w14:paraId="42A10AE3" w14:textId="77777777">
        <w:trPr>
          <w:tblCellSpacing w:w="0" w:type="dxa"/>
        </w:trPr>
        <w:tc>
          <w:tcPr>
            <w:tcW w:w="960" w:type="dxa"/>
            <w:shd w:val="clear" w:color="auto" w:fill="auto"/>
            <w:vAlign w:val="center"/>
          </w:tcPr>
          <w:p w14:paraId="42A10AE1" w14:textId="77777777" w:rsidR="00BB68E1" w:rsidRDefault="00BB68E1">
            <w:pPr>
              <w:rPr>
                <w:rFonts w:ascii="Times New Roman" w:hAnsi="Times New Roman"/>
                <w:sz w:val="20"/>
                <w:szCs w:val="20"/>
              </w:rPr>
            </w:pPr>
          </w:p>
        </w:tc>
        <w:tc>
          <w:tcPr>
            <w:tcW w:w="0" w:type="auto"/>
            <w:shd w:val="clear" w:color="auto" w:fill="auto"/>
            <w:vAlign w:val="center"/>
          </w:tcPr>
          <w:p w14:paraId="42A10AE2" w14:textId="77777777" w:rsidR="00BB68E1" w:rsidRDefault="00BB68E1">
            <w:pPr>
              <w:rPr>
                <w:rFonts w:ascii="Times New Roman" w:hAnsi="Times New Roman"/>
                <w:sz w:val="20"/>
                <w:szCs w:val="20"/>
              </w:rPr>
            </w:pPr>
          </w:p>
        </w:tc>
      </w:tr>
      <w:tr w:rsidR="00BB68E1" w14:paraId="42A10AE6" w14:textId="77777777">
        <w:trPr>
          <w:tblCellSpacing w:w="0" w:type="dxa"/>
        </w:trPr>
        <w:tc>
          <w:tcPr>
            <w:tcW w:w="0" w:type="auto"/>
            <w:shd w:val="clear" w:color="auto" w:fill="auto"/>
          </w:tcPr>
          <w:p w14:paraId="42A10AE4"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E5"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timing and amount of </w:t>
            </w:r>
            <w:r>
              <w:rPr>
                <w:rFonts w:ascii="Times New Roman" w:eastAsia="宋体" w:hAnsi="Times New Roman"/>
                <w:sz w:val="20"/>
                <w:szCs w:val="20"/>
              </w:rPr>
              <w:t>federal income tax refunds;</w:t>
            </w:r>
          </w:p>
        </w:tc>
      </w:tr>
    </w:tbl>
    <w:p w14:paraId="42A10AE7"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AEA" w14:textId="77777777">
        <w:trPr>
          <w:tblCellSpacing w:w="0" w:type="dxa"/>
        </w:trPr>
        <w:tc>
          <w:tcPr>
            <w:tcW w:w="960" w:type="dxa"/>
            <w:shd w:val="clear" w:color="auto" w:fill="auto"/>
            <w:vAlign w:val="center"/>
          </w:tcPr>
          <w:p w14:paraId="42A10AE8" w14:textId="77777777" w:rsidR="00BB68E1" w:rsidRDefault="00BB68E1">
            <w:pPr>
              <w:rPr>
                <w:rFonts w:ascii="Times New Roman" w:hAnsi="Times New Roman"/>
                <w:sz w:val="20"/>
                <w:szCs w:val="20"/>
              </w:rPr>
            </w:pPr>
          </w:p>
        </w:tc>
        <w:tc>
          <w:tcPr>
            <w:tcW w:w="0" w:type="auto"/>
            <w:shd w:val="clear" w:color="auto" w:fill="auto"/>
            <w:vAlign w:val="center"/>
          </w:tcPr>
          <w:p w14:paraId="42A10AE9" w14:textId="77777777" w:rsidR="00BB68E1" w:rsidRDefault="00BB68E1">
            <w:pPr>
              <w:rPr>
                <w:rFonts w:ascii="Times New Roman" w:hAnsi="Times New Roman"/>
                <w:sz w:val="20"/>
                <w:szCs w:val="20"/>
              </w:rPr>
            </w:pPr>
          </w:p>
        </w:tc>
      </w:tr>
      <w:tr w:rsidR="00BB68E1" w14:paraId="42A10AED" w14:textId="77777777">
        <w:trPr>
          <w:tblCellSpacing w:w="0" w:type="dxa"/>
        </w:trPr>
        <w:tc>
          <w:tcPr>
            <w:tcW w:w="0" w:type="auto"/>
            <w:shd w:val="clear" w:color="auto" w:fill="auto"/>
          </w:tcPr>
          <w:p w14:paraId="42A10AEB"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EC"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natural disasters, changes in climate, catastrophic events and global health epidemics or </w:t>
            </w:r>
            <w:r>
              <w:rPr>
                <w:rFonts w:ascii="Times New Roman" w:eastAsia="宋体" w:hAnsi="Times New Roman"/>
                <w:sz w:val="20"/>
                <w:szCs w:val="20"/>
              </w:rPr>
              <w:lastRenderedPageBreak/>
              <w:t>pandemics such as the recent coronavirus outbreak; and</w:t>
            </w:r>
          </w:p>
        </w:tc>
      </w:tr>
    </w:tbl>
    <w:p w14:paraId="42A10AEE"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832"/>
      </w:tblGrid>
      <w:tr w:rsidR="00BB68E1" w14:paraId="42A10AF1" w14:textId="77777777">
        <w:trPr>
          <w:tblCellSpacing w:w="0" w:type="dxa"/>
        </w:trPr>
        <w:tc>
          <w:tcPr>
            <w:tcW w:w="960" w:type="dxa"/>
            <w:shd w:val="clear" w:color="auto" w:fill="auto"/>
            <w:vAlign w:val="center"/>
          </w:tcPr>
          <w:p w14:paraId="42A10AEF" w14:textId="77777777" w:rsidR="00BB68E1" w:rsidRDefault="00BB68E1">
            <w:pPr>
              <w:rPr>
                <w:rFonts w:ascii="Times New Roman" w:hAnsi="Times New Roman"/>
                <w:sz w:val="20"/>
                <w:szCs w:val="20"/>
              </w:rPr>
            </w:pPr>
          </w:p>
        </w:tc>
        <w:tc>
          <w:tcPr>
            <w:tcW w:w="0" w:type="auto"/>
            <w:shd w:val="clear" w:color="auto" w:fill="auto"/>
            <w:vAlign w:val="center"/>
          </w:tcPr>
          <w:p w14:paraId="42A10AF0" w14:textId="77777777" w:rsidR="00BB68E1" w:rsidRDefault="00BB68E1">
            <w:pPr>
              <w:rPr>
                <w:rFonts w:ascii="Times New Roman" w:hAnsi="Times New Roman"/>
                <w:sz w:val="20"/>
                <w:szCs w:val="20"/>
              </w:rPr>
            </w:pPr>
          </w:p>
        </w:tc>
      </w:tr>
      <w:tr w:rsidR="00BB68E1" w14:paraId="42A10AF4" w14:textId="77777777">
        <w:trPr>
          <w:tblCellSpacing w:w="0" w:type="dxa"/>
        </w:trPr>
        <w:tc>
          <w:tcPr>
            <w:tcW w:w="0" w:type="auto"/>
            <w:shd w:val="clear" w:color="auto" w:fill="auto"/>
          </w:tcPr>
          <w:p w14:paraId="42A10AF2"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AF3"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changes in generally accepted accounting principles in the </w:t>
            </w:r>
            <w:r>
              <w:rPr>
                <w:rFonts w:ascii="Times New Roman" w:eastAsia="宋体" w:hAnsi="Times New Roman"/>
                <w:sz w:val="20"/>
                <w:szCs w:val="20"/>
              </w:rPr>
              <w:t>United States.</w:t>
            </w:r>
          </w:p>
        </w:tc>
      </w:tr>
    </w:tbl>
    <w:p w14:paraId="42A10AF5"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typically earn a disproportionate part of our annual operating income in the fourth quarter as a result of seasonal buying patterns, which patterns are difficult to forecast with certainty and can be affected by many factors.</w:t>
      </w:r>
    </w:p>
    <w:p w14:paraId="42A10AF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u w:val="single"/>
        </w:rPr>
        <w:t xml:space="preserve">Other </w:t>
      </w:r>
      <w:r>
        <w:rPr>
          <w:rFonts w:ascii="Times New Roman" w:eastAsia="宋体" w:hAnsi="Times New Roman"/>
          <w:sz w:val="20"/>
          <w:szCs w:val="20"/>
          <w:u w:val="single"/>
        </w:rPr>
        <w:t>Risk Factors; No Duty to Update</w:t>
      </w:r>
    </w:p>
    <w:p w14:paraId="42A10AF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above list of factors that may affect the estimates and expectations discussed in or implied or contemplated by forward-looking statements we make or are made on our behalf is not exclusive. We are subject to other risks</w:t>
      </w:r>
      <w:r>
        <w:rPr>
          <w:rFonts w:ascii="Times New Roman" w:eastAsia="宋体" w:hAnsi="Times New Roman"/>
          <w:sz w:val="20"/>
          <w:szCs w:val="20"/>
        </w:rPr>
        <w:t xml:space="preserve"> discussed under "</w:t>
      </w:r>
      <w:hyperlink r:id="rId74" w:anchor="s7B5987C7074851A38C2BDBF2DED3E8FF" w:history="1">
        <w:r>
          <w:rPr>
            <w:rStyle w:val="a5"/>
            <w:rFonts w:ascii="Times New Roman" w:eastAsia="宋体" w:hAnsi="Times New Roman"/>
            <w:sz w:val="20"/>
            <w:szCs w:val="20"/>
          </w:rPr>
          <w:t>Part I, Item 1A. Risk Factors</w:t>
        </w:r>
      </w:hyperlink>
      <w:r>
        <w:rPr>
          <w:rFonts w:ascii="Times New Roman" w:eastAsia="宋体" w:hAnsi="Times New Roman"/>
          <w:sz w:val="20"/>
          <w:szCs w:val="20"/>
        </w:rPr>
        <w:t>," and that we may discuss in Management's Discussio</w:t>
      </w:r>
      <w:r>
        <w:rPr>
          <w:rFonts w:ascii="Times New Roman" w:eastAsia="宋体" w:hAnsi="Times New Roman"/>
          <w:sz w:val="20"/>
          <w:szCs w:val="20"/>
        </w:rPr>
        <w:t>ns and Analysis of Financial Condition and Results of Operations under "Part II, Item 5," and in risks that may be discussed under "Part II, Item 1A. Risk Factors" and "Part I, Item 2. Management's Discussions and Analysis of Financial Condition and Result</w:t>
      </w:r>
      <w:r>
        <w:rPr>
          <w:rFonts w:ascii="Times New Roman" w:eastAsia="宋体" w:hAnsi="Times New Roman"/>
          <w:sz w:val="20"/>
          <w:szCs w:val="20"/>
        </w:rPr>
        <w:t>s of Operations" appearing in our Quarterly Reports on Form 10-Q or may otherwise be disclosed in our Quarterly Reports on Form 10-Q and other reports filed with the SEC. Investors and other readers are urged to consider all of these risks, uncertainties a</w:t>
      </w:r>
      <w:r>
        <w:rPr>
          <w:rFonts w:ascii="Times New Roman" w:eastAsia="宋体" w:hAnsi="Times New Roman"/>
          <w:sz w:val="20"/>
          <w:szCs w:val="20"/>
        </w:rPr>
        <w:t>nd other factors carefully in evaluating our forward-looking statements.</w:t>
      </w:r>
    </w:p>
    <w:p w14:paraId="42A10AF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forward-looking statements that we make or that are made by others on our behalf are based on our knowledge of our business and our operating environment and assumptions that we b</w:t>
      </w:r>
      <w:r>
        <w:rPr>
          <w:rFonts w:ascii="Times New Roman" w:eastAsia="宋体" w:hAnsi="Times New Roman"/>
          <w:sz w:val="20"/>
          <w:szCs w:val="20"/>
        </w:rPr>
        <w:t xml:space="preserve">elieve to be or will believe to be reasonable when such forward-looking statements were or are made. As a consequence of the factors described above, the other risks, uncertainties and factors we disclose below and in the other reports as mentioned above, </w:t>
      </w:r>
      <w:r>
        <w:rPr>
          <w:rFonts w:ascii="Times New Roman" w:eastAsia="宋体" w:hAnsi="Times New Roman"/>
          <w:sz w:val="20"/>
          <w:szCs w:val="20"/>
        </w:rPr>
        <w:t xml:space="preserve">other risks not known to us at this time, changes in facts, assumptions not being realized or other circumstances, our actual results may differ materially from those discussed in or implied or contemplated by our forward-looking statements. Consequently, </w:t>
      </w:r>
      <w:r>
        <w:rPr>
          <w:rFonts w:ascii="Times New Roman" w:eastAsia="宋体" w:hAnsi="Times New Roman"/>
          <w:sz w:val="20"/>
          <w:szCs w:val="20"/>
        </w:rPr>
        <w:t>this cautionary statement qualifies all forward-looking statements we make or that are made on our behalf, including those made herein and incorporated by reference herein. We cannot assure you that the results or developments expected or anticipated by us</w:t>
      </w:r>
      <w:r>
        <w:rPr>
          <w:rFonts w:ascii="Times New Roman" w:eastAsia="宋体" w:hAnsi="Times New Roman"/>
          <w:sz w:val="20"/>
          <w:szCs w:val="20"/>
        </w:rPr>
        <w:t xml:space="preserve"> will be realized or, even if substantially realized, that those results or developments will result in the expected consequences for us or affect us, our business, our operations or our operating results in the manner or to the extent we expect. We cautio</w:t>
      </w:r>
      <w:r>
        <w:rPr>
          <w:rFonts w:ascii="Times New Roman" w:eastAsia="宋体" w:hAnsi="Times New Roman"/>
          <w:sz w:val="20"/>
          <w:szCs w:val="20"/>
        </w:rPr>
        <w:t>n readers not to place undue reliance on such forward-looking statements, which speak only as of their dates. We undertake no obligation to revise or update any of the forward-looking statements to reflect subsequent events or circumstances except to the e</w:t>
      </w:r>
      <w:r>
        <w:rPr>
          <w:rFonts w:ascii="Times New Roman" w:eastAsia="宋体" w:hAnsi="Times New Roman"/>
          <w:sz w:val="20"/>
          <w:szCs w:val="20"/>
        </w:rPr>
        <w:t>xtent required by applicable law.</w:t>
      </w:r>
    </w:p>
    <w:p w14:paraId="42A10AF9" w14:textId="77777777" w:rsidR="00BB68E1" w:rsidRDefault="00BB68E1">
      <w:pPr>
        <w:rPr>
          <w:rFonts w:ascii="Times New Roman" w:hAnsi="Times New Roman"/>
          <w:sz w:val="20"/>
          <w:szCs w:val="20"/>
        </w:rPr>
      </w:pPr>
    </w:p>
    <w:p w14:paraId="42A10AFA"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6</w:t>
      </w:r>
    </w:p>
    <w:p w14:paraId="42A10AFB" w14:textId="77777777" w:rsidR="00BB68E1" w:rsidRDefault="00BB68E1">
      <w:pPr>
        <w:spacing w:line="288" w:lineRule="auto"/>
        <w:jc w:val="center"/>
        <w:rPr>
          <w:rFonts w:ascii="Times New Roman" w:hAnsi="Times New Roman"/>
          <w:sz w:val="20"/>
          <w:szCs w:val="20"/>
        </w:rPr>
      </w:pPr>
    </w:p>
    <w:p w14:paraId="42A10AFC" w14:textId="77777777" w:rsidR="00BB68E1" w:rsidRDefault="005D2D5E">
      <w:r>
        <w:rPr>
          <w:rFonts w:ascii="Times New Roman" w:hAnsi="Times New Roman"/>
          <w:sz w:val="20"/>
          <w:szCs w:val="20"/>
        </w:rPr>
        <w:pict w14:anchorId="42A1427B">
          <v:rect id="_x0000_i1030" style="width:415.3pt;height:1.5pt" o:hralign="center" o:hrstd="t" o:hr="t" fillcolor="#a0a0a0" stroked="f"/>
        </w:pict>
      </w:r>
    </w:p>
    <w:p w14:paraId="42A10AFD" w14:textId="77777777" w:rsidR="00BB68E1" w:rsidRDefault="00BB68E1">
      <w:pPr>
        <w:rPr>
          <w:rFonts w:ascii="Times New Roman" w:hAnsi="Times New Roman"/>
          <w:sz w:val="20"/>
          <w:szCs w:val="20"/>
        </w:rPr>
      </w:pPr>
    </w:p>
    <w:tbl>
      <w:tblPr>
        <w:tblW w:w="1520" w:type="pct"/>
        <w:tblCellMar>
          <w:left w:w="0" w:type="dxa"/>
          <w:right w:w="0" w:type="dxa"/>
        </w:tblCellMar>
        <w:tblLook w:val="04A0" w:firstRow="1" w:lastRow="0" w:firstColumn="1" w:lastColumn="0" w:noHBand="0" w:noVBand="1"/>
      </w:tblPr>
      <w:tblGrid>
        <w:gridCol w:w="909"/>
        <w:gridCol w:w="1616"/>
      </w:tblGrid>
      <w:tr w:rsidR="00BB68E1" w14:paraId="42A10AFF" w14:textId="77777777">
        <w:tc>
          <w:tcPr>
            <w:tcW w:w="0" w:type="auto"/>
            <w:gridSpan w:val="2"/>
            <w:shd w:val="clear" w:color="auto" w:fill="auto"/>
            <w:vAlign w:val="center"/>
          </w:tcPr>
          <w:p w14:paraId="42A10AFE" w14:textId="77777777" w:rsidR="00BB68E1" w:rsidRDefault="00BB68E1">
            <w:pPr>
              <w:rPr>
                <w:rFonts w:ascii="Times New Roman" w:hAnsi="Times New Roman"/>
                <w:sz w:val="20"/>
                <w:szCs w:val="20"/>
              </w:rPr>
            </w:pPr>
          </w:p>
        </w:tc>
      </w:tr>
      <w:tr w:rsidR="00BB68E1" w14:paraId="42A10B02" w14:textId="77777777">
        <w:tc>
          <w:tcPr>
            <w:tcW w:w="1800" w:type="pct"/>
            <w:shd w:val="clear" w:color="auto" w:fill="auto"/>
            <w:vAlign w:val="center"/>
          </w:tcPr>
          <w:p w14:paraId="42A10B00" w14:textId="77777777" w:rsidR="00BB68E1" w:rsidRDefault="00BB68E1">
            <w:pPr>
              <w:rPr>
                <w:rFonts w:ascii="Times New Roman" w:hAnsi="Times New Roman"/>
                <w:sz w:val="20"/>
                <w:szCs w:val="20"/>
              </w:rPr>
            </w:pPr>
          </w:p>
        </w:tc>
        <w:tc>
          <w:tcPr>
            <w:tcW w:w="3200" w:type="pct"/>
            <w:shd w:val="clear" w:color="auto" w:fill="auto"/>
            <w:vAlign w:val="center"/>
          </w:tcPr>
          <w:p w14:paraId="42A10B01" w14:textId="77777777" w:rsidR="00BB68E1" w:rsidRDefault="00BB68E1">
            <w:pPr>
              <w:rPr>
                <w:rFonts w:ascii="Times New Roman" w:hAnsi="Times New Roman"/>
                <w:sz w:val="20"/>
                <w:szCs w:val="20"/>
              </w:rPr>
            </w:pPr>
          </w:p>
        </w:tc>
      </w:tr>
      <w:tr w:rsidR="00BB68E1" w14:paraId="42A10B05" w14:textId="77777777">
        <w:tc>
          <w:tcPr>
            <w:tcW w:w="0" w:type="auto"/>
            <w:shd w:val="clear" w:color="auto" w:fill="auto"/>
            <w:tcMar>
              <w:top w:w="40" w:type="dxa"/>
              <w:left w:w="40" w:type="dxa"/>
              <w:bottom w:w="40" w:type="dxa"/>
              <w:right w:w="40" w:type="dxa"/>
            </w:tcMar>
          </w:tcPr>
          <w:p w14:paraId="42A10B03"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1.</w:t>
            </w:r>
          </w:p>
        </w:tc>
        <w:tc>
          <w:tcPr>
            <w:tcW w:w="0" w:type="auto"/>
            <w:shd w:val="clear" w:color="auto" w:fill="auto"/>
            <w:tcMar>
              <w:top w:w="40" w:type="dxa"/>
              <w:left w:w="40" w:type="dxa"/>
              <w:bottom w:w="40" w:type="dxa"/>
              <w:right w:w="40" w:type="dxa"/>
            </w:tcMar>
          </w:tcPr>
          <w:p w14:paraId="42A10B04"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BUSINESS</w:t>
            </w:r>
          </w:p>
        </w:tc>
      </w:tr>
    </w:tbl>
    <w:p w14:paraId="42A10B06"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General</w:t>
      </w:r>
    </w:p>
    <w:p w14:paraId="42A10B0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Walmart Inc. ("Walmart," the "Company" or "we") helps people around the world save money and live better – anytime and anywhere – by providing the opportunity to shop in retail </w:t>
      </w:r>
      <w:r>
        <w:rPr>
          <w:rFonts w:ascii="Times New Roman" w:eastAsia="宋体" w:hAnsi="Times New Roman"/>
          <w:sz w:val="20"/>
          <w:szCs w:val="20"/>
        </w:rPr>
        <w:t xml:space="preserve">stores and through eCommerce. Through innovation, we strive to continuously improve a customer-centric experience that seamlessly integrates our eCommerce and retail stores in an omni-channel offering that saves time for our customers. Each week, we serve </w:t>
      </w:r>
      <w:r>
        <w:rPr>
          <w:rFonts w:ascii="Times New Roman" w:eastAsia="宋体" w:hAnsi="Times New Roman"/>
          <w:sz w:val="20"/>
          <w:szCs w:val="20"/>
        </w:rPr>
        <w:t>over 265 million customers who visit approximately 11,500 stores and numerous eCommerce websites under 56 banners in 27 countries.</w:t>
      </w:r>
    </w:p>
    <w:p w14:paraId="42A10B0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Our strategy is to make every day easier for busy families, operate with discipline, sharpen our culture and become digital, </w:t>
      </w:r>
      <w:r>
        <w:rPr>
          <w:rFonts w:ascii="Times New Roman" w:eastAsia="宋体" w:hAnsi="Times New Roman"/>
          <w:sz w:val="20"/>
          <w:szCs w:val="20"/>
        </w:rPr>
        <w:t>and make trust a competitive advantage. Making life easier for busy families includes our commitment to price leadership, which has been and will remain a cornerstone of our business, as well as increasing convenience to save our customers time. By leading</w:t>
      </w:r>
      <w:r>
        <w:rPr>
          <w:rFonts w:ascii="Times New Roman" w:eastAsia="宋体" w:hAnsi="Times New Roman"/>
          <w:sz w:val="20"/>
          <w:szCs w:val="20"/>
        </w:rPr>
        <w:t xml:space="preserve"> on price, we earn the trust of our customers every day by providing a broad assortment of quality merchandise and </w:t>
      </w:r>
      <w:r>
        <w:rPr>
          <w:rFonts w:ascii="Times New Roman" w:eastAsia="宋体" w:hAnsi="Times New Roman"/>
          <w:sz w:val="20"/>
          <w:szCs w:val="20"/>
        </w:rPr>
        <w:lastRenderedPageBreak/>
        <w:t>services at everyday low prices ("EDLP"). EDLP is our pricing philosophy under which we price items at a low price every day so our customers</w:t>
      </w:r>
      <w:r>
        <w:rPr>
          <w:rFonts w:ascii="Times New Roman" w:eastAsia="宋体" w:hAnsi="Times New Roman"/>
          <w:sz w:val="20"/>
          <w:szCs w:val="20"/>
        </w:rPr>
        <w:t xml:space="preserve"> trust that our prices will not change under frequent promotional activity. Everyday low cost ("EDLC") is our commitment to control expenses so our cost savings can be passed along to our customers. </w:t>
      </w:r>
    </w:p>
    <w:p w14:paraId="42A10B0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Our operations comprise three reportable segments: Walma</w:t>
      </w:r>
      <w:r>
        <w:rPr>
          <w:rFonts w:ascii="Times New Roman" w:eastAsia="宋体" w:hAnsi="Times New Roman"/>
          <w:sz w:val="20"/>
          <w:szCs w:val="20"/>
        </w:rPr>
        <w:t>rt U.S., Walmart International and Sam's Club. Our fiscal year ends on January 31 for our United States ("U.S.") and Canadian operations. We consolidate all other operations generally using a one-month lag and on a calendar year basis. Our discussion is as</w:t>
      </w:r>
      <w:r>
        <w:rPr>
          <w:rFonts w:ascii="Times New Roman" w:eastAsia="宋体" w:hAnsi="Times New Roman"/>
          <w:sz w:val="20"/>
          <w:szCs w:val="20"/>
        </w:rPr>
        <w:t xml:space="preserve"> of and for the fiscal years ended January 31, 2020 ("fiscal 2020"), January 31, 2019 ("fiscal 2019") and January 31, 2018 ("fiscal 2018"). During fiscal 2020, we generated total revenues of $524.0 billion, which primarily comprised net sales of $519.9 bil</w:t>
      </w:r>
      <w:r>
        <w:rPr>
          <w:rFonts w:ascii="Times New Roman" w:eastAsia="宋体" w:hAnsi="Times New Roman"/>
          <w:sz w:val="20"/>
          <w:szCs w:val="20"/>
        </w:rPr>
        <w:t>lion.</w:t>
      </w:r>
    </w:p>
    <w:p w14:paraId="42A10B0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maintain our principal offices at 702 S.W. 8th Street, Bentonville, Arkansas 72716, USA. Our common stock trades on the New York Stock Exchange under the symbol "WMT."</w:t>
      </w:r>
    </w:p>
    <w:p w14:paraId="42A10B0B"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The Development of Our Company</w:t>
      </w:r>
    </w:p>
    <w:p w14:paraId="42A10B0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Although Walmart was incorporated in Delaware in</w:t>
      </w:r>
      <w:r>
        <w:rPr>
          <w:rFonts w:ascii="Times New Roman" w:eastAsia="宋体" w:hAnsi="Times New Roman"/>
          <w:sz w:val="20"/>
          <w:szCs w:val="20"/>
        </w:rPr>
        <w:t xml:space="preserve"> October 1969, the businesses conducted by our founders began in 1945 when Sam M. Walton opened a franchise Ben Franklin variety store in Newport, Arkansas. In 1946, his brother, James L. Walton, opened a similar store in Versailles, Missouri. Until 1962, </w:t>
      </w:r>
      <w:r>
        <w:rPr>
          <w:rFonts w:ascii="Times New Roman" w:eastAsia="宋体" w:hAnsi="Times New Roman"/>
          <w:sz w:val="20"/>
          <w:szCs w:val="20"/>
        </w:rPr>
        <w:t>our founders' business was devoted entirely to the operation of variety stores. In that year, the first Wal-Mart Discount City, which was a discount store, opened in Rogers, Arkansas. In 1983, we opened our first Sam's Club, and in 1988, we opened our firs</w:t>
      </w:r>
      <w:r>
        <w:rPr>
          <w:rFonts w:ascii="Times New Roman" w:eastAsia="宋体" w:hAnsi="Times New Roman"/>
          <w:sz w:val="20"/>
          <w:szCs w:val="20"/>
        </w:rPr>
        <w:t>t supercenter. In 1998, we opened our first Walmart Neighborhood Market. In 1991, we began our first international initiative when we entered into a joint venture in Mexico. Since then, our international presence has expanded and, as of January 31, 2020, o</w:t>
      </w:r>
      <w:r>
        <w:rPr>
          <w:rFonts w:ascii="Times New Roman" w:eastAsia="宋体" w:hAnsi="Times New Roman"/>
          <w:sz w:val="20"/>
          <w:szCs w:val="20"/>
        </w:rPr>
        <w:t>ur Walmart International segment conducted business in 26 countries.</w:t>
      </w:r>
    </w:p>
    <w:p w14:paraId="42A10B0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In 2000, we began our first eCommerce initiative by creating walmart.com and then later that year, adding samsclub.com. Since then, our eCommerce presence has continued to grow. In 2007, </w:t>
      </w:r>
      <w:r>
        <w:rPr>
          <w:rFonts w:ascii="Times New Roman" w:eastAsia="宋体" w:hAnsi="Times New Roman"/>
          <w:sz w:val="20"/>
          <w:szCs w:val="20"/>
        </w:rPr>
        <w:t>leveraging our physical stores, walmart.com launched its Site to Store service, enabling customers to make a purchase online and pick up merchandise in stores. Since 2016, we have made several eCommerce acquisitions which have enabled us to leverage techno</w:t>
      </w:r>
      <w:r>
        <w:rPr>
          <w:rFonts w:ascii="Times New Roman" w:eastAsia="宋体" w:hAnsi="Times New Roman"/>
          <w:sz w:val="20"/>
          <w:szCs w:val="20"/>
        </w:rPr>
        <w:t>logy, talent and expertise, as well as incubate digitally-native brands and expand our assortment on walmart.com and in stores. In fiscal 2017, walmart.com launched free two-day shipping and we created Store N</w:t>
      </w:r>
      <w:r>
        <w:rPr>
          <w:rFonts w:ascii="Times New Roman" w:eastAsia="宋体" w:hAnsi="Times New Roman"/>
          <w:sz w:val="14"/>
          <w:szCs w:val="14"/>
        </w:rPr>
        <w:t>o</w:t>
      </w:r>
      <w:r>
        <w:rPr>
          <w:rFonts w:ascii="Times New Roman" w:eastAsia="宋体" w:hAnsi="Times New Roman"/>
          <w:sz w:val="20"/>
          <w:szCs w:val="20"/>
        </w:rPr>
        <w:t xml:space="preserve"> 8, a technology incubator with a focus to </w:t>
      </w:r>
      <w:r>
        <w:rPr>
          <w:rFonts w:ascii="Times New Roman" w:eastAsia="宋体" w:hAnsi="Times New Roman"/>
          <w:sz w:val="20"/>
          <w:szCs w:val="20"/>
        </w:rPr>
        <w:t>drive eCommerce innovation. Then in fiscal 2019, we continued to enhance our eCommerce initiatives with the acquisition of a majority stake of Flipkart Private Limited ("Flipkart"), an Indian-based eCommerce marketplace, with an ecosystem that includes eCo</w:t>
      </w:r>
      <w:r>
        <w:rPr>
          <w:rFonts w:ascii="Times New Roman" w:eastAsia="宋体" w:hAnsi="Times New Roman"/>
          <w:sz w:val="20"/>
          <w:szCs w:val="20"/>
        </w:rPr>
        <w:t>mmerce platforms of Flipkart and Myntra as well as PhonePe, a digital transaction platform.</w:t>
      </w:r>
    </w:p>
    <w:p w14:paraId="42A10B0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fiscal 2020, we launched NextDay Delivery to more than 75 percent of the U.S. population, launched Delivery Unlimited from 1,600 locations in the U.S. and expand</w:t>
      </w:r>
      <w:r>
        <w:rPr>
          <w:rFonts w:ascii="Times New Roman" w:eastAsia="宋体" w:hAnsi="Times New Roman"/>
          <w:sz w:val="20"/>
          <w:szCs w:val="20"/>
        </w:rPr>
        <w:t>ed Same Day Pickup to nearly 3,200 locations. Our eCommerce efforts and innovation have also led to omni-channel offerings in many of our markets including grocery pick up and/or delivery in nearly a dozen countries outside the U.S. To date, we now have mo</w:t>
      </w:r>
      <w:r>
        <w:rPr>
          <w:rFonts w:ascii="Times New Roman" w:eastAsia="宋体" w:hAnsi="Times New Roman"/>
          <w:sz w:val="20"/>
          <w:szCs w:val="20"/>
        </w:rPr>
        <w:t>re than 6,100 grocery pick up and delivery locations globally. We are enhancing our ecosystem with our omni-channel capabilities, stores, services, eCommerce sites, supply chain combined with our more than 2.2 million associates to better serve our custome</w:t>
      </w:r>
      <w:r>
        <w:rPr>
          <w:rFonts w:ascii="Times New Roman" w:eastAsia="宋体" w:hAnsi="Times New Roman"/>
          <w:sz w:val="20"/>
          <w:szCs w:val="20"/>
        </w:rPr>
        <w:t>rs. Together, we believe these elements produce a flywheel effect which creates customer relationships where customers view Walmart as their primary destination.</w:t>
      </w:r>
    </w:p>
    <w:p w14:paraId="42A10B0F" w14:textId="77777777" w:rsidR="00BB68E1" w:rsidRDefault="00BB68E1">
      <w:pPr>
        <w:spacing w:line="288" w:lineRule="auto"/>
        <w:rPr>
          <w:rFonts w:ascii="Times New Roman" w:hAnsi="Times New Roman"/>
          <w:sz w:val="20"/>
          <w:szCs w:val="20"/>
        </w:rPr>
      </w:pPr>
    </w:p>
    <w:p w14:paraId="42A10B10" w14:textId="77777777" w:rsidR="00BB68E1" w:rsidRDefault="00BB68E1">
      <w:pPr>
        <w:rPr>
          <w:rFonts w:ascii="Times New Roman" w:hAnsi="Times New Roman"/>
          <w:sz w:val="20"/>
          <w:szCs w:val="20"/>
        </w:rPr>
      </w:pPr>
    </w:p>
    <w:p w14:paraId="42A10B11"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7</w:t>
      </w:r>
    </w:p>
    <w:p w14:paraId="42A10B12" w14:textId="77777777" w:rsidR="00BB68E1" w:rsidRDefault="00BB68E1">
      <w:pPr>
        <w:spacing w:line="288" w:lineRule="auto"/>
        <w:jc w:val="center"/>
        <w:rPr>
          <w:rFonts w:ascii="Times New Roman" w:hAnsi="Times New Roman"/>
          <w:sz w:val="20"/>
          <w:szCs w:val="20"/>
        </w:rPr>
      </w:pPr>
    </w:p>
    <w:p w14:paraId="42A10B13" w14:textId="77777777" w:rsidR="00BB68E1" w:rsidRDefault="005D2D5E">
      <w:r>
        <w:rPr>
          <w:rFonts w:ascii="Times New Roman" w:hAnsi="Times New Roman"/>
          <w:sz w:val="20"/>
          <w:szCs w:val="20"/>
        </w:rPr>
        <w:pict w14:anchorId="42A1427C">
          <v:rect id="_x0000_i1031" style="width:415.3pt;height:1.5pt" o:hralign="center" o:hrstd="t" o:hr="t" fillcolor="#a0a0a0" stroked="f"/>
        </w:pict>
      </w:r>
    </w:p>
    <w:p w14:paraId="42A10B14" w14:textId="77777777" w:rsidR="00BB68E1" w:rsidRDefault="00BB68E1">
      <w:pPr>
        <w:rPr>
          <w:rFonts w:ascii="Times New Roman" w:hAnsi="Times New Roman"/>
          <w:sz w:val="20"/>
          <w:szCs w:val="20"/>
        </w:rPr>
      </w:pPr>
    </w:p>
    <w:p w14:paraId="42A10B15"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Information About Our Segments</w:t>
      </w:r>
    </w:p>
    <w:p w14:paraId="42A10B1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We are engaged in global operations of retail, wholesal</w:t>
      </w:r>
      <w:r>
        <w:rPr>
          <w:rFonts w:ascii="Times New Roman" w:eastAsia="宋体" w:hAnsi="Times New Roman"/>
          <w:sz w:val="20"/>
          <w:szCs w:val="20"/>
        </w:rPr>
        <w:t>e and other units, as well as eCommerce, located throughout the U.S., Africa, Argentina, Canada, Central America, Chile, China, India, Japan, Mexico and the United Kingdom. Our operations are conducted in three reportable segments: Walmart U.S., Walmart In</w:t>
      </w:r>
      <w:r>
        <w:rPr>
          <w:rFonts w:ascii="Times New Roman" w:eastAsia="宋体" w:hAnsi="Times New Roman"/>
          <w:sz w:val="20"/>
          <w:szCs w:val="20"/>
        </w:rPr>
        <w:t>ternational and Sam's Club. We define our segments as those operations whose results the chief operating decision maker ("CODM") regularly reviews to analyze performance and allocate resources. Each of our segments contributes to the Company's operating re</w:t>
      </w:r>
      <w:r>
        <w:rPr>
          <w:rFonts w:ascii="Times New Roman" w:eastAsia="宋体" w:hAnsi="Times New Roman"/>
          <w:sz w:val="20"/>
          <w:szCs w:val="20"/>
        </w:rPr>
        <w:t>sults differently. Each, however, has generally maintained a consistent contribution rate to the Company's net sales and operating income in recent years other than minor changes to the contribution rate for the Walmart International segment due to fluctua</w:t>
      </w:r>
      <w:r>
        <w:rPr>
          <w:rFonts w:ascii="Times New Roman" w:eastAsia="宋体" w:hAnsi="Times New Roman"/>
          <w:sz w:val="20"/>
          <w:szCs w:val="20"/>
        </w:rPr>
        <w:t>tions in currency exchange rates. We sell similar individual products and services in each of our segments. It is impracticable to segregate and identify revenues for each of these individual products and services.</w:t>
      </w:r>
    </w:p>
    <w:p w14:paraId="42A10B1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measure the results of our segments us</w:t>
      </w:r>
      <w:r>
        <w:rPr>
          <w:rFonts w:ascii="Times New Roman" w:eastAsia="宋体" w:hAnsi="Times New Roman"/>
          <w:sz w:val="20"/>
          <w:szCs w:val="20"/>
        </w:rPr>
        <w:t xml:space="preserve">ing, among other measures, each segment's net sales and operating income, which includes certain corporate overhead allocations. From time to time, we revise the measurement of each segment's operating income, including any corporate overhead allocations, </w:t>
      </w:r>
      <w:r>
        <w:rPr>
          <w:rFonts w:ascii="Times New Roman" w:eastAsia="宋体" w:hAnsi="Times New Roman"/>
          <w:sz w:val="20"/>
          <w:szCs w:val="20"/>
        </w:rPr>
        <w:t>as determined by the information regularly reviewed by our CODM. When the measurement of a segment changes, previous period amounts and balances are reclassified to be comparable to the current period's presentation.</w:t>
      </w:r>
    </w:p>
    <w:p w14:paraId="42A10B18"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Walmart U.S. Segment</w:t>
      </w:r>
    </w:p>
    <w:p w14:paraId="42A10B1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Walmart U.S. is ou</w:t>
      </w:r>
      <w:r>
        <w:rPr>
          <w:rFonts w:ascii="Times New Roman" w:eastAsia="宋体" w:hAnsi="Times New Roman"/>
          <w:sz w:val="20"/>
          <w:szCs w:val="20"/>
        </w:rPr>
        <w:t>r largest segment and operates in the U.S., including in all 50 states, Washington D.C. and Puerto Rico. Walmart U.S. is a mass merchandiser of consumer products, operating under the "Walmart" and "Walmart Neighborhood Market" brands, as well as walmart.co</w:t>
      </w:r>
      <w:r>
        <w:rPr>
          <w:rFonts w:ascii="Times New Roman" w:eastAsia="宋体" w:hAnsi="Times New Roman"/>
          <w:sz w:val="20"/>
          <w:szCs w:val="20"/>
        </w:rPr>
        <w:t>m and other eCommerce brands. Walmart U.S. had net sales of $341.0 billion for fiscal 2020, representing 66% of our fiscal 2020 consolidated net sales, and had net sales of $331.7 billion and $318.5 billion for fiscal 2019 and 2018, respectively. Of our th</w:t>
      </w:r>
      <w:r>
        <w:rPr>
          <w:rFonts w:ascii="Times New Roman" w:eastAsia="宋体" w:hAnsi="Times New Roman"/>
          <w:sz w:val="20"/>
          <w:szCs w:val="20"/>
        </w:rPr>
        <w:t xml:space="preserve">ree segments, Walmart U.S. has historically had the highest gross profit as a percentage of net sales ("gross profit rate"). In addition, Walmart U.S. has historically contributed the greatest amount to the Company's net sales and operating income. </w:t>
      </w:r>
    </w:p>
    <w:p w14:paraId="42A10B1A"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Omni-c</w:t>
      </w:r>
      <w:r>
        <w:rPr>
          <w:rFonts w:ascii="Times New Roman" w:eastAsia="宋体" w:hAnsi="Times New Roman"/>
          <w:b/>
          <w:bCs/>
          <w:sz w:val="20"/>
          <w:szCs w:val="20"/>
          <w:u w:val="single"/>
        </w:rPr>
        <w:t>hannel.</w:t>
      </w:r>
      <w:r>
        <w:rPr>
          <w:rFonts w:ascii="Times New Roman" w:eastAsia="宋体" w:hAnsi="Times New Roman"/>
          <w:sz w:val="20"/>
          <w:szCs w:val="20"/>
        </w:rPr>
        <w:t xml:space="preserve"> Walmart U.S. provides an omni-channel experience to customers, integrating retail stores and eCommerce, through services such as "Same Day Pickup," "Same Day Delivery," "Delivery Unlimited," "NextDay Delivery," and "Endless Aisle." As of January 31</w:t>
      </w:r>
      <w:r>
        <w:rPr>
          <w:rFonts w:ascii="Times New Roman" w:eastAsia="宋体" w:hAnsi="Times New Roman"/>
          <w:sz w:val="20"/>
          <w:szCs w:val="20"/>
        </w:rPr>
        <w:t>, 2020, we had nearly 3,200 grocery pickup locations and over 1,600 delivery locations. We have several eCommerce websites, the largest of which is walmart.com. We define eCommerce sales as sales initiated online through our websites or through a mobile ap</w:t>
      </w:r>
      <w:r>
        <w:rPr>
          <w:rFonts w:ascii="Times New Roman" w:eastAsia="宋体" w:hAnsi="Times New Roman"/>
          <w:sz w:val="20"/>
          <w:szCs w:val="20"/>
        </w:rPr>
        <w:t>p. eCommerce sales may be fulfilled by a number of methods including our dedicated eCommerce fulfillment centers or our stores. The following table provides the approximate size of our retail stores as of January 31, 2020:</w:t>
      </w:r>
    </w:p>
    <w:tbl>
      <w:tblPr>
        <w:tblW w:w="5000" w:type="pct"/>
        <w:jc w:val="center"/>
        <w:tblCellMar>
          <w:left w:w="0" w:type="dxa"/>
          <w:right w:w="0" w:type="dxa"/>
        </w:tblCellMar>
        <w:tblLook w:val="04A0" w:firstRow="1" w:lastRow="0" w:firstColumn="1" w:lastColumn="0" w:noHBand="0" w:noVBand="1"/>
      </w:tblPr>
      <w:tblGrid>
        <w:gridCol w:w="5046"/>
        <w:gridCol w:w="130"/>
        <w:gridCol w:w="893"/>
        <w:gridCol w:w="63"/>
        <w:gridCol w:w="130"/>
        <w:gridCol w:w="894"/>
        <w:gridCol w:w="66"/>
        <w:gridCol w:w="130"/>
        <w:gridCol w:w="891"/>
        <w:gridCol w:w="63"/>
      </w:tblGrid>
      <w:tr w:rsidR="00BB68E1" w14:paraId="42A10B1C" w14:textId="77777777">
        <w:trPr>
          <w:jc w:val="center"/>
        </w:trPr>
        <w:tc>
          <w:tcPr>
            <w:tcW w:w="0" w:type="auto"/>
            <w:gridSpan w:val="10"/>
            <w:shd w:val="clear" w:color="auto" w:fill="auto"/>
            <w:vAlign w:val="center"/>
          </w:tcPr>
          <w:p w14:paraId="42A10B1B" w14:textId="77777777" w:rsidR="00BB68E1" w:rsidRDefault="00BB68E1">
            <w:pPr>
              <w:rPr>
                <w:rFonts w:ascii="Times New Roman" w:hAnsi="Times New Roman"/>
                <w:sz w:val="20"/>
                <w:szCs w:val="20"/>
              </w:rPr>
            </w:pPr>
          </w:p>
        </w:tc>
      </w:tr>
      <w:tr w:rsidR="00BB68E1" w14:paraId="42A10B27" w14:textId="77777777">
        <w:trPr>
          <w:jc w:val="center"/>
        </w:trPr>
        <w:tc>
          <w:tcPr>
            <w:tcW w:w="3050" w:type="pct"/>
            <w:shd w:val="clear" w:color="auto" w:fill="auto"/>
            <w:vAlign w:val="center"/>
          </w:tcPr>
          <w:p w14:paraId="42A10B1D" w14:textId="77777777" w:rsidR="00BB68E1" w:rsidRDefault="00BB68E1">
            <w:pPr>
              <w:rPr>
                <w:rFonts w:ascii="Times New Roman" w:hAnsi="Times New Roman"/>
                <w:sz w:val="20"/>
                <w:szCs w:val="20"/>
              </w:rPr>
            </w:pPr>
          </w:p>
        </w:tc>
        <w:tc>
          <w:tcPr>
            <w:tcW w:w="50" w:type="pct"/>
            <w:shd w:val="clear" w:color="auto" w:fill="auto"/>
            <w:vAlign w:val="center"/>
          </w:tcPr>
          <w:p w14:paraId="42A10B1E" w14:textId="77777777" w:rsidR="00BB68E1" w:rsidRDefault="00BB68E1">
            <w:pPr>
              <w:rPr>
                <w:rFonts w:ascii="Times New Roman" w:hAnsi="Times New Roman"/>
                <w:sz w:val="20"/>
                <w:szCs w:val="20"/>
              </w:rPr>
            </w:pPr>
          </w:p>
        </w:tc>
        <w:tc>
          <w:tcPr>
            <w:tcW w:w="550" w:type="pct"/>
            <w:shd w:val="clear" w:color="auto" w:fill="auto"/>
            <w:vAlign w:val="center"/>
          </w:tcPr>
          <w:p w14:paraId="42A10B1F" w14:textId="77777777" w:rsidR="00BB68E1" w:rsidRDefault="00BB68E1">
            <w:pPr>
              <w:rPr>
                <w:rFonts w:ascii="Times New Roman" w:hAnsi="Times New Roman"/>
                <w:sz w:val="20"/>
                <w:szCs w:val="20"/>
              </w:rPr>
            </w:pPr>
          </w:p>
        </w:tc>
        <w:tc>
          <w:tcPr>
            <w:tcW w:w="50" w:type="pct"/>
            <w:shd w:val="clear" w:color="auto" w:fill="auto"/>
            <w:vAlign w:val="center"/>
          </w:tcPr>
          <w:p w14:paraId="42A10B20" w14:textId="77777777" w:rsidR="00BB68E1" w:rsidRDefault="00BB68E1">
            <w:pPr>
              <w:rPr>
                <w:rFonts w:ascii="Times New Roman" w:hAnsi="Times New Roman"/>
                <w:sz w:val="20"/>
                <w:szCs w:val="20"/>
              </w:rPr>
            </w:pPr>
          </w:p>
        </w:tc>
        <w:tc>
          <w:tcPr>
            <w:tcW w:w="50" w:type="pct"/>
            <w:shd w:val="clear" w:color="auto" w:fill="auto"/>
            <w:vAlign w:val="center"/>
          </w:tcPr>
          <w:p w14:paraId="42A10B21" w14:textId="77777777" w:rsidR="00BB68E1" w:rsidRDefault="00BB68E1">
            <w:pPr>
              <w:rPr>
                <w:rFonts w:ascii="Times New Roman" w:hAnsi="Times New Roman"/>
                <w:sz w:val="20"/>
                <w:szCs w:val="20"/>
              </w:rPr>
            </w:pPr>
          </w:p>
        </w:tc>
        <w:tc>
          <w:tcPr>
            <w:tcW w:w="550" w:type="pct"/>
            <w:shd w:val="clear" w:color="auto" w:fill="auto"/>
            <w:vAlign w:val="center"/>
          </w:tcPr>
          <w:p w14:paraId="42A10B22" w14:textId="77777777" w:rsidR="00BB68E1" w:rsidRDefault="00BB68E1">
            <w:pPr>
              <w:rPr>
                <w:rFonts w:ascii="Times New Roman" w:hAnsi="Times New Roman"/>
                <w:sz w:val="20"/>
                <w:szCs w:val="20"/>
              </w:rPr>
            </w:pPr>
          </w:p>
        </w:tc>
        <w:tc>
          <w:tcPr>
            <w:tcW w:w="50" w:type="pct"/>
            <w:shd w:val="clear" w:color="auto" w:fill="auto"/>
            <w:vAlign w:val="center"/>
          </w:tcPr>
          <w:p w14:paraId="42A10B23" w14:textId="77777777" w:rsidR="00BB68E1" w:rsidRDefault="00BB68E1">
            <w:pPr>
              <w:rPr>
                <w:rFonts w:ascii="Times New Roman" w:hAnsi="Times New Roman"/>
                <w:sz w:val="20"/>
                <w:szCs w:val="20"/>
              </w:rPr>
            </w:pPr>
          </w:p>
        </w:tc>
        <w:tc>
          <w:tcPr>
            <w:tcW w:w="50" w:type="pct"/>
            <w:shd w:val="clear" w:color="auto" w:fill="auto"/>
            <w:vAlign w:val="center"/>
          </w:tcPr>
          <w:p w14:paraId="42A10B24" w14:textId="77777777" w:rsidR="00BB68E1" w:rsidRDefault="00BB68E1">
            <w:pPr>
              <w:rPr>
                <w:rFonts w:ascii="Times New Roman" w:hAnsi="Times New Roman"/>
                <w:sz w:val="20"/>
                <w:szCs w:val="20"/>
              </w:rPr>
            </w:pPr>
          </w:p>
        </w:tc>
        <w:tc>
          <w:tcPr>
            <w:tcW w:w="550" w:type="pct"/>
            <w:shd w:val="clear" w:color="auto" w:fill="auto"/>
            <w:vAlign w:val="center"/>
          </w:tcPr>
          <w:p w14:paraId="42A10B25" w14:textId="77777777" w:rsidR="00BB68E1" w:rsidRDefault="00BB68E1">
            <w:pPr>
              <w:rPr>
                <w:rFonts w:ascii="Times New Roman" w:hAnsi="Times New Roman"/>
                <w:sz w:val="20"/>
                <w:szCs w:val="20"/>
              </w:rPr>
            </w:pPr>
          </w:p>
        </w:tc>
        <w:tc>
          <w:tcPr>
            <w:tcW w:w="50" w:type="pct"/>
            <w:shd w:val="clear" w:color="auto" w:fill="auto"/>
            <w:vAlign w:val="center"/>
          </w:tcPr>
          <w:p w14:paraId="42A10B26" w14:textId="77777777" w:rsidR="00BB68E1" w:rsidRDefault="00BB68E1">
            <w:pPr>
              <w:rPr>
                <w:rFonts w:ascii="Times New Roman" w:hAnsi="Times New Roman"/>
                <w:sz w:val="20"/>
                <w:szCs w:val="20"/>
              </w:rPr>
            </w:pPr>
          </w:p>
        </w:tc>
      </w:tr>
      <w:tr w:rsidR="00BB68E1" w14:paraId="42A10B2F"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42A10B2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B2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0B2A"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 xml:space="preserve">Minimum </w:t>
            </w:r>
            <w:r>
              <w:rPr>
                <w:rFonts w:ascii="Times New Roman" w:eastAsia="宋体" w:hAnsi="Times New Roman"/>
                <w:b/>
                <w:bCs/>
                <w:sz w:val="16"/>
                <w:szCs w:val="16"/>
              </w:rPr>
              <w:t>Square Feet</w:t>
            </w:r>
          </w:p>
        </w:tc>
        <w:tc>
          <w:tcPr>
            <w:tcW w:w="0" w:type="auto"/>
            <w:shd w:val="clear" w:color="auto" w:fill="auto"/>
            <w:tcMar>
              <w:top w:w="40" w:type="dxa"/>
              <w:left w:w="40" w:type="dxa"/>
              <w:bottom w:w="40" w:type="dxa"/>
              <w:right w:w="40" w:type="dxa"/>
            </w:tcMar>
            <w:vAlign w:val="bottom"/>
          </w:tcPr>
          <w:p w14:paraId="42A10B2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0B2C"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Maximum Square Feet</w:t>
            </w:r>
          </w:p>
        </w:tc>
        <w:tc>
          <w:tcPr>
            <w:tcW w:w="0" w:type="auto"/>
            <w:shd w:val="clear" w:color="auto" w:fill="auto"/>
            <w:tcMar>
              <w:top w:w="40" w:type="dxa"/>
              <w:left w:w="40" w:type="dxa"/>
              <w:bottom w:w="40" w:type="dxa"/>
              <w:right w:w="40" w:type="dxa"/>
            </w:tcMar>
            <w:vAlign w:val="bottom"/>
          </w:tcPr>
          <w:p w14:paraId="42A10B2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0B2E"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Average Square Feet</w:t>
            </w:r>
          </w:p>
        </w:tc>
      </w:tr>
      <w:tr w:rsidR="00BB68E1" w14:paraId="42A10B3A" w14:textId="77777777">
        <w:trPr>
          <w:jc w:val="center"/>
        </w:trPr>
        <w:tc>
          <w:tcPr>
            <w:tcW w:w="0" w:type="auto"/>
            <w:shd w:val="clear" w:color="auto" w:fill="CCEEFF"/>
            <w:tcMar>
              <w:top w:w="40" w:type="dxa"/>
              <w:left w:w="40" w:type="dxa"/>
              <w:bottom w:w="40" w:type="dxa"/>
              <w:right w:w="40" w:type="dxa"/>
            </w:tcMar>
            <w:vAlign w:val="center"/>
          </w:tcPr>
          <w:p w14:paraId="42A10B3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Supercenters (general merchandise and grocery)</w:t>
            </w:r>
          </w:p>
        </w:tc>
        <w:tc>
          <w:tcPr>
            <w:tcW w:w="0" w:type="auto"/>
            <w:shd w:val="clear" w:color="auto" w:fill="CCEEFF"/>
            <w:tcMar>
              <w:top w:w="40" w:type="dxa"/>
              <w:left w:w="40" w:type="dxa"/>
              <w:bottom w:w="40" w:type="dxa"/>
              <w:right w:w="40" w:type="dxa"/>
            </w:tcMar>
            <w:vAlign w:val="bottom"/>
          </w:tcPr>
          <w:p w14:paraId="42A10B3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B3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69,000</w:t>
            </w:r>
          </w:p>
        </w:tc>
        <w:tc>
          <w:tcPr>
            <w:tcW w:w="0" w:type="auto"/>
            <w:shd w:val="clear" w:color="auto" w:fill="CCEEFF"/>
            <w:vAlign w:val="bottom"/>
          </w:tcPr>
          <w:p w14:paraId="42A10B3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B3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B3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260,000</w:t>
            </w:r>
          </w:p>
        </w:tc>
        <w:tc>
          <w:tcPr>
            <w:tcW w:w="0" w:type="auto"/>
            <w:shd w:val="clear" w:color="auto" w:fill="CCEEFF"/>
            <w:vAlign w:val="bottom"/>
          </w:tcPr>
          <w:p w14:paraId="42A10B3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B3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B3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178,000</w:t>
            </w:r>
          </w:p>
        </w:tc>
        <w:tc>
          <w:tcPr>
            <w:tcW w:w="0" w:type="auto"/>
            <w:shd w:val="clear" w:color="auto" w:fill="CCEEFF"/>
            <w:vAlign w:val="bottom"/>
          </w:tcPr>
          <w:p w14:paraId="42A10B39" w14:textId="77777777" w:rsidR="00BB68E1" w:rsidRDefault="00BB68E1">
            <w:pPr>
              <w:textAlignment w:val="bottom"/>
              <w:rPr>
                <w:rFonts w:ascii="Times New Roman" w:hAnsi="Times New Roman"/>
                <w:sz w:val="20"/>
                <w:szCs w:val="20"/>
              </w:rPr>
            </w:pPr>
          </w:p>
        </w:tc>
      </w:tr>
      <w:tr w:rsidR="00BB68E1" w14:paraId="42A10B45" w14:textId="77777777">
        <w:trPr>
          <w:jc w:val="center"/>
        </w:trPr>
        <w:tc>
          <w:tcPr>
            <w:tcW w:w="0" w:type="auto"/>
            <w:shd w:val="clear" w:color="auto" w:fill="auto"/>
            <w:tcMar>
              <w:top w:w="40" w:type="dxa"/>
              <w:left w:w="40" w:type="dxa"/>
              <w:bottom w:w="40" w:type="dxa"/>
              <w:right w:w="40" w:type="dxa"/>
            </w:tcMar>
            <w:vAlign w:val="center"/>
          </w:tcPr>
          <w:p w14:paraId="42A10B3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Discount stores (general merchandise and limited grocery)</w:t>
            </w:r>
          </w:p>
        </w:tc>
        <w:tc>
          <w:tcPr>
            <w:tcW w:w="0" w:type="auto"/>
            <w:shd w:val="clear" w:color="auto" w:fill="auto"/>
            <w:tcMar>
              <w:top w:w="40" w:type="dxa"/>
              <w:left w:w="40" w:type="dxa"/>
              <w:bottom w:w="40" w:type="dxa"/>
              <w:right w:w="40" w:type="dxa"/>
            </w:tcMar>
            <w:vAlign w:val="bottom"/>
          </w:tcPr>
          <w:p w14:paraId="42A10B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B3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30,000</w:t>
            </w:r>
          </w:p>
        </w:tc>
        <w:tc>
          <w:tcPr>
            <w:tcW w:w="0" w:type="auto"/>
            <w:shd w:val="clear" w:color="auto" w:fill="auto"/>
            <w:vAlign w:val="bottom"/>
          </w:tcPr>
          <w:p w14:paraId="42A10B3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B3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B4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206,000</w:t>
            </w:r>
          </w:p>
        </w:tc>
        <w:tc>
          <w:tcPr>
            <w:tcW w:w="0" w:type="auto"/>
            <w:shd w:val="clear" w:color="auto" w:fill="auto"/>
            <w:vAlign w:val="bottom"/>
          </w:tcPr>
          <w:p w14:paraId="42A10B4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B4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B4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105,000</w:t>
            </w:r>
          </w:p>
        </w:tc>
        <w:tc>
          <w:tcPr>
            <w:tcW w:w="0" w:type="auto"/>
            <w:shd w:val="clear" w:color="auto" w:fill="auto"/>
            <w:vAlign w:val="bottom"/>
          </w:tcPr>
          <w:p w14:paraId="42A10B44" w14:textId="77777777" w:rsidR="00BB68E1" w:rsidRDefault="00BB68E1">
            <w:pPr>
              <w:textAlignment w:val="bottom"/>
              <w:rPr>
                <w:rFonts w:ascii="Times New Roman" w:hAnsi="Times New Roman"/>
                <w:sz w:val="20"/>
                <w:szCs w:val="20"/>
              </w:rPr>
            </w:pPr>
          </w:p>
        </w:tc>
      </w:tr>
      <w:tr w:rsidR="00BB68E1" w14:paraId="42A10B50" w14:textId="77777777">
        <w:trPr>
          <w:jc w:val="center"/>
        </w:trPr>
        <w:tc>
          <w:tcPr>
            <w:tcW w:w="0" w:type="auto"/>
            <w:shd w:val="clear" w:color="auto" w:fill="CCEEFF"/>
            <w:tcMar>
              <w:top w:w="40" w:type="dxa"/>
              <w:left w:w="40" w:type="dxa"/>
              <w:bottom w:w="40" w:type="dxa"/>
              <w:right w:w="40" w:type="dxa"/>
            </w:tcMar>
            <w:vAlign w:val="center"/>
          </w:tcPr>
          <w:p w14:paraId="42A10B4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Neighborhood markets</w:t>
            </w:r>
            <w:r>
              <w:rPr>
                <w:rFonts w:ascii="Times New Roman" w:eastAsia="宋体" w:hAnsi="Times New Roman"/>
                <w:sz w:val="10"/>
                <w:szCs w:val="10"/>
              </w:rPr>
              <w:t>(1)</w:t>
            </w:r>
            <w:r>
              <w:rPr>
                <w:rFonts w:ascii="Times New Roman" w:eastAsia="宋体" w:hAnsi="Times New Roman"/>
                <w:sz w:val="16"/>
                <w:szCs w:val="16"/>
              </w:rPr>
              <w:t> (grocery)</w:t>
            </w:r>
          </w:p>
        </w:tc>
        <w:tc>
          <w:tcPr>
            <w:tcW w:w="0" w:type="auto"/>
            <w:shd w:val="clear" w:color="auto" w:fill="CCEEFF"/>
            <w:tcMar>
              <w:top w:w="40" w:type="dxa"/>
              <w:left w:w="40" w:type="dxa"/>
              <w:bottom w:w="40" w:type="dxa"/>
              <w:right w:w="40" w:type="dxa"/>
            </w:tcMar>
            <w:vAlign w:val="bottom"/>
          </w:tcPr>
          <w:p w14:paraId="42A10B4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B4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28,000</w:t>
            </w:r>
          </w:p>
        </w:tc>
        <w:tc>
          <w:tcPr>
            <w:tcW w:w="0" w:type="auto"/>
            <w:shd w:val="clear" w:color="auto" w:fill="CCEEFF"/>
            <w:vAlign w:val="bottom"/>
          </w:tcPr>
          <w:p w14:paraId="42A10B4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B4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B4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65,000</w:t>
            </w:r>
          </w:p>
        </w:tc>
        <w:tc>
          <w:tcPr>
            <w:tcW w:w="0" w:type="auto"/>
            <w:shd w:val="clear" w:color="auto" w:fill="CCEEFF"/>
            <w:vAlign w:val="bottom"/>
          </w:tcPr>
          <w:p w14:paraId="42A10B4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B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B4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42,000</w:t>
            </w:r>
          </w:p>
        </w:tc>
        <w:tc>
          <w:tcPr>
            <w:tcW w:w="0" w:type="auto"/>
            <w:shd w:val="clear" w:color="auto" w:fill="CCEEFF"/>
            <w:vAlign w:val="bottom"/>
          </w:tcPr>
          <w:p w14:paraId="42A10B4F" w14:textId="77777777" w:rsidR="00BB68E1" w:rsidRDefault="00BB68E1">
            <w:pPr>
              <w:textAlignment w:val="bottom"/>
              <w:rPr>
                <w:rFonts w:ascii="Times New Roman" w:hAnsi="Times New Roman"/>
                <w:sz w:val="20"/>
                <w:szCs w:val="20"/>
              </w:rPr>
            </w:pPr>
          </w:p>
        </w:tc>
      </w:tr>
    </w:tbl>
    <w:p w14:paraId="42A10B51"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1911"/>
      </w:tblGrid>
      <w:tr w:rsidR="00BB68E1" w14:paraId="42A10B54" w14:textId="77777777">
        <w:trPr>
          <w:tblCellSpacing w:w="0" w:type="dxa"/>
        </w:trPr>
        <w:tc>
          <w:tcPr>
            <w:tcW w:w="480" w:type="dxa"/>
            <w:shd w:val="clear" w:color="auto" w:fill="auto"/>
            <w:vAlign w:val="center"/>
          </w:tcPr>
          <w:p w14:paraId="42A10B52" w14:textId="77777777" w:rsidR="00BB68E1" w:rsidRDefault="00BB68E1">
            <w:pPr>
              <w:rPr>
                <w:rFonts w:ascii="Times New Roman" w:hAnsi="Times New Roman"/>
                <w:sz w:val="20"/>
                <w:szCs w:val="20"/>
              </w:rPr>
            </w:pPr>
          </w:p>
        </w:tc>
        <w:tc>
          <w:tcPr>
            <w:tcW w:w="0" w:type="auto"/>
            <w:shd w:val="clear" w:color="auto" w:fill="auto"/>
            <w:vAlign w:val="center"/>
          </w:tcPr>
          <w:p w14:paraId="42A10B53" w14:textId="77777777" w:rsidR="00BB68E1" w:rsidRDefault="00BB68E1">
            <w:pPr>
              <w:rPr>
                <w:rFonts w:ascii="Times New Roman" w:hAnsi="Times New Roman"/>
                <w:sz w:val="20"/>
                <w:szCs w:val="20"/>
              </w:rPr>
            </w:pPr>
          </w:p>
        </w:tc>
      </w:tr>
      <w:tr w:rsidR="00BB68E1" w14:paraId="42A10B57" w14:textId="77777777">
        <w:trPr>
          <w:tblCellSpacing w:w="0" w:type="dxa"/>
        </w:trPr>
        <w:tc>
          <w:tcPr>
            <w:tcW w:w="0" w:type="auto"/>
            <w:shd w:val="clear" w:color="auto" w:fill="auto"/>
          </w:tcPr>
          <w:p w14:paraId="42A10B55"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 xml:space="preserve">(1) </w:t>
            </w:r>
          </w:p>
        </w:tc>
        <w:tc>
          <w:tcPr>
            <w:tcW w:w="0" w:type="auto"/>
            <w:shd w:val="clear" w:color="auto" w:fill="auto"/>
          </w:tcPr>
          <w:p w14:paraId="42A10B56"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Excludes other small formats.</w:t>
            </w:r>
          </w:p>
        </w:tc>
      </w:tr>
    </w:tbl>
    <w:p w14:paraId="42A10B58"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Merchandise.</w:t>
      </w:r>
      <w:r>
        <w:rPr>
          <w:rFonts w:ascii="Times New Roman" w:eastAsia="宋体" w:hAnsi="Times New Roman"/>
          <w:sz w:val="20"/>
          <w:szCs w:val="20"/>
        </w:rPr>
        <w:t xml:space="preserve"> Walmart U.S. does business in three strategic merchandise units, listed below:</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B5B" w14:textId="77777777">
        <w:trPr>
          <w:tblCellSpacing w:w="0" w:type="dxa"/>
        </w:trPr>
        <w:tc>
          <w:tcPr>
            <w:tcW w:w="960" w:type="dxa"/>
            <w:shd w:val="clear" w:color="auto" w:fill="auto"/>
            <w:vAlign w:val="center"/>
          </w:tcPr>
          <w:p w14:paraId="42A10B59" w14:textId="77777777" w:rsidR="00BB68E1" w:rsidRDefault="00BB68E1">
            <w:pPr>
              <w:rPr>
                <w:rFonts w:ascii="Times New Roman" w:hAnsi="Times New Roman"/>
                <w:sz w:val="20"/>
                <w:szCs w:val="20"/>
              </w:rPr>
            </w:pPr>
          </w:p>
        </w:tc>
        <w:tc>
          <w:tcPr>
            <w:tcW w:w="0" w:type="auto"/>
            <w:shd w:val="clear" w:color="auto" w:fill="auto"/>
            <w:vAlign w:val="center"/>
          </w:tcPr>
          <w:p w14:paraId="42A10B5A" w14:textId="77777777" w:rsidR="00BB68E1" w:rsidRDefault="00BB68E1">
            <w:pPr>
              <w:rPr>
                <w:rFonts w:ascii="Times New Roman" w:hAnsi="Times New Roman"/>
                <w:sz w:val="20"/>
                <w:szCs w:val="20"/>
              </w:rPr>
            </w:pPr>
          </w:p>
        </w:tc>
      </w:tr>
      <w:tr w:rsidR="00BB68E1" w14:paraId="42A10B5E" w14:textId="77777777">
        <w:trPr>
          <w:tblCellSpacing w:w="0" w:type="dxa"/>
        </w:trPr>
        <w:tc>
          <w:tcPr>
            <w:tcW w:w="0" w:type="auto"/>
            <w:shd w:val="clear" w:color="auto" w:fill="auto"/>
          </w:tcPr>
          <w:p w14:paraId="42A10B5C"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B5D"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Grocery consists of a full line of grocery items, including meat, </w:t>
            </w:r>
            <w:r>
              <w:rPr>
                <w:rFonts w:ascii="Times New Roman" w:eastAsia="宋体" w:hAnsi="Times New Roman"/>
                <w:sz w:val="20"/>
                <w:szCs w:val="20"/>
              </w:rPr>
              <w:t>produce, natural &amp; organics, deli &amp; bakery, dairy, frozen foods, alcoholic and nonalcoholic beverages, floral and dry grocery, as well as consumables such as health and beauty aids, baby products, household chemicals, paper goods and pet supplies;</w:t>
            </w:r>
          </w:p>
        </w:tc>
      </w:tr>
    </w:tbl>
    <w:p w14:paraId="42A10B5F"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B62" w14:textId="77777777">
        <w:trPr>
          <w:tblCellSpacing w:w="0" w:type="dxa"/>
        </w:trPr>
        <w:tc>
          <w:tcPr>
            <w:tcW w:w="960" w:type="dxa"/>
            <w:shd w:val="clear" w:color="auto" w:fill="auto"/>
            <w:vAlign w:val="center"/>
          </w:tcPr>
          <w:p w14:paraId="42A10B60" w14:textId="77777777" w:rsidR="00BB68E1" w:rsidRDefault="00BB68E1">
            <w:pPr>
              <w:rPr>
                <w:rFonts w:ascii="Times New Roman" w:hAnsi="Times New Roman"/>
                <w:sz w:val="20"/>
                <w:szCs w:val="20"/>
              </w:rPr>
            </w:pPr>
          </w:p>
        </w:tc>
        <w:tc>
          <w:tcPr>
            <w:tcW w:w="0" w:type="auto"/>
            <w:shd w:val="clear" w:color="auto" w:fill="auto"/>
            <w:vAlign w:val="center"/>
          </w:tcPr>
          <w:p w14:paraId="42A10B61" w14:textId="77777777" w:rsidR="00BB68E1" w:rsidRDefault="00BB68E1">
            <w:pPr>
              <w:rPr>
                <w:rFonts w:ascii="Times New Roman" w:hAnsi="Times New Roman"/>
                <w:sz w:val="20"/>
                <w:szCs w:val="20"/>
              </w:rPr>
            </w:pPr>
          </w:p>
        </w:tc>
      </w:tr>
      <w:tr w:rsidR="00BB68E1" w14:paraId="42A10B65" w14:textId="77777777">
        <w:trPr>
          <w:tblCellSpacing w:w="0" w:type="dxa"/>
        </w:trPr>
        <w:tc>
          <w:tcPr>
            <w:tcW w:w="0" w:type="auto"/>
            <w:shd w:val="clear" w:color="auto" w:fill="auto"/>
          </w:tcPr>
          <w:p w14:paraId="42A10B63"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B64"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H</w:t>
            </w:r>
            <w:r>
              <w:rPr>
                <w:rFonts w:ascii="Times New Roman" w:eastAsia="宋体" w:hAnsi="Times New Roman"/>
                <w:sz w:val="20"/>
                <w:szCs w:val="20"/>
              </w:rPr>
              <w:t xml:space="preserve">ealth and wellness includes pharmacy, optical services, clinical services, and </w:t>
            </w:r>
            <w:r>
              <w:rPr>
                <w:rFonts w:ascii="Times New Roman" w:eastAsia="宋体" w:hAnsi="Times New Roman"/>
                <w:sz w:val="20"/>
                <w:szCs w:val="20"/>
              </w:rPr>
              <w:lastRenderedPageBreak/>
              <w:t>over-the-counter drugs and other medical products;</w:t>
            </w:r>
          </w:p>
        </w:tc>
      </w:tr>
    </w:tbl>
    <w:p w14:paraId="42A10B66"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466"/>
      </w:tblGrid>
      <w:tr w:rsidR="00BB68E1" w14:paraId="42A10B69" w14:textId="77777777">
        <w:trPr>
          <w:tblCellSpacing w:w="0" w:type="dxa"/>
        </w:trPr>
        <w:tc>
          <w:tcPr>
            <w:tcW w:w="960" w:type="dxa"/>
            <w:shd w:val="clear" w:color="auto" w:fill="auto"/>
            <w:vAlign w:val="center"/>
          </w:tcPr>
          <w:p w14:paraId="42A10B67" w14:textId="77777777" w:rsidR="00BB68E1" w:rsidRDefault="00BB68E1">
            <w:pPr>
              <w:rPr>
                <w:rFonts w:ascii="Times New Roman" w:hAnsi="Times New Roman"/>
                <w:sz w:val="20"/>
                <w:szCs w:val="20"/>
              </w:rPr>
            </w:pPr>
          </w:p>
        </w:tc>
        <w:tc>
          <w:tcPr>
            <w:tcW w:w="0" w:type="auto"/>
            <w:shd w:val="clear" w:color="auto" w:fill="auto"/>
            <w:vAlign w:val="center"/>
          </w:tcPr>
          <w:p w14:paraId="42A10B68" w14:textId="77777777" w:rsidR="00BB68E1" w:rsidRDefault="00BB68E1">
            <w:pPr>
              <w:rPr>
                <w:rFonts w:ascii="Times New Roman" w:hAnsi="Times New Roman"/>
                <w:sz w:val="20"/>
                <w:szCs w:val="20"/>
              </w:rPr>
            </w:pPr>
          </w:p>
        </w:tc>
      </w:tr>
      <w:tr w:rsidR="00BB68E1" w14:paraId="42A10B6C" w14:textId="77777777">
        <w:trPr>
          <w:tblCellSpacing w:w="0" w:type="dxa"/>
        </w:trPr>
        <w:tc>
          <w:tcPr>
            <w:tcW w:w="0" w:type="auto"/>
            <w:shd w:val="clear" w:color="auto" w:fill="auto"/>
          </w:tcPr>
          <w:p w14:paraId="42A10B6A"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B6B"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General merchandise includes:</w:t>
            </w:r>
          </w:p>
        </w:tc>
      </w:tr>
    </w:tbl>
    <w:p w14:paraId="42A10B6D"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BB68E1" w14:paraId="42A10B70" w14:textId="77777777">
        <w:trPr>
          <w:tblCellSpacing w:w="0" w:type="dxa"/>
        </w:trPr>
        <w:tc>
          <w:tcPr>
            <w:tcW w:w="1920" w:type="dxa"/>
            <w:shd w:val="clear" w:color="auto" w:fill="auto"/>
            <w:vAlign w:val="center"/>
          </w:tcPr>
          <w:p w14:paraId="42A10B6E" w14:textId="77777777" w:rsidR="00BB68E1" w:rsidRDefault="00BB68E1">
            <w:pPr>
              <w:rPr>
                <w:rFonts w:ascii="Times New Roman" w:hAnsi="Times New Roman"/>
                <w:sz w:val="20"/>
                <w:szCs w:val="20"/>
              </w:rPr>
            </w:pPr>
          </w:p>
        </w:tc>
        <w:tc>
          <w:tcPr>
            <w:tcW w:w="0" w:type="auto"/>
            <w:shd w:val="clear" w:color="auto" w:fill="auto"/>
            <w:vAlign w:val="center"/>
          </w:tcPr>
          <w:p w14:paraId="42A10B6F" w14:textId="77777777" w:rsidR="00BB68E1" w:rsidRDefault="00BB68E1">
            <w:pPr>
              <w:rPr>
                <w:rFonts w:ascii="Times New Roman" w:hAnsi="Times New Roman"/>
                <w:sz w:val="20"/>
                <w:szCs w:val="20"/>
              </w:rPr>
            </w:pPr>
          </w:p>
        </w:tc>
      </w:tr>
      <w:tr w:rsidR="00BB68E1" w14:paraId="42A10B73" w14:textId="77777777">
        <w:trPr>
          <w:tblCellSpacing w:w="0" w:type="dxa"/>
        </w:trPr>
        <w:tc>
          <w:tcPr>
            <w:tcW w:w="0" w:type="auto"/>
            <w:shd w:val="clear" w:color="auto" w:fill="auto"/>
          </w:tcPr>
          <w:p w14:paraId="42A10B71"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B72"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Entertainment (e.g., electronics, cameras and supplies, photo processing </w:t>
            </w:r>
            <w:r>
              <w:rPr>
                <w:rFonts w:ascii="Times New Roman" w:eastAsia="宋体" w:hAnsi="Times New Roman"/>
                <w:sz w:val="20"/>
                <w:szCs w:val="20"/>
              </w:rPr>
              <w:t>services, wireless, movies, music, video games and books);</w:t>
            </w:r>
          </w:p>
        </w:tc>
      </w:tr>
    </w:tbl>
    <w:p w14:paraId="42A10B74"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BB68E1" w14:paraId="42A10B77" w14:textId="77777777">
        <w:trPr>
          <w:tblCellSpacing w:w="0" w:type="dxa"/>
        </w:trPr>
        <w:tc>
          <w:tcPr>
            <w:tcW w:w="1920" w:type="dxa"/>
            <w:shd w:val="clear" w:color="auto" w:fill="auto"/>
            <w:vAlign w:val="center"/>
          </w:tcPr>
          <w:p w14:paraId="42A10B75" w14:textId="77777777" w:rsidR="00BB68E1" w:rsidRDefault="00BB68E1">
            <w:pPr>
              <w:rPr>
                <w:rFonts w:ascii="Times New Roman" w:hAnsi="Times New Roman"/>
                <w:sz w:val="20"/>
                <w:szCs w:val="20"/>
              </w:rPr>
            </w:pPr>
          </w:p>
        </w:tc>
        <w:tc>
          <w:tcPr>
            <w:tcW w:w="0" w:type="auto"/>
            <w:shd w:val="clear" w:color="auto" w:fill="auto"/>
            <w:vAlign w:val="center"/>
          </w:tcPr>
          <w:p w14:paraId="42A10B76" w14:textId="77777777" w:rsidR="00BB68E1" w:rsidRDefault="00BB68E1">
            <w:pPr>
              <w:rPr>
                <w:rFonts w:ascii="Times New Roman" w:hAnsi="Times New Roman"/>
                <w:sz w:val="20"/>
                <w:szCs w:val="20"/>
              </w:rPr>
            </w:pPr>
          </w:p>
        </w:tc>
      </w:tr>
      <w:tr w:rsidR="00BB68E1" w14:paraId="42A10B7A" w14:textId="77777777">
        <w:trPr>
          <w:tblCellSpacing w:w="0" w:type="dxa"/>
        </w:trPr>
        <w:tc>
          <w:tcPr>
            <w:tcW w:w="0" w:type="auto"/>
            <w:shd w:val="clear" w:color="auto" w:fill="auto"/>
          </w:tcPr>
          <w:p w14:paraId="42A10B78"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B79"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Hardlines (e.g., stationery, automotive, hardware and paint, sporting goods, outdoor living and horticulture);</w:t>
            </w:r>
          </w:p>
        </w:tc>
      </w:tr>
    </w:tbl>
    <w:p w14:paraId="42A10B7B"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BB68E1" w14:paraId="42A10B7E" w14:textId="77777777">
        <w:trPr>
          <w:tblCellSpacing w:w="0" w:type="dxa"/>
        </w:trPr>
        <w:tc>
          <w:tcPr>
            <w:tcW w:w="1920" w:type="dxa"/>
            <w:shd w:val="clear" w:color="auto" w:fill="auto"/>
            <w:vAlign w:val="center"/>
          </w:tcPr>
          <w:p w14:paraId="42A10B7C" w14:textId="77777777" w:rsidR="00BB68E1" w:rsidRDefault="00BB68E1">
            <w:pPr>
              <w:rPr>
                <w:rFonts w:ascii="Times New Roman" w:hAnsi="Times New Roman"/>
                <w:sz w:val="20"/>
                <w:szCs w:val="20"/>
              </w:rPr>
            </w:pPr>
          </w:p>
        </w:tc>
        <w:tc>
          <w:tcPr>
            <w:tcW w:w="0" w:type="auto"/>
            <w:shd w:val="clear" w:color="auto" w:fill="auto"/>
            <w:vAlign w:val="center"/>
          </w:tcPr>
          <w:p w14:paraId="42A10B7D" w14:textId="77777777" w:rsidR="00BB68E1" w:rsidRDefault="00BB68E1">
            <w:pPr>
              <w:rPr>
                <w:rFonts w:ascii="Times New Roman" w:hAnsi="Times New Roman"/>
                <w:sz w:val="20"/>
                <w:szCs w:val="20"/>
              </w:rPr>
            </w:pPr>
          </w:p>
        </w:tc>
      </w:tr>
      <w:tr w:rsidR="00BB68E1" w14:paraId="42A10B81" w14:textId="77777777">
        <w:trPr>
          <w:tblCellSpacing w:w="0" w:type="dxa"/>
        </w:trPr>
        <w:tc>
          <w:tcPr>
            <w:tcW w:w="0" w:type="auto"/>
            <w:shd w:val="clear" w:color="auto" w:fill="auto"/>
          </w:tcPr>
          <w:p w14:paraId="42A10B7F"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B80"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Apparel (e.g., apparel for women, girls, men, boys and infants, as </w:t>
            </w:r>
            <w:r>
              <w:rPr>
                <w:rFonts w:ascii="Times New Roman" w:eastAsia="宋体" w:hAnsi="Times New Roman"/>
                <w:sz w:val="20"/>
                <w:szCs w:val="20"/>
              </w:rPr>
              <w:t>well as shoes, jewelry and accessories); and</w:t>
            </w:r>
          </w:p>
        </w:tc>
      </w:tr>
    </w:tbl>
    <w:p w14:paraId="42A10B82" w14:textId="77777777" w:rsidR="00BB68E1" w:rsidRDefault="00BB68E1">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1920"/>
        <w:gridCol w:w="6386"/>
      </w:tblGrid>
      <w:tr w:rsidR="00BB68E1" w14:paraId="42A10B85" w14:textId="77777777">
        <w:trPr>
          <w:tblCellSpacing w:w="0" w:type="dxa"/>
        </w:trPr>
        <w:tc>
          <w:tcPr>
            <w:tcW w:w="1920" w:type="dxa"/>
            <w:shd w:val="clear" w:color="auto" w:fill="auto"/>
            <w:vAlign w:val="center"/>
          </w:tcPr>
          <w:p w14:paraId="42A10B83" w14:textId="77777777" w:rsidR="00BB68E1" w:rsidRDefault="00BB68E1">
            <w:pPr>
              <w:rPr>
                <w:rFonts w:ascii="Times New Roman" w:hAnsi="Times New Roman"/>
                <w:sz w:val="20"/>
                <w:szCs w:val="20"/>
              </w:rPr>
            </w:pPr>
          </w:p>
        </w:tc>
        <w:tc>
          <w:tcPr>
            <w:tcW w:w="0" w:type="auto"/>
            <w:shd w:val="clear" w:color="auto" w:fill="auto"/>
            <w:vAlign w:val="center"/>
          </w:tcPr>
          <w:p w14:paraId="42A10B84" w14:textId="77777777" w:rsidR="00BB68E1" w:rsidRDefault="00BB68E1">
            <w:pPr>
              <w:rPr>
                <w:rFonts w:ascii="Times New Roman" w:hAnsi="Times New Roman"/>
                <w:sz w:val="20"/>
                <w:szCs w:val="20"/>
              </w:rPr>
            </w:pPr>
          </w:p>
        </w:tc>
      </w:tr>
      <w:tr w:rsidR="00BB68E1" w14:paraId="42A10B88" w14:textId="77777777">
        <w:trPr>
          <w:tblCellSpacing w:w="0" w:type="dxa"/>
        </w:trPr>
        <w:tc>
          <w:tcPr>
            <w:tcW w:w="0" w:type="auto"/>
            <w:shd w:val="clear" w:color="auto" w:fill="auto"/>
          </w:tcPr>
          <w:p w14:paraId="42A10B86"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B87"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Home/Seasonal (e.g., home furnishings, housewares and small appliances, bedding, home decor, toys, fabrics and crafts and seasonal merchandise).</w:t>
            </w:r>
          </w:p>
        </w:tc>
      </w:tr>
    </w:tbl>
    <w:p w14:paraId="42A10B8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Walmart U.S. recently launched Walmart Media Group, an </w:t>
      </w:r>
      <w:r>
        <w:rPr>
          <w:rFonts w:ascii="Times New Roman" w:eastAsia="宋体" w:hAnsi="Times New Roman"/>
          <w:sz w:val="20"/>
          <w:szCs w:val="20"/>
        </w:rPr>
        <w:t>in-house advertising offering, to work with brands to influence shoppers. Walmart U.S. also offers fuel and financial services and related products, including money orders, prepaid cards, money (wire) transfers, check cashing and bill payment. Combined, th</w:t>
      </w:r>
      <w:r>
        <w:rPr>
          <w:rFonts w:ascii="Times New Roman" w:eastAsia="宋体" w:hAnsi="Times New Roman"/>
          <w:sz w:val="20"/>
          <w:szCs w:val="20"/>
        </w:rPr>
        <w:t>ese offerings total less than 1% of annual net sales.</w:t>
      </w:r>
    </w:p>
    <w:p w14:paraId="42A10B8A" w14:textId="77777777" w:rsidR="00BB68E1" w:rsidRDefault="00BB68E1">
      <w:pPr>
        <w:rPr>
          <w:rFonts w:ascii="Times New Roman" w:hAnsi="Times New Roman"/>
          <w:sz w:val="20"/>
          <w:szCs w:val="20"/>
        </w:rPr>
      </w:pPr>
    </w:p>
    <w:p w14:paraId="42A10B8B"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8</w:t>
      </w:r>
    </w:p>
    <w:p w14:paraId="42A10B8C" w14:textId="77777777" w:rsidR="00BB68E1" w:rsidRDefault="00BB68E1">
      <w:pPr>
        <w:spacing w:line="288" w:lineRule="auto"/>
        <w:jc w:val="center"/>
        <w:rPr>
          <w:rFonts w:ascii="Times New Roman" w:hAnsi="Times New Roman"/>
          <w:sz w:val="20"/>
          <w:szCs w:val="20"/>
        </w:rPr>
      </w:pPr>
    </w:p>
    <w:p w14:paraId="42A10B8D" w14:textId="77777777" w:rsidR="00BB68E1" w:rsidRDefault="005D2D5E">
      <w:r>
        <w:rPr>
          <w:rFonts w:ascii="Times New Roman" w:hAnsi="Times New Roman"/>
          <w:sz w:val="20"/>
          <w:szCs w:val="20"/>
        </w:rPr>
        <w:pict w14:anchorId="42A1427D">
          <v:rect id="_x0000_i1032" style="width:415.3pt;height:1.5pt" o:hralign="center" o:hrstd="t" o:hr="t" fillcolor="#a0a0a0" stroked="f"/>
        </w:pict>
      </w:r>
    </w:p>
    <w:p w14:paraId="42A10B8E" w14:textId="77777777" w:rsidR="00BB68E1" w:rsidRDefault="00BB68E1">
      <w:pPr>
        <w:rPr>
          <w:rFonts w:ascii="Times New Roman" w:hAnsi="Times New Roman"/>
          <w:sz w:val="20"/>
          <w:szCs w:val="20"/>
        </w:rPr>
      </w:pPr>
    </w:p>
    <w:p w14:paraId="42A10B8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Brand name merchandise represents a significant portion of the merchandise sold in Walmart U.S. We also market lines of merchandise under our private-label brands, including brands such as: "Alls</w:t>
      </w:r>
      <w:r>
        <w:rPr>
          <w:rFonts w:ascii="Times New Roman" w:eastAsia="宋体" w:hAnsi="Times New Roman"/>
          <w:sz w:val="20"/>
          <w:szCs w:val="20"/>
        </w:rPr>
        <w:t>well," "Athletic Works," "Bonobos," "Equate," "EV1," "Everstart," "George," "Great Value," "Holiday Time," "Mainstays," "Marketside," "No Boundaries," "Onn," "Ozark Trail," "Parent's Choice," "Scoop," "SwissTech," "Time and Tru" and "Wonder Nation." The Co</w:t>
      </w:r>
      <w:r>
        <w:rPr>
          <w:rFonts w:ascii="Times New Roman" w:eastAsia="宋体" w:hAnsi="Times New Roman"/>
          <w:sz w:val="20"/>
          <w:szCs w:val="20"/>
        </w:rPr>
        <w:t>mpany also markets lines of merchandise under licensed brands, some of which include: "Better Homes &amp; Gardens," "Farberware" and "Russell."</w:t>
      </w:r>
    </w:p>
    <w:p w14:paraId="42A10B9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Periodically, revisions are made to the categorization of the components comprising our strategic merchandise units.</w:t>
      </w:r>
      <w:r>
        <w:rPr>
          <w:rFonts w:ascii="Times New Roman" w:eastAsia="宋体" w:hAnsi="Times New Roman"/>
          <w:sz w:val="20"/>
          <w:szCs w:val="20"/>
        </w:rPr>
        <w:t xml:space="preserve"> When revisions are made, the previous periods' presentation is adjusted to maintain comparability.</w:t>
      </w:r>
    </w:p>
    <w:p w14:paraId="42A10B91"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Operations.</w:t>
      </w:r>
      <w:r>
        <w:rPr>
          <w:rFonts w:ascii="Times New Roman" w:eastAsia="宋体" w:hAnsi="Times New Roman"/>
          <w:sz w:val="20"/>
          <w:szCs w:val="20"/>
        </w:rPr>
        <w:t xml:space="preserve"> Many supercenters, discount stores and neighborhood markets are open 24 hours each day. A variety of payment methods are accepted. Consistent with its strategy, Walmart U.S. continues to develop technology tools that help better serve customers and be mor</w:t>
      </w:r>
      <w:r>
        <w:rPr>
          <w:rFonts w:ascii="Times New Roman" w:eastAsia="宋体" w:hAnsi="Times New Roman"/>
          <w:sz w:val="20"/>
          <w:szCs w:val="20"/>
        </w:rPr>
        <w:t xml:space="preserve">e efficient in stores, such as shelf-scanning robots, autonomous floor scrubbers, and automated unloading conveyor systems. </w:t>
      </w:r>
    </w:p>
    <w:p w14:paraId="42A10B92"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Seasonal Aspects of Operations.</w:t>
      </w:r>
      <w:r>
        <w:rPr>
          <w:rFonts w:ascii="Times New Roman" w:eastAsia="宋体" w:hAnsi="Times New Roman"/>
          <w:sz w:val="20"/>
          <w:szCs w:val="20"/>
        </w:rPr>
        <w:t xml:space="preserve"> Walmart U.S.'s business is seasonal to a certain extent due to calendar events and national and religious holidays, as well as different weather patterns. Historically, its highest sales volume and segment operating income have occurred in the fiscal quar</w:t>
      </w:r>
      <w:r>
        <w:rPr>
          <w:rFonts w:ascii="Times New Roman" w:eastAsia="宋体" w:hAnsi="Times New Roman"/>
          <w:sz w:val="20"/>
          <w:szCs w:val="20"/>
        </w:rPr>
        <w:t>ter ending January 31.</w:t>
      </w:r>
    </w:p>
    <w:p w14:paraId="42A10B93"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Competition.</w:t>
      </w:r>
      <w:r>
        <w:rPr>
          <w:rFonts w:ascii="Times New Roman" w:eastAsia="宋体" w:hAnsi="Times New Roman"/>
          <w:sz w:val="20"/>
          <w:szCs w:val="20"/>
        </w:rPr>
        <w:t xml:space="preserve"> Walmart U.S. competes with omni-channel retailers operating discount, department, retail and wholesale grocers, drug, dollar, variety and specialty stores, supermarkets, hypermarkets and supercenter-type stores, as well </w:t>
      </w:r>
      <w:r>
        <w:rPr>
          <w:rFonts w:ascii="Times New Roman" w:eastAsia="宋体" w:hAnsi="Times New Roman"/>
          <w:sz w:val="20"/>
          <w:szCs w:val="20"/>
        </w:rPr>
        <w:t>as eCommerce retailers. Our ability to develop and operate units at the right locations and to deliver a customer-centric omni-channel experience largely determines our competitive position within the retail industry. We employ many programs designed to me</w:t>
      </w:r>
      <w:r>
        <w:rPr>
          <w:rFonts w:ascii="Times New Roman" w:eastAsia="宋体" w:hAnsi="Times New Roman"/>
          <w:sz w:val="20"/>
          <w:szCs w:val="20"/>
        </w:rPr>
        <w:t>et competitive pressures within our industry. These programs include the following:</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B96" w14:textId="77777777">
        <w:trPr>
          <w:tblCellSpacing w:w="0" w:type="dxa"/>
        </w:trPr>
        <w:tc>
          <w:tcPr>
            <w:tcW w:w="960" w:type="dxa"/>
            <w:shd w:val="clear" w:color="auto" w:fill="auto"/>
            <w:vAlign w:val="center"/>
          </w:tcPr>
          <w:p w14:paraId="42A10B94" w14:textId="77777777" w:rsidR="00BB68E1" w:rsidRDefault="00BB68E1">
            <w:pPr>
              <w:rPr>
                <w:rFonts w:ascii="Times New Roman" w:hAnsi="Times New Roman"/>
                <w:sz w:val="20"/>
                <w:szCs w:val="20"/>
              </w:rPr>
            </w:pPr>
          </w:p>
        </w:tc>
        <w:tc>
          <w:tcPr>
            <w:tcW w:w="0" w:type="auto"/>
            <w:shd w:val="clear" w:color="auto" w:fill="auto"/>
            <w:vAlign w:val="center"/>
          </w:tcPr>
          <w:p w14:paraId="42A10B95" w14:textId="77777777" w:rsidR="00BB68E1" w:rsidRDefault="00BB68E1">
            <w:pPr>
              <w:rPr>
                <w:rFonts w:ascii="Times New Roman" w:hAnsi="Times New Roman"/>
                <w:sz w:val="20"/>
                <w:szCs w:val="20"/>
              </w:rPr>
            </w:pPr>
          </w:p>
        </w:tc>
      </w:tr>
      <w:tr w:rsidR="00BB68E1" w14:paraId="42A10B99" w14:textId="77777777">
        <w:trPr>
          <w:tblCellSpacing w:w="0" w:type="dxa"/>
        </w:trPr>
        <w:tc>
          <w:tcPr>
            <w:tcW w:w="0" w:type="auto"/>
            <w:shd w:val="clear" w:color="auto" w:fill="auto"/>
          </w:tcPr>
          <w:p w14:paraId="42A10B97"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B98"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EDLP: our pricing philosophy under which we price items at everyday low prices so our </w:t>
            </w:r>
            <w:r>
              <w:rPr>
                <w:rFonts w:ascii="Times New Roman" w:eastAsia="宋体" w:hAnsi="Times New Roman"/>
                <w:sz w:val="20"/>
                <w:szCs w:val="20"/>
              </w:rPr>
              <w:lastRenderedPageBreak/>
              <w:t>customers trust that our prices will not change under frequent promotional activi</w:t>
            </w:r>
            <w:r>
              <w:rPr>
                <w:rFonts w:ascii="Times New Roman" w:eastAsia="宋体" w:hAnsi="Times New Roman"/>
                <w:sz w:val="20"/>
                <w:szCs w:val="20"/>
              </w:rPr>
              <w:t>ty;</w:t>
            </w:r>
          </w:p>
        </w:tc>
      </w:tr>
    </w:tbl>
    <w:p w14:paraId="42A10B9A"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B9D" w14:textId="77777777">
        <w:trPr>
          <w:tblCellSpacing w:w="0" w:type="dxa"/>
        </w:trPr>
        <w:tc>
          <w:tcPr>
            <w:tcW w:w="960" w:type="dxa"/>
            <w:shd w:val="clear" w:color="auto" w:fill="auto"/>
            <w:vAlign w:val="center"/>
          </w:tcPr>
          <w:p w14:paraId="42A10B9B" w14:textId="77777777" w:rsidR="00BB68E1" w:rsidRDefault="00BB68E1">
            <w:pPr>
              <w:rPr>
                <w:rFonts w:ascii="Times New Roman" w:hAnsi="Times New Roman"/>
                <w:sz w:val="20"/>
                <w:szCs w:val="20"/>
              </w:rPr>
            </w:pPr>
          </w:p>
        </w:tc>
        <w:tc>
          <w:tcPr>
            <w:tcW w:w="0" w:type="auto"/>
            <w:shd w:val="clear" w:color="auto" w:fill="auto"/>
            <w:vAlign w:val="center"/>
          </w:tcPr>
          <w:p w14:paraId="42A10B9C" w14:textId="77777777" w:rsidR="00BB68E1" w:rsidRDefault="00BB68E1">
            <w:pPr>
              <w:rPr>
                <w:rFonts w:ascii="Times New Roman" w:hAnsi="Times New Roman"/>
                <w:sz w:val="20"/>
                <w:szCs w:val="20"/>
              </w:rPr>
            </w:pPr>
          </w:p>
        </w:tc>
      </w:tr>
      <w:tr w:rsidR="00BB68E1" w14:paraId="42A10BA0" w14:textId="77777777">
        <w:trPr>
          <w:tblCellSpacing w:w="0" w:type="dxa"/>
        </w:trPr>
        <w:tc>
          <w:tcPr>
            <w:tcW w:w="0" w:type="auto"/>
            <w:shd w:val="clear" w:color="auto" w:fill="auto"/>
          </w:tcPr>
          <w:p w14:paraId="42A10B9E"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B9F"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EDLC: everyday low cost is our commitment to control expenses so our cost savings can be passed along to our customers; and</w:t>
            </w:r>
          </w:p>
        </w:tc>
      </w:tr>
    </w:tbl>
    <w:p w14:paraId="42A10BA1"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BA4" w14:textId="77777777">
        <w:trPr>
          <w:tblCellSpacing w:w="0" w:type="dxa"/>
        </w:trPr>
        <w:tc>
          <w:tcPr>
            <w:tcW w:w="960" w:type="dxa"/>
            <w:shd w:val="clear" w:color="auto" w:fill="auto"/>
            <w:vAlign w:val="center"/>
          </w:tcPr>
          <w:p w14:paraId="42A10BA2" w14:textId="77777777" w:rsidR="00BB68E1" w:rsidRDefault="00BB68E1">
            <w:pPr>
              <w:rPr>
                <w:rFonts w:ascii="Times New Roman" w:hAnsi="Times New Roman"/>
                <w:sz w:val="20"/>
                <w:szCs w:val="20"/>
              </w:rPr>
            </w:pPr>
          </w:p>
        </w:tc>
        <w:tc>
          <w:tcPr>
            <w:tcW w:w="0" w:type="auto"/>
            <w:shd w:val="clear" w:color="auto" w:fill="auto"/>
            <w:vAlign w:val="center"/>
          </w:tcPr>
          <w:p w14:paraId="42A10BA3" w14:textId="77777777" w:rsidR="00BB68E1" w:rsidRDefault="00BB68E1">
            <w:pPr>
              <w:rPr>
                <w:rFonts w:ascii="Times New Roman" w:hAnsi="Times New Roman"/>
                <w:sz w:val="20"/>
                <w:szCs w:val="20"/>
              </w:rPr>
            </w:pPr>
          </w:p>
        </w:tc>
      </w:tr>
      <w:tr w:rsidR="00BB68E1" w14:paraId="42A10BA7" w14:textId="77777777">
        <w:trPr>
          <w:tblCellSpacing w:w="0" w:type="dxa"/>
        </w:trPr>
        <w:tc>
          <w:tcPr>
            <w:tcW w:w="0" w:type="auto"/>
            <w:shd w:val="clear" w:color="auto" w:fill="auto"/>
          </w:tcPr>
          <w:p w14:paraId="42A10BA5"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BA6"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Omni-channel offerings such as Same Day Pickup and Same Day Delivery, where a customer places an order </w:t>
            </w:r>
            <w:r>
              <w:rPr>
                <w:rFonts w:ascii="Times New Roman" w:eastAsia="宋体" w:hAnsi="Times New Roman"/>
                <w:sz w:val="20"/>
                <w:szCs w:val="20"/>
              </w:rPr>
              <w:t xml:space="preserve">online and picks it up for free from a store or has it delivered; Delivery Unlimited, where a customer can receive unlimited grocery delivery for an annual fee; as well as free two-day shipping without an annual membership fee and free NextDay Delivery on </w:t>
            </w:r>
            <w:r>
              <w:rPr>
                <w:rFonts w:ascii="Times New Roman" w:eastAsia="宋体" w:hAnsi="Times New Roman"/>
                <w:sz w:val="20"/>
                <w:szCs w:val="20"/>
              </w:rPr>
              <w:t>an assortment of best-selling items.</w:t>
            </w:r>
          </w:p>
        </w:tc>
      </w:tr>
    </w:tbl>
    <w:p w14:paraId="42A10BA8"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Distribution.</w:t>
      </w:r>
      <w:r>
        <w:rPr>
          <w:rFonts w:ascii="Times New Roman" w:eastAsia="宋体" w:hAnsi="Times New Roman"/>
          <w:sz w:val="20"/>
          <w:szCs w:val="20"/>
        </w:rPr>
        <w:t xml:space="preserve"> For fiscal 2020, approximately 79% of Walmart U.S.'s purchases of store merchandise were shipped through our 162 distribution facilities, which are located strategically throughout the U.S. The remaining </w:t>
      </w:r>
      <w:r>
        <w:rPr>
          <w:rFonts w:ascii="Times New Roman" w:eastAsia="宋体" w:hAnsi="Times New Roman"/>
          <w:sz w:val="20"/>
          <w:szCs w:val="20"/>
        </w:rPr>
        <w:t>store merchandise we purchased was shipped directly from suppliers. General merchandise and dry grocery merchandise is transported primarily through the segment's private truck fleet; however, we contract with common carriers to transport the majority of o</w:t>
      </w:r>
      <w:r>
        <w:rPr>
          <w:rFonts w:ascii="Times New Roman" w:eastAsia="宋体" w:hAnsi="Times New Roman"/>
          <w:sz w:val="20"/>
          <w:szCs w:val="20"/>
        </w:rPr>
        <w:t>ur perishable grocery merchandise. We ship merchandise purchased by customers on our eCommerce platforms by a number of methods from multiple locations including from our 40 dedicated eCommerce fulfillment centers which includes eight temporary fulfillment</w:t>
      </w:r>
      <w:r>
        <w:rPr>
          <w:rFonts w:ascii="Times New Roman" w:eastAsia="宋体" w:hAnsi="Times New Roman"/>
          <w:sz w:val="20"/>
          <w:szCs w:val="20"/>
        </w:rPr>
        <w:t xml:space="preserve"> centers.</w:t>
      </w:r>
    </w:p>
    <w:p w14:paraId="42A10BA9"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Walmart International Segment</w:t>
      </w:r>
    </w:p>
    <w:p w14:paraId="42A10BA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Walmart International is our second largest segment and operates in 26 countries outside of the U.S. Walmart International operates through our wholly-owned subsidiaries in Argentina, Canada, Chile, China, India, Jap</w:t>
      </w:r>
      <w:r>
        <w:rPr>
          <w:rFonts w:ascii="Times New Roman" w:eastAsia="宋体" w:hAnsi="Times New Roman"/>
          <w:sz w:val="20"/>
          <w:szCs w:val="20"/>
        </w:rPr>
        <w:t>an and the United Kingdom, and our majority-owned subsidiaries in Africa (which includes Botswana, Ghana, Kenya, Lesotho, Malawi, Mozambique, Namibia, Nigeria, South Africa, Swaziland, Tanzania, Uganda and Zambia), Central America (which includes Costa Ric</w:t>
      </w:r>
      <w:r>
        <w:rPr>
          <w:rFonts w:ascii="Times New Roman" w:eastAsia="宋体" w:hAnsi="Times New Roman"/>
          <w:sz w:val="20"/>
          <w:szCs w:val="20"/>
        </w:rPr>
        <w:t xml:space="preserve">a, El Salvador, Guatemala, Honduras and Nicaragua), India and Mexico. Walmart International previously operated in Brazil prior to the sale of the majority stake of Walmart Brazil in fiscal 2019, as discussed in </w:t>
      </w:r>
      <w:hyperlink r:id="rId75" w:anchor="sF3EC33622B9D5E9FA81B9AF6D8900DC8" w:history="1">
        <w:r>
          <w:rPr>
            <w:rStyle w:val="a5"/>
            <w:rFonts w:ascii="Times New Roman" w:eastAsia="宋体" w:hAnsi="Times New Roman"/>
            <w:sz w:val="20"/>
            <w:szCs w:val="20"/>
          </w:rPr>
          <w:t>Note 12</w:t>
        </w:r>
      </w:hyperlink>
      <w:r>
        <w:rPr>
          <w:rFonts w:ascii="Times New Roman" w:eastAsia="宋体" w:hAnsi="Times New Roman"/>
          <w:sz w:val="20"/>
          <w:szCs w:val="20"/>
        </w:rPr>
        <w:t xml:space="preserve"> to our Consolidated Financial Statements.</w:t>
      </w:r>
    </w:p>
    <w:p w14:paraId="42A10BAB"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Walmart International includes numerous formats divided into three major categories: retail, wholesale and other. These categories consist of many formats, including: supercenters, supermarkets, hypermarkets, warehouse clubs (including Sam's Clubs) and cas</w:t>
      </w:r>
      <w:r>
        <w:rPr>
          <w:rFonts w:ascii="Times New Roman" w:eastAsia="宋体" w:hAnsi="Times New Roman"/>
          <w:sz w:val="20"/>
          <w:szCs w:val="20"/>
        </w:rPr>
        <w:t>h &amp; carry, as well as eCommerce through walmart.com.mx, asda.com, walmart.ca, flipkart.com and other sites. Walmart International had net sales of $120.1 billion for fiscal 2020, representing 23% of our fiscal 2020 consolidated net sales, and had net sales</w:t>
      </w:r>
      <w:r>
        <w:rPr>
          <w:rFonts w:ascii="Times New Roman" w:eastAsia="宋体" w:hAnsi="Times New Roman"/>
          <w:sz w:val="20"/>
          <w:szCs w:val="20"/>
        </w:rPr>
        <w:t xml:space="preserve"> of $120.8 billion and $118.1 billion for fiscal 2019 and 2018, respectively. The segment's net sales were negatively impacted by currency exchange rate fluctuations for all years presented. The gross profit rate is lower than that of Walmart U.S. primaril</w:t>
      </w:r>
      <w:r>
        <w:rPr>
          <w:rFonts w:ascii="Times New Roman" w:eastAsia="宋体" w:hAnsi="Times New Roman"/>
          <w:sz w:val="20"/>
          <w:szCs w:val="20"/>
        </w:rPr>
        <w:t xml:space="preserve">y because of its merchandise mix. </w:t>
      </w:r>
    </w:p>
    <w:p w14:paraId="42A10BAC" w14:textId="77777777" w:rsidR="00BB68E1" w:rsidRDefault="00BB68E1">
      <w:pPr>
        <w:rPr>
          <w:rFonts w:ascii="Times New Roman" w:hAnsi="Times New Roman"/>
          <w:sz w:val="20"/>
          <w:szCs w:val="20"/>
        </w:rPr>
      </w:pPr>
    </w:p>
    <w:p w14:paraId="42A10BAD"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9</w:t>
      </w:r>
    </w:p>
    <w:p w14:paraId="42A10BAE" w14:textId="77777777" w:rsidR="00BB68E1" w:rsidRDefault="00BB68E1">
      <w:pPr>
        <w:spacing w:line="288" w:lineRule="auto"/>
        <w:jc w:val="center"/>
        <w:rPr>
          <w:rFonts w:ascii="Times New Roman" w:hAnsi="Times New Roman"/>
          <w:sz w:val="20"/>
          <w:szCs w:val="20"/>
        </w:rPr>
      </w:pPr>
    </w:p>
    <w:p w14:paraId="42A10BAF" w14:textId="77777777" w:rsidR="00BB68E1" w:rsidRDefault="005D2D5E">
      <w:r>
        <w:rPr>
          <w:rFonts w:ascii="Times New Roman" w:hAnsi="Times New Roman"/>
          <w:sz w:val="20"/>
          <w:szCs w:val="20"/>
        </w:rPr>
        <w:pict w14:anchorId="42A1427E">
          <v:rect id="_x0000_i1033" style="width:415.3pt;height:1.5pt" o:hralign="center" o:hrstd="t" o:hr="t" fillcolor="#a0a0a0" stroked="f"/>
        </w:pict>
      </w:r>
    </w:p>
    <w:p w14:paraId="42A10BB0" w14:textId="77777777" w:rsidR="00BB68E1" w:rsidRDefault="00BB68E1">
      <w:pPr>
        <w:rPr>
          <w:rFonts w:ascii="Times New Roman" w:hAnsi="Times New Roman"/>
          <w:sz w:val="20"/>
          <w:szCs w:val="20"/>
        </w:rPr>
      </w:pPr>
    </w:p>
    <w:p w14:paraId="42A10BB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Walmart International's strategy is to create strong local businesses powered by Walmart which means being locally relevant and customer-focused in each of the markets it operates. We are being deliberate about whe</w:t>
      </w:r>
      <w:r>
        <w:rPr>
          <w:rFonts w:ascii="Times New Roman" w:eastAsia="宋体" w:hAnsi="Times New Roman"/>
          <w:sz w:val="20"/>
          <w:szCs w:val="20"/>
        </w:rPr>
        <w:t>re and how we choose to operate and continue to re-shape the portfolio to best enable long-term, sustainable and profitable growth. As such, we have taken certain strategic actions to strengthen our Walmart International portfolio for the long-term, includ</w:t>
      </w:r>
      <w:r>
        <w:rPr>
          <w:rFonts w:ascii="Times New Roman" w:eastAsia="宋体" w:hAnsi="Times New Roman"/>
          <w:sz w:val="20"/>
          <w:szCs w:val="20"/>
        </w:rPr>
        <w:t xml:space="preserve">ing: </w:t>
      </w:r>
    </w:p>
    <w:tbl>
      <w:tblPr>
        <w:tblW w:w="0" w:type="auto"/>
        <w:tblCellSpacing w:w="0" w:type="dxa"/>
        <w:tblCellMar>
          <w:left w:w="0" w:type="dxa"/>
          <w:right w:w="0" w:type="dxa"/>
        </w:tblCellMar>
        <w:tblLook w:val="04A0" w:firstRow="1" w:lastRow="0" w:firstColumn="1" w:lastColumn="0" w:noHBand="0" w:noVBand="1"/>
      </w:tblPr>
      <w:tblGrid>
        <w:gridCol w:w="960"/>
        <w:gridCol w:w="4711"/>
      </w:tblGrid>
      <w:tr w:rsidR="00BB68E1" w14:paraId="42A10BB4" w14:textId="77777777">
        <w:trPr>
          <w:tblCellSpacing w:w="0" w:type="dxa"/>
        </w:trPr>
        <w:tc>
          <w:tcPr>
            <w:tcW w:w="960" w:type="dxa"/>
            <w:shd w:val="clear" w:color="auto" w:fill="auto"/>
            <w:vAlign w:val="center"/>
          </w:tcPr>
          <w:p w14:paraId="42A10BB2" w14:textId="77777777" w:rsidR="00BB68E1" w:rsidRDefault="00BB68E1">
            <w:pPr>
              <w:rPr>
                <w:rFonts w:ascii="Times New Roman" w:hAnsi="Times New Roman"/>
                <w:sz w:val="20"/>
                <w:szCs w:val="20"/>
              </w:rPr>
            </w:pPr>
          </w:p>
        </w:tc>
        <w:tc>
          <w:tcPr>
            <w:tcW w:w="0" w:type="auto"/>
            <w:shd w:val="clear" w:color="auto" w:fill="auto"/>
            <w:vAlign w:val="center"/>
          </w:tcPr>
          <w:p w14:paraId="42A10BB3" w14:textId="77777777" w:rsidR="00BB68E1" w:rsidRDefault="00BB68E1">
            <w:pPr>
              <w:rPr>
                <w:rFonts w:ascii="Times New Roman" w:hAnsi="Times New Roman"/>
                <w:sz w:val="20"/>
                <w:szCs w:val="20"/>
              </w:rPr>
            </w:pPr>
          </w:p>
        </w:tc>
      </w:tr>
      <w:tr w:rsidR="00BB68E1" w14:paraId="42A10BB7" w14:textId="77777777">
        <w:trPr>
          <w:tblCellSpacing w:w="0" w:type="dxa"/>
        </w:trPr>
        <w:tc>
          <w:tcPr>
            <w:tcW w:w="0" w:type="auto"/>
            <w:shd w:val="clear" w:color="auto" w:fill="auto"/>
          </w:tcPr>
          <w:p w14:paraId="42A10BB5"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BB6"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Acquisition of a majority stake of Flipkart in August 2018. </w:t>
            </w:r>
          </w:p>
        </w:tc>
      </w:tr>
    </w:tbl>
    <w:p w14:paraId="42A10BB8"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BBB" w14:textId="77777777">
        <w:trPr>
          <w:tblCellSpacing w:w="0" w:type="dxa"/>
        </w:trPr>
        <w:tc>
          <w:tcPr>
            <w:tcW w:w="960" w:type="dxa"/>
            <w:shd w:val="clear" w:color="auto" w:fill="auto"/>
            <w:vAlign w:val="center"/>
          </w:tcPr>
          <w:p w14:paraId="42A10BB9" w14:textId="77777777" w:rsidR="00BB68E1" w:rsidRDefault="00BB68E1">
            <w:pPr>
              <w:rPr>
                <w:rFonts w:ascii="Times New Roman" w:hAnsi="Times New Roman"/>
                <w:sz w:val="20"/>
                <w:szCs w:val="20"/>
              </w:rPr>
            </w:pPr>
          </w:p>
        </w:tc>
        <w:tc>
          <w:tcPr>
            <w:tcW w:w="0" w:type="auto"/>
            <w:shd w:val="clear" w:color="auto" w:fill="auto"/>
            <w:vAlign w:val="center"/>
          </w:tcPr>
          <w:p w14:paraId="42A10BBA" w14:textId="77777777" w:rsidR="00BB68E1" w:rsidRDefault="00BB68E1">
            <w:pPr>
              <w:rPr>
                <w:rFonts w:ascii="Times New Roman" w:hAnsi="Times New Roman"/>
                <w:sz w:val="20"/>
                <w:szCs w:val="20"/>
              </w:rPr>
            </w:pPr>
          </w:p>
        </w:tc>
      </w:tr>
      <w:tr w:rsidR="00BB68E1" w14:paraId="42A10BBE" w14:textId="77777777">
        <w:trPr>
          <w:tblCellSpacing w:w="0" w:type="dxa"/>
        </w:trPr>
        <w:tc>
          <w:tcPr>
            <w:tcW w:w="0" w:type="auto"/>
            <w:shd w:val="clear" w:color="auto" w:fill="auto"/>
          </w:tcPr>
          <w:p w14:paraId="42A10BBC"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BBD"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Divestiture of 80 percent of Walmart Brazil to Advent International (“Advent”) in August 2018.  </w:t>
            </w:r>
          </w:p>
        </w:tc>
      </w:tr>
    </w:tbl>
    <w:p w14:paraId="42A10BBF"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BC2" w14:textId="77777777">
        <w:trPr>
          <w:tblCellSpacing w:w="0" w:type="dxa"/>
        </w:trPr>
        <w:tc>
          <w:tcPr>
            <w:tcW w:w="960" w:type="dxa"/>
            <w:shd w:val="clear" w:color="auto" w:fill="auto"/>
            <w:vAlign w:val="center"/>
          </w:tcPr>
          <w:p w14:paraId="42A10BC0" w14:textId="77777777" w:rsidR="00BB68E1" w:rsidRDefault="00BB68E1">
            <w:pPr>
              <w:rPr>
                <w:rFonts w:ascii="Times New Roman" w:hAnsi="Times New Roman"/>
                <w:sz w:val="20"/>
                <w:szCs w:val="20"/>
              </w:rPr>
            </w:pPr>
          </w:p>
        </w:tc>
        <w:tc>
          <w:tcPr>
            <w:tcW w:w="0" w:type="auto"/>
            <w:shd w:val="clear" w:color="auto" w:fill="auto"/>
            <w:vAlign w:val="center"/>
          </w:tcPr>
          <w:p w14:paraId="42A10BC1" w14:textId="77777777" w:rsidR="00BB68E1" w:rsidRDefault="00BB68E1">
            <w:pPr>
              <w:rPr>
                <w:rFonts w:ascii="Times New Roman" w:hAnsi="Times New Roman"/>
                <w:sz w:val="20"/>
                <w:szCs w:val="20"/>
              </w:rPr>
            </w:pPr>
          </w:p>
        </w:tc>
      </w:tr>
      <w:tr w:rsidR="00BB68E1" w14:paraId="42A10BC5" w14:textId="77777777">
        <w:trPr>
          <w:tblCellSpacing w:w="0" w:type="dxa"/>
        </w:trPr>
        <w:tc>
          <w:tcPr>
            <w:tcW w:w="0" w:type="auto"/>
            <w:shd w:val="clear" w:color="auto" w:fill="auto"/>
          </w:tcPr>
          <w:p w14:paraId="42A10BC3"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BC4"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Divestiture of the Walmart Chile banking operations in December 2018 and the divestiture of the Walmart Canada banking operations in April 2019.</w:t>
            </w:r>
          </w:p>
        </w:tc>
      </w:tr>
    </w:tbl>
    <w:p w14:paraId="42A10BC6"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Omni-channel.</w:t>
      </w:r>
      <w:r>
        <w:rPr>
          <w:rFonts w:ascii="Times New Roman" w:eastAsia="宋体" w:hAnsi="Times New Roman"/>
          <w:sz w:val="20"/>
          <w:szCs w:val="20"/>
        </w:rPr>
        <w:t xml:space="preserve"> Walmart International provides an omni-channel experience to customers, integrating retail stores and eCommerce, such as through services like "Click &amp; Collect" in the United Kingdom, our grocery pick-up and delivery business in several other</w:t>
      </w:r>
      <w:r>
        <w:rPr>
          <w:rFonts w:ascii="Times New Roman" w:eastAsia="宋体" w:hAnsi="Times New Roman"/>
          <w:sz w:val="20"/>
          <w:szCs w:val="20"/>
        </w:rPr>
        <w:t xml:space="preserve"> markets, our marketplaces, such as Flipkart in India, and a digital transaction platform anchored in payments such as PhonePe in India. </w:t>
      </w:r>
    </w:p>
    <w:p w14:paraId="42A10BC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Generally, retail units' selling area range in size from 1,400 square feet to 186,000 square feet. Our wholesale store</w:t>
      </w:r>
      <w:r>
        <w:rPr>
          <w:rFonts w:ascii="Times New Roman" w:eastAsia="宋体" w:hAnsi="Times New Roman"/>
          <w:sz w:val="20"/>
          <w:szCs w:val="20"/>
        </w:rPr>
        <w:t>s' selling area generally range in size from 25,000 square feet to 156,000 square feet. As of January 31, 2020, Walmart International had nearly 3,200 grocery pickup and/or delivery locations across its markets.</w:t>
      </w:r>
    </w:p>
    <w:p w14:paraId="42A10BC8"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Merchandise.</w:t>
      </w:r>
      <w:r>
        <w:rPr>
          <w:rFonts w:ascii="Times New Roman" w:eastAsia="宋体" w:hAnsi="Times New Roman"/>
          <w:sz w:val="20"/>
          <w:szCs w:val="20"/>
        </w:rPr>
        <w:t xml:space="preserve"> The merchandising strategy for </w:t>
      </w:r>
      <w:r>
        <w:rPr>
          <w:rFonts w:ascii="Times New Roman" w:eastAsia="宋体" w:hAnsi="Times New Roman"/>
          <w:sz w:val="20"/>
          <w:szCs w:val="20"/>
        </w:rPr>
        <w:t>Walmart International is similar to that of our operations in the U.S. in terms of the breadth and scope of merchandise offered for sale. While brand name merchandise accounts for a majority of our sales, we have both leveraged U.S. private brands and deve</w:t>
      </w:r>
      <w:r>
        <w:rPr>
          <w:rFonts w:ascii="Times New Roman" w:eastAsia="宋体" w:hAnsi="Times New Roman"/>
          <w:sz w:val="20"/>
          <w:szCs w:val="20"/>
        </w:rPr>
        <w:t>loped market specific private brands to serve our customers with high quality, low priced items. Along with the private brands we market globally, such as "Equate," "George," "Great Value," "Holiday Time," "Mainstays," "Marketside" and "Parent's Choice," o</w:t>
      </w:r>
      <w:r>
        <w:rPr>
          <w:rFonts w:ascii="Times New Roman" w:eastAsia="宋体" w:hAnsi="Times New Roman"/>
          <w:sz w:val="20"/>
          <w:szCs w:val="20"/>
        </w:rPr>
        <w:t>ur international markets have developed market specific brands including "Aurrera," "Cambridge," "Lider," "Myntra," "PhonePe" and "Extra Special." In addition, we have developed relationships with regional and local suppliers in each market to ensure relia</w:t>
      </w:r>
      <w:r>
        <w:rPr>
          <w:rFonts w:ascii="Times New Roman" w:eastAsia="宋体" w:hAnsi="Times New Roman"/>
          <w:sz w:val="20"/>
          <w:szCs w:val="20"/>
        </w:rPr>
        <w:t>ble sources of quality merchandise that is equal to national brands at low prices.</w:t>
      </w:r>
    </w:p>
    <w:p w14:paraId="42A10BC9"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Operations.</w:t>
      </w:r>
      <w:r>
        <w:rPr>
          <w:rFonts w:ascii="Times New Roman" w:eastAsia="宋体" w:hAnsi="Times New Roman"/>
          <w:sz w:val="20"/>
          <w:szCs w:val="20"/>
        </w:rPr>
        <w:t xml:space="preserve"> The hours of operation for operating units in Walmart International vary by country and by individual markets within countries, depending upon local and national</w:t>
      </w:r>
      <w:r>
        <w:rPr>
          <w:rFonts w:ascii="Times New Roman" w:eastAsia="宋体" w:hAnsi="Times New Roman"/>
          <w:sz w:val="20"/>
          <w:szCs w:val="20"/>
        </w:rPr>
        <w:t xml:space="preserve"> ordinances governing hours of operation. Operating units in each country accept a variety of payment methods.</w:t>
      </w:r>
    </w:p>
    <w:p w14:paraId="42A10BCA"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Seasonal Aspects of Operations.</w:t>
      </w:r>
      <w:r>
        <w:rPr>
          <w:rFonts w:ascii="Times New Roman" w:eastAsia="宋体" w:hAnsi="Times New Roman"/>
          <w:sz w:val="20"/>
          <w:szCs w:val="20"/>
        </w:rPr>
        <w:t xml:space="preserve"> Walmart International's business is seasonal to a certain extent. Historically, the segment's highest sales volum</w:t>
      </w:r>
      <w:r>
        <w:rPr>
          <w:rFonts w:ascii="Times New Roman" w:eastAsia="宋体" w:hAnsi="Times New Roman"/>
          <w:sz w:val="20"/>
          <w:szCs w:val="20"/>
        </w:rPr>
        <w:t>e and operating income have occurred in the fourth quarter of our fiscal year. The seasonality of the business varies by country due to different national and religious holidays, festivals and customs, as well as different weather patterns.</w:t>
      </w:r>
    </w:p>
    <w:p w14:paraId="42A10BCB"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Competition.</w:t>
      </w:r>
      <w:r>
        <w:rPr>
          <w:rFonts w:ascii="Times New Roman" w:eastAsia="宋体" w:hAnsi="Times New Roman"/>
          <w:sz w:val="20"/>
          <w:szCs w:val="20"/>
        </w:rPr>
        <w:t xml:space="preserve"> Walmart International competes with omni-channel retailers who operate department, drug, discount, variety and specialty stores, supermarkets, hypermarkets and supercenter-type stores, wholesale clubs, home-improvement stores, specialty electr</w:t>
      </w:r>
      <w:r>
        <w:rPr>
          <w:rFonts w:ascii="Times New Roman" w:eastAsia="宋体" w:hAnsi="Times New Roman"/>
          <w:sz w:val="20"/>
          <w:szCs w:val="20"/>
        </w:rPr>
        <w:t>onics stores, cash &amp; carry operations and convenience stores, and eCommerce retailers, as well as catalog businesses. Our ability to develop and operate units at the right locations and to deliver a customer-centric omni-channel experience largely determin</w:t>
      </w:r>
      <w:r>
        <w:rPr>
          <w:rFonts w:ascii="Times New Roman" w:eastAsia="宋体" w:hAnsi="Times New Roman"/>
          <w:sz w:val="20"/>
          <w:szCs w:val="20"/>
        </w:rPr>
        <w:t>es our competitive position within the retail industry. We believe price leadership is a critical part of our business model and we continue to focus on moving our markets towards an EDLP approach. Additionally, our ability to operate food departments effe</w:t>
      </w:r>
      <w:r>
        <w:rPr>
          <w:rFonts w:ascii="Times New Roman" w:eastAsia="宋体" w:hAnsi="Times New Roman"/>
          <w:sz w:val="20"/>
          <w:szCs w:val="20"/>
        </w:rPr>
        <w:t>ctively has a significant impact on our competitive position in the markets where we operate.</w:t>
      </w:r>
    </w:p>
    <w:p w14:paraId="42A10BCC"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Distribution.</w:t>
      </w:r>
      <w:r>
        <w:rPr>
          <w:rFonts w:ascii="Times New Roman" w:eastAsia="宋体" w:hAnsi="Times New Roman"/>
          <w:sz w:val="20"/>
          <w:szCs w:val="20"/>
        </w:rPr>
        <w:t xml:space="preserve"> We utilize a total of 221 distribution facilities located in Argentina, Canada, Central America, Chile, China, Japan, Mexico, South Africa, India an</w:t>
      </w:r>
      <w:r>
        <w:rPr>
          <w:rFonts w:ascii="Times New Roman" w:eastAsia="宋体" w:hAnsi="Times New Roman"/>
          <w:sz w:val="20"/>
          <w:szCs w:val="20"/>
        </w:rPr>
        <w:t>d the United Kingdom. Certain of these facilities are used to ship merchandise to both our stores and customers on our eCommerce platforms. Through these facilities, we process and distribute both imported and domestic products to the operating units of th</w:t>
      </w:r>
      <w:r>
        <w:rPr>
          <w:rFonts w:ascii="Times New Roman" w:eastAsia="宋体" w:hAnsi="Times New Roman"/>
          <w:sz w:val="20"/>
          <w:szCs w:val="20"/>
        </w:rPr>
        <w:t xml:space="preserve">e Walmart International segment. During fiscal 2020, approximately 85% of Walmart International's purchases passed through these distribution facilities. Suppliers ship the balance of Walmart International's purchases directly to our stores in the various </w:t>
      </w:r>
      <w:r>
        <w:rPr>
          <w:rFonts w:ascii="Times New Roman" w:eastAsia="宋体" w:hAnsi="Times New Roman"/>
          <w:sz w:val="20"/>
          <w:szCs w:val="20"/>
        </w:rPr>
        <w:t>markets in which we operate. We ship merchandise purchased by customers on our eCommerce platforms by a number of methods from multiple locations including from our 88 dedicated eCommerce fulfillment centers, as well as more than 2,500 eCommerce sort cente</w:t>
      </w:r>
      <w:r>
        <w:rPr>
          <w:rFonts w:ascii="Times New Roman" w:eastAsia="宋体" w:hAnsi="Times New Roman"/>
          <w:sz w:val="20"/>
          <w:szCs w:val="20"/>
        </w:rPr>
        <w:t>rs in India.</w:t>
      </w:r>
    </w:p>
    <w:p w14:paraId="42A10BCD"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Sam's Club Segment</w:t>
      </w:r>
    </w:p>
    <w:p w14:paraId="42A10BC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Sam's Club operates in 44 states in the U.S. and in Puerto Rico. Sam's Club is a membership-only warehouse club that also operates samsclub.com. Sam's Club had net sales of $58.8 billion for fiscal </w:t>
      </w:r>
      <w:r>
        <w:rPr>
          <w:rFonts w:ascii="Times New Roman" w:eastAsia="宋体" w:hAnsi="Times New Roman"/>
          <w:sz w:val="20"/>
          <w:szCs w:val="20"/>
        </w:rPr>
        <w:lastRenderedPageBreak/>
        <w:t xml:space="preserve">2020, representing 11% of </w:t>
      </w:r>
      <w:r>
        <w:rPr>
          <w:rFonts w:ascii="Times New Roman" w:eastAsia="宋体" w:hAnsi="Times New Roman"/>
          <w:sz w:val="20"/>
          <w:szCs w:val="20"/>
        </w:rPr>
        <w:t xml:space="preserve">our consolidated fiscal 2020 net sales, and had net sales of $57.8 billion and $59.2 billion for fiscal 2019 and 2018, respectively. As a membership-only warehouse club, membership income is a significant component of the segment's operating income. Sam's </w:t>
      </w:r>
      <w:r>
        <w:rPr>
          <w:rFonts w:ascii="Times New Roman" w:eastAsia="宋体" w:hAnsi="Times New Roman"/>
          <w:sz w:val="20"/>
          <w:szCs w:val="20"/>
        </w:rPr>
        <w:t>Club operates with a lower gross profit rate and lower operating expenses as a percentage of net sales than our other segments.</w:t>
      </w:r>
    </w:p>
    <w:p w14:paraId="42A10BCF" w14:textId="77777777" w:rsidR="00BB68E1" w:rsidRDefault="00BB68E1">
      <w:pPr>
        <w:rPr>
          <w:rFonts w:ascii="Times New Roman" w:hAnsi="Times New Roman"/>
          <w:sz w:val="20"/>
          <w:szCs w:val="20"/>
        </w:rPr>
      </w:pPr>
    </w:p>
    <w:p w14:paraId="42A10BD0"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10</w:t>
      </w:r>
    </w:p>
    <w:p w14:paraId="42A10BD1" w14:textId="77777777" w:rsidR="00BB68E1" w:rsidRDefault="00BB68E1">
      <w:pPr>
        <w:spacing w:line="288" w:lineRule="auto"/>
        <w:jc w:val="center"/>
        <w:rPr>
          <w:rFonts w:ascii="Times New Roman" w:hAnsi="Times New Roman"/>
          <w:sz w:val="20"/>
          <w:szCs w:val="20"/>
        </w:rPr>
      </w:pPr>
    </w:p>
    <w:p w14:paraId="42A10BD2" w14:textId="77777777" w:rsidR="00BB68E1" w:rsidRDefault="005D2D5E">
      <w:r>
        <w:rPr>
          <w:rFonts w:ascii="Times New Roman" w:hAnsi="Times New Roman"/>
          <w:sz w:val="20"/>
          <w:szCs w:val="20"/>
        </w:rPr>
        <w:pict w14:anchorId="42A1427F">
          <v:rect id="_x0000_i1034" style="width:415.3pt;height:1.5pt" o:hralign="center" o:hrstd="t" o:hr="t" fillcolor="#a0a0a0" stroked="f"/>
        </w:pict>
      </w:r>
    </w:p>
    <w:p w14:paraId="42A10BD3" w14:textId="77777777" w:rsidR="00BB68E1" w:rsidRDefault="00BB68E1">
      <w:pPr>
        <w:rPr>
          <w:rFonts w:ascii="Times New Roman" w:hAnsi="Times New Roman"/>
          <w:sz w:val="20"/>
          <w:szCs w:val="20"/>
        </w:rPr>
      </w:pPr>
    </w:p>
    <w:p w14:paraId="42A10BD4"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Membership.</w:t>
      </w:r>
      <w:r>
        <w:rPr>
          <w:rFonts w:ascii="Times New Roman" w:eastAsia="宋体" w:hAnsi="Times New Roman"/>
          <w:sz w:val="20"/>
          <w:szCs w:val="20"/>
        </w:rPr>
        <w:t xml:space="preserve"> The following two options are available to members:</w:t>
      </w:r>
    </w:p>
    <w:tbl>
      <w:tblPr>
        <w:tblW w:w="5000" w:type="pct"/>
        <w:jc w:val="center"/>
        <w:tblCellMar>
          <w:left w:w="0" w:type="dxa"/>
          <w:right w:w="0" w:type="dxa"/>
        </w:tblCellMar>
        <w:tblLook w:val="04A0" w:firstRow="1" w:lastRow="0" w:firstColumn="1" w:lastColumn="0" w:noHBand="0" w:noVBand="1"/>
      </w:tblPr>
      <w:tblGrid>
        <w:gridCol w:w="5217"/>
        <w:gridCol w:w="1479"/>
        <w:gridCol w:w="130"/>
        <w:gridCol w:w="1480"/>
      </w:tblGrid>
      <w:tr w:rsidR="00BB68E1" w14:paraId="42A10BD6" w14:textId="77777777">
        <w:trPr>
          <w:jc w:val="center"/>
        </w:trPr>
        <w:tc>
          <w:tcPr>
            <w:tcW w:w="0" w:type="auto"/>
            <w:gridSpan w:val="4"/>
            <w:shd w:val="clear" w:color="auto" w:fill="auto"/>
            <w:vAlign w:val="center"/>
          </w:tcPr>
          <w:p w14:paraId="42A10BD5" w14:textId="77777777" w:rsidR="00BB68E1" w:rsidRDefault="00BB68E1">
            <w:pPr>
              <w:rPr>
                <w:rFonts w:ascii="Times New Roman" w:hAnsi="Times New Roman"/>
                <w:sz w:val="20"/>
                <w:szCs w:val="20"/>
              </w:rPr>
            </w:pPr>
          </w:p>
        </w:tc>
      </w:tr>
      <w:tr w:rsidR="00BB68E1" w14:paraId="42A10BDB" w14:textId="77777777">
        <w:trPr>
          <w:jc w:val="center"/>
        </w:trPr>
        <w:tc>
          <w:tcPr>
            <w:tcW w:w="3150" w:type="pct"/>
            <w:shd w:val="clear" w:color="auto" w:fill="auto"/>
            <w:vAlign w:val="center"/>
          </w:tcPr>
          <w:p w14:paraId="42A10BD7" w14:textId="77777777" w:rsidR="00BB68E1" w:rsidRDefault="00BB68E1">
            <w:pPr>
              <w:rPr>
                <w:rFonts w:ascii="Times New Roman" w:hAnsi="Times New Roman"/>
                <w:sz w:val="20"/>
                <w:szCs w:val="20"/>
              </w:rPr>
            </w:pPr>
          </w:p>
        </w:tc>
        <w:tc>
          <w:tcPr>
            <w:tcW w:w="900" w:type="pct"/>
            <w:shd w:val="clear" w:color="auto" w:fill="auto"/>
            <w:vAlign w:val="center"/>
          </w:tcPr>
          <w:p w14:paraId="42A10BD8" w14:textId="77777777" w:rsidR="00BB68E1" w:rsidRDefault="00BB68E1">
            <w:pPr>
              <w:rPr>
                <w:rFonts w:ascii="Times New Roman" w:hAnsi="Times New Roman"/>
                <w:sz w:val="20"/>
                <w:szCs w:val="20"/>
              </w:rPr>
            </w:pPr>
          </w:p>
        </w:tc>
        <w:tc>
          <w:tcPr>
            <w:tcW w:w="50" w:type="pct"/>
            <w:shd w:val="clear" w:color="auto" w:fill="auto"/>
            <w:vAlign w:val="center"/>
          </w:tcPr>
          <w:p w14:paraId="42A10BD9" w14:textId="77777777" w:rsidR="00BB68E1" w:rsidRDefault="00BB68E1">
            <w:pPr>
              <w:rPr>
                <w:rFonts w:ascii="Times New Roman" w:hAnsi="Times New Roman"/>
                <w:sz w:val="20"/>
                <w:szCs w:val="20"/>
              </w:rPr>
            </w:pPr>
          </w:p>
        </w:tc>
        <w:tc>
          <w:tcPr>
            <w:tcW w:w="900" w:type="pct"/>
            <w:shd w:val="clear" w:color="auto" w:fill="auto"/>
            <w:vAlign w:val="center"/>
          </w:tcPr>
          <w:p w14:paraId="42A10BDA" w14:textId="77777777" w:rsidR="00BB68E1" w:rsidRDefault="00BB68E1">
            <w:pPr>
              <w:rPr>
                <w:rFonts w:ascii="Times New Roman" w:hAnsi="Times New Roman"/>
                <w:sz w:val="20"/>
                <w:szCs w:val="20"/>
              </w:rPr>
            </w:pPr>
          </w:p>
        </w:tc>
      </w:tr>
      <w:tr w:rsidR="00BB68E1" w14:paraId="42A10BE0" w14:textId="77777777">
        <w:trPr>
          <w:jc w:val="center"/>
        </w:trPr>
        <w:tc>
          <w:tcPr>
            <w:tcW w:w="0" w:type="auto"/>
            <w:shd w:val="clear" w:color="auto" w:fill="auto"/>
            <w:tcMar>
              <w:top w:w="40" w:type="dxa"/>
              <w:left w:w="40" w:type="dxa"/>
              <w:bottom w:w="40" w:type="dxa"/>
              <w:right w:w="40" w:type="dxa"/>
            </w:tcMar>
            <w:vAlign w:val="bottom"/>
          </w:tcPr>
          <w:p w14:paraId="42A10BD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0BDD"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Plus Membership</w:t>
            </w:r>
          </w:p>
        </w:tc>
        <w:tc>
          <w:tcPr>
            <w:tcW w:w="0" w:type="auto"/>
            <w:shd w:val="clear" w:color="auto" w:fill="auto"/>
            <w:tcMar>
              <w:top w:w="40" w:type="dxa"/>
              <w:left w:w="40" w:type="dxa"/>
              <w:bottom w:w="40" w:type="dxa"/>
              <w:right w:w="40" w:type="dxa"/>
            </w:tcMar>
            <w:vAlign w:val="bottom"/>
          </w:tcPr>
          <w:p w14:paraId="42A10BD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0BD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Club Membership</w:t>
            </w:r>
          </w:p>
        </w:tc>
      </w:tr>
      <w:tr w:rsidR="00BB68E1" w14:paraId="42A10BE5" w14:textId="77777777">
        <w:trPr>
          <w:jc w:val="center"/>
        </w:trPr>
        <w:tc>
          <w:tcPr>
            <w:tcW w:w="0" w:type="auto"/>
            <w:shd w:val="clear" w:color="auto" w:fill="CCEEFF"/>
            <w:tcMar>
              <w:top w:w="40" w:type="dxa"/>
              <w:left w:w="40" w:type="dxa"/>
              <w:bottom w:w="40" w:type="dxa"/>
              <w:right w:w="40" w:type="dxa"/>
            </w:tcMar>
            <w:vAlign w:val="bottom"/>
          </w:tcPr>
          <w:p w14:paraId="42A10BE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xml:space="preserve">Annual </w:t>
            </w:r>
            <w:r>
              <w:rPr>
                <w:rFonts w:ascii="Times New Roman" w:eastAsia="宋体" w:hAnsi="Times New Roman"/>
                <w:sz w:val="16"/>
                <w:szCs w:val="16"/>
              </w:rPr>
              <w:t>Membership Fee</w:t>
            </w:r>
          </w:p>
        </w:tc>
        <w:tc>
          <w:tcPr>
            <w:tcW w:w="0" w:type="auto"/>
            <w:shd w:val="clear" w:color="auto" w:fill="CCEEFF"/>
            <w:tcMar>
              <w:top w:w="40" w:type="dxa"/>
              <w:left w:w="40" w:type="dxa"/>
              <w:bottom w:w="40" w:type="dxa"/>
              <w:right w:w="40" w:type="dxa"/>
            </w:tcMar>
            <w:vAlign w:val="bottom"/>
          </w:tcPr>
          <w:p w14:paraId="42A10BE2"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$100</w:t>
            </w:r>
          </w:p>
        </w:tc>
        <w:tc>
          <w:tcPr>
            <w:tcW w:w="0" w:type="auto"/>
            <w:shd w:val="clear" w:color="auto" w:fill="CCEEFF"/>
            <w:tcMar>
              <w:top w:w="40" w:type="dxa"/>
              <w:left w:w="40" w:type="dxa"/>
              <w:bottom w:w="40" w:type="dxa"/>
              <w:right w:w="40" w:type="dxa"/>
            </w:tcMar>
            <w:vAlign w:val="bottom"/>
          </w:tcPr>
          <w:p w14:paraId="42A10BE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0BE4"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$45</w:t>
            </w:r>
          </w:p>
        </w:tc>
      </w:tr>
      <w:tr w:rsidR="00BB68E1" w14:paraId="42A10BEA" w14:textId="77777777">
        <w:trPr>
          <w:jc w:val="center"/>
        </w:trPr>
        <w:tc>
          <w:tcPr>
            <w:tcW w:w="0" w:type="auto"/>
            <w:shd w:val="clear" w:color="auto" w:fill="auto"/>
            <w:tcMar>
              <w:top w:w="40" w:type="dxa"/>
              <w:left w:w="40" w:type="dxa"/>
              <w:bottom w:w="40" w:type="dxa"/>
              <w:right w:w="40" w:type="dxa"/>
            </w:tcMar>
            <w:vAlign w:val="bottom"/>
          </w:tcPr>
          <w:p w14:paraId="42A10BE6"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Number of Add-on Memberships ($40 each)</w:t>
            </w:r>
          </w:p>
        </w:tc>
        <w:tc>
          <w:tcPr>
            <w:tcW w:w="0" w:type="auto"/>
            <w:shd w:val="clear" w:color="auto" w:fill="auto"/>
            <w:tcMar>
              <w:top w:w="40" w:type="dxa"/>
              <w:left w:w="40" w:type="dxa"/>
              <w:bottom w:w="40" w:type="dxa"/>
              <w:right w:w="40" w:type="dxa"/>
            </w:tcMar>
            <w:vAlign w:val="bottom"/>
          </w:tcPr>
          <w:p w14:paraId="42A10BE7"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Up to 16</w:t>
            </w:r>
          </w:p>
        </w:tc>
        <w:tc>
          <w:tcPr>
            <w:tcW w:w="0" w:type="auto"/>
            <w:shd w:val="clear" w:color="auto" w:fill="auto"/>
            <w:tcMar>
              <w:top w:w="40" w:type="dxa"/>
              <w:left w:w="40" w:type="dxa"/>
              <w:bottom w:w="40" w:type="dxa"/>
              <w:right w:w="40" w:type="dxa"/>
            </w:tcMar>
            <w:vAlign w:val="bottom"/>
          </w:tcPr>
          <w:p w14:paraId="42A10BE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BE9"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Up to 8</w:t>
            </w:r>
          </w:p>
        </w:tc>
      </w:tr>
      <w:tr w:rsidR="00BB68E1" w14:paraId="42A10BEF" w14:textId="77777777">
        <w:trPr>
          <w:jc w:val="center"/>
        </w:trPr>
        <w:tc>
          <w:tcPr>
            <w:tcW w:w="0" w:type="auto"/>
            <w:shd w:val="clear" w:color="auto" w:fill="CCEEFF"/>
            <w:tcMar>
              <w:top w:w="40" w:type="dxa"/>
              <w:left w:w="40" w:type="dxa"/>
              <w:bottom w:w="40" w:type="dxa"/>
              <w:right w:w="40" w:type="dxa"/>
            </w:tcMar>
            <w:vAlign w:val="bottom"/>
          </w:tcPr>
          <w:p w14:paraId="42A10BEB"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Eligible for Cash Rewards</w:t>
            </w:r>
          </w:p>
        </w:tc>
        <w:tc>
          <w:tcPr>
            <w:tcW w:w="0" w:type="auto"/>
            <w:shd w:val="clear" w:color="auto" w:fill="CCEEFF"/>
            <w:tcMar>
              <w:top w:w="40" w:type="dxa"/>
              <w:left w:w="40" w:type="dxa"/>
              <w:bottom w:w="40" w:type="dxa"/>
              <w:right w:w="40" w:type="dxa"/>
            </w:tcMar>
            <w:vAlign w:val="bottom"/>
          </w:tcPr>
          <w:p w14:paraId="42A10BEC"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Yes</w:t>
            </w:r>
          </w:p>
        </w:tc>
        <w:tc>
          <w:tcPr>
            <w:tcW w:w="0" w:type="auto"/>
            <w:shd w:val="clear" w:color="auto" w:fill="CCEEFF"/>
            <w:tcMar>
              <w:top w:w="40" w:type="dxa"/>
              <w:left w:w="40" w:type="dxa"/>
              <w:bottom w:w="40" w:type="dxa"/>
              <w:right w:w="40" w:type="dxa"/>
            </w:tcMar>
            <w:vAlign w:val="bottom"/>
          </w:tcPr>
          <w:p w14:paraId="42A10BE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0BEE"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No</w:t>
            </w:r>
          </w:p>
        </w:tc>
      </w:tr>
    </w:tbl>
    <w:p w14:paraId="42A10BF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All memberships include a spouse/household card at no additional cost. Plus Members are eligible for Cash Rewards, which is a benefit that provides 2% back on qualifying Sam's Club purchases up to a $500 cash reward annually. The amount earned can be used </w:t>
      </w:r>
      <w:r>
        <w:rPr>
          <w:rFonts w:ascii="Times New Roman" w:eastAsia="宋体" w:hAnsi="Times New Roman"/>
          <w:sz w:val="20"/>
          <w:szCs w:val="20"/>
        </w:rPr>
        <w:t xml:space="preserve">for purchases, membership fees or redeemed for cash. Plus Members are also eligible for Free Shipping on the majority of merchandise, with no minimum order size, and receive discounts on prescriptions and glasses. </w:t>
      </w:r>
    </w:p>
    <w:p w14:paraId="42A10BF1"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Omni-channel.</w:t>
      </w:r>
      <w:r>
        <w:rPr>
          <w:rFonts w:ascii="Times New Roman" w:eastAsia="宋体" w:hAnsi="Times New Roman"/>
          <w:sz w:val="20"/>
          <w:szCs w:val="20"/>
        </w:rPr>
        <w:t xml:space="preserve"> While Sam's Club is a membe</w:t>
      </w:r>
      <w:r>
        <w:rPr>
          <w:rFonts w:ascii="Times New Roman" w:eastAsia="宋体" w:hAnsi="Times New Roman"/>
          <w:sz w:val="20"/>
          <w:szCs w:val="20"/>
        </w:rPr>
        <w:t>rship-only warehouse club, it provides an omni-channel experience to customers, integrating retail stores and eCommerce. The warehouse facility sizes generally range between 32,000 and 168,000 square feet, with an average size of approximately 134,000 squa</w:t>
      </w:r>
      <w:r>
        <w:rPr>
          <w:rFonts w:ascii="Times New Roman" w:eastAsia="宋体" w:hAnsi="Times New Roman"/>
          <w:sz w:val="20"/>
          <w:szCs w:val="20"/>
        </w:rPr>
        <w:t xml:space="preserve">re feet. </w:t>
      </w:r>
    </w:p>
    <w:p w14:paraId="42A10BF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Members have access to a broad assortment of merchandise, including products not found in our clubs, and services online at samsclub.com and through our mobile commerce applications, providing services such as "Club Pickup" or the option of deliv</w:t>
      </w:r>
      <w:r>
        <w:rPr>
          <w:rFonts w:ascii="Times New Roman" w:eastAsia="宋体" w:hAnsi="Times New Roman"/>
          <w:sz w:val="20"/>
          <w:szCs w:val="20"/>
        </w:rPr>
        <w:t>ery direct-to-home.</w:t>
      </w:r>
    </w:p>
    <w:p w14:paraId="42A10BF3"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Merchandise.</w:t>
      </w:r>
      <w:r>
        <w:rPr>
          <w:rFonts w:ascii="Times New Roman" w:eastAsia="宋体" w:hAnsi="Times New Roman"/>
          <w:sz w:val="20"/>
          <w:szCs w:val="20"/>
        </w:rPr>
        <w:t xml:space="preserve"> Sam's Club offers merchandise in the following five merchandise categories: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BF6" w14:textId="77777777">
        <w:trPr>
          <w:tblCellSpacing w:w="0" w:type="dxa"/>
        </w:trPr>
        <w:tc>
          <w:tcPr>
            <w:tcW w:w="960" w:type="dxa"/>
            <w:shd w:val="clear" w:color="auto" w:fill="auto"/>
            <w:vAlign w:val="center"/>
          </w:tcPr>
          <w:p w14:paraId="42A10BF4" w14:textId="77777777" w:rsidR="00BB68E1" w:rsidRDefault="00BB68E1">
            <w:pPr>
              <w:rPr>
                <w:rFonts w:ascii="Times New Roman" w:hAnsi="Times New Roman"/>
                <w:sz w:val="20"/>
                <w:szCs w:val="20"/>
              </w:rPr>
            </w:pPr>
          </w:p>
        </w:tc>
        <w:tc>
          <w:tcPr>
            <w:tcW w:w="0" w:type="auto"/>
            <w:shd w:val="clear" w:color="auto" w:fill="auto"/>
            <w:vAlign w:val="center"/>
          </w:tcPr>
          <w:p w14:paraId="42A10BF5" w14:textId="77777777" w:rsidR="00BB68E1" w:rsidRDefault="00BB68E1">
            <w:pPr>
              <w:rPr>
                <w:rFonts w:ascii="Times New Roman" w:hAnsi="Times New Roman"/>
                <w:sz w:val="20"/>
                <w:szCs w:val="20"/>
              </w:rPr>
            </w:pPr>
          </w:p>
        </w:tc>
      </w:tr>
      <w:tr w:rsidR="00BB68E1" w14:paraId="42A10BF9" w14:textId="77777777">
        <w:trPr>
          <w:tblCellSpacing w:w="0" w:type="dxa"/>
        </w:trPr>
        <w:tc>
          <w:tcPr>
            <w:tcW w:w="0" w:type="auto"/>
            <w:shd w:val="clear" w:color="auto" w:fill="auto"/>
          </w:tcPr>
          <w:p w14:paraId="42A10BF7"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BF8"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Grocery and consumables includes dairy, meat, bakery, deli, produce, dry, chilled or frozen packaged foods, alcoholic and </w:t>
            </w:r>
            <w:r>
              <w:rPr>
                <w:rFonts w:ascii="Times New Roman" w:eastAsia="宋体" w:hAnsi="Times New Roman"/>
                <w:sz w:val="20"/>
                <w:szCs w:val="20"/>
              </w:rPr>
              <w:t>nonalcoholic beverages, floral, snack foods, candy, other grocery items, health and beauty aids, paper goods, laundry and home care, baby care, pet supplies and other consumable items;</w:t>
            </w:r>
          </w:p>
        </w:tc>
      </w:tr>
    </w:tbl>
    <w:p w14:paraId="42A10BFA"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BFD" w14:textId="77777777">
        <w:trPr>
          <w:tblCellSpacing w:w="0" w:type="dxa"/>
        </w:trPr>
        <w:tc>
          <w:tcPr>
            <w:tcW w:w="960" w:type="dxa"/>
            <w:shd w:val="clear" w:color="auto" w:fill="auto"/>
            <w:vAlign w:val="center"/>
          </w:tcPr>
          <w:p w14:paraId="42A10BFB" w14:textId="77777777" w:rsidR="00BB68E1" w:rsidRDefault="00BB68E1">
            <w:pPr>
              <w:rPr>
                <w:rFonts w:ascii="Times New Roman" w:hAnsi="Times New Roman"/>
                <w:sz w:val="20"/>
                <w:szCs w:val="20"/>
              </w:rPr>
            </w:pPr>
          </w:p>
        </w:tc>
        <w:tc>
          <w:tcPr>
            <w:tcW w:w="0" w:type="auto"/>
            <w:shd w:val="clear" w:color="auto" w:fill="auto"/>
            <w:vAlign w:val="center"/>
          </w:tcPr>
          <w:p w14:paraId="42A10BFC" w14:textId="77777777" w:rsidR="00BB68E1" w:rsidRDefault="00BB68E1">
            <w:pPr>
              <w:rPr>
                <w:rFonts w:ascii="Times New Roman" w:hAnsi="Times New Roman"/>
                <w:sz w:val="20"/>
                <w:szCs w:val="20"/>
              </w:rPr>
            </w:pPr>
          </w:p>
        </w:tc>
      </w:tr>
      <w:tr w:rsidR="00BB68E1" w14:paraId="42A10C00" w14:textId="77777777">
        <w:trPr>
          <w:tblCellSpacing w:w="0" w:type="dxa"/>
        </w:trPr>
        <w:tc>
          <w:tcPr>
            <w:tcW w:w="0" w:type="auto"/>
            <w:shd w:val="clear" w:color="auto" w:fill="auto"/>
          </w:tcPr>
          <w:p w14:paraId="42A10BFE"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BFF"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Fuel, tobacco and other categories consists of gasoline </w:t>
            </w:r>
            <w:r>
              <w:rPr>
                <w:rFonts w:ascii="Times New Roman" w:eastAsia="宋体" w:hAnsi="Times New Roman"/>
                <w:sz w:val="20"/>
                <w:szCs w:val="20"/>
              </w:rPr>
              <w:t>stations, tobacco, tools and power equipment, and tire and battery centers;</w:t>
            </w:r>
          </w:p>
        </w:tc>
      </w:tr>
    </w:tbl>
    <w:p w14:paraId="42A10C01"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C04" w14:textId="77777777">
        <w:trPr>
          <w:tblCellSpacing w:w="0" w:type="dxa"/>
        </w:trPr>
        <w:tc>
          <w:tcPr>
            <w:tcW w:w="960" w:type="dxa"/>
            <w:shd w:val="clear" w:color="auto" w:fill="auto"/>
            <w:vAlign w:val="center"/>
          </w:tcPr>
          <w:p w14:paraId="42A10C02" w14:textId="77777777" w:rsidR="00BB68E1" w:rsidRDefault="00BB68E1">
            <w:pPr>
              <w:rPr>
                <w:rFonts w:ascii="Times New Roman" w:hAnsi="Times New Roman"/>
                <w:sz w:val="20"/>
                <w:szCs w:val="20"/>
              </w:rPr>
            </w:pPr>
          </w:p>
        </w:tc>
        <w:tc>
          <w:tcPr>
            <w:tcW w:w="0" w:type="auto"/>
            <w:shd w:val="clear" w:color="auto" w:fill="auto"/>
            <w:vAlign w:val="center"/>
          </w:tcPr>
          <w:p w14:paraId="42A10C03" w14:textId="77777777" w:rsidR="00BB68E1" w:rsidRDefault="00BB68E1">
            <w:pPr>
              <w:rPr>
                <w:rFonts w:ascii="Times New Roman" w:hAnsi="Times New Roman"/>
                <w:sz w:val="20"/>
                <w:szCs w:val="20"/>
              </w:rPr>
            </w:pPr>
          </w:p>
        </w:tc>
      </w:tr>
      <w:tr w:rsidR="00BB68E1" w14:paraId="42A10C07" w14:textId="77777777">
        <w:trPr>
          <w:tblCellSpacing w:w="0" w:type="dxa"/>
        </w:trPr>
        <w:tc>
          <w:tcPr>
            <w:tcW w:w="0" w:type="auto"/>
            <w:shd w:val="clear" w:color="auto" w:fill="auto"/>
          </w:tcPr>
          <w:p w14:paraId="42A10C05"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C06"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Home and apparel includes home improvement, outdoor living, grills, gardening, furniture, apparel, jewelry, housewares, toys, seasonal items, mattresses and small </w:t>
            </w:r>
            <w:r>
              <w:rPr>
                <w:rFonts w:ascii="Times New Roman" w:eastAsia="宋体" w:hAnsi="Times New Roman"/>
                <w:sz w:val="20"/>
                <w:szCs w:val="20"/>
              </w:rPr>
              <w:t>appliances;</w:t>
            </w:r>
          </w:p>
        </w:tc>
      </w:tr>
    </w:tbl>
    <w:p w14:paraId="42A10C08"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C0B" w14:textId="77777777">
        <w:trPr>
          <w:tblCellSpacing w:w="0" w:type="dxa"/>
        </w:trPr>
        <w:tc>
          <w:tcPr>
            <w:tcW w:w="960" w:type="dxa"/>
            <w:shd w:val="clear" w:color="auto" w:fill="auto"/>
            <w:vAlign w:val="center"/>
          </w:tcPr>
          <w:p w14:paraId="42A10C09" w14:textId="77777777" w:rsidR="00BB68E1" w:rsidRDefault="00BB68E1">
            <w:pPr>
              <w:rPr>
                <w:rFonts w:ascii="Times New Roman" w:hAnsi="Times New Roman"/>
                <w:sz w:val="20"/>
                <w:szCs w:val="20"/>
              </w:rPr>
            </w:pPr>
          </w:p>
        </w:tc>
        <w:tc>
          <w:tcPr>
            <w:tcW w:w="0" w:type="auto"/>
            <w:shd w:val="clear" w:color="auto" w:fill="auto"/>
            <w:vAlign w:val="center"/>
          </w:tcPr>
          <w:p w14:paraId="42A10C0A" w14:textId="77777777" w:rsidR="00BB68E1" w:rsidRDefault="00BB68E1">
            <w:pPr>
              <w:rPr>
                <w:rFonts w:ascii="Times New Roman" w:hAnsi="Times New Roman"/>
                <w:sz w:val="20"/>
                <w:szCs w:val="20"/>
              </w:rPr>
            </w:pPr>
          </w:p>
        </w:tc>
      </w:tr>
      <w:tr w:rsidR="00BB68E1" w14:paraId="42A10C0E" w14:textId="77777777">
        <w:trPr>
          <w:tblCellSpacing w:w="0" w:type="dxa"/>
        </w:trPr>
        <w:tc>
          <w:tcPr>
            <w:tcW w:w="0" w:type="auto"/>
            <w:shd w:val="clear" w:color="auto" w:fill="auto"/>
          </w:tcPr>
          <w:p w14:paraId="42A10C0C"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C0D"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Technology, office and entertainment includes electronics, wireless, software, video games, movies, books, music, office supplies, office furniture, photo processing and third-party gift cards; and</w:t>
            </w:r>
          </w:p>
        </w:tc>
      </w:tr>
    </w:tbl>
    <w:p w14:paraId="42A10C0F"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0C12" w14:textId="77777777">
        <w:trPr>
          <w:tblCellSpacing w:w="0" w:type="dxa"/>
        </w:trPr>
        <w:tc>
          <w:tcPr>
            <w:tcW w:w="960" w:type="dxa"/>
            <w:shd w:val="clear" w:color="auto" w:fill="auto"/>
            <w:vAlign w:val="center"/>
          </w:tcPr>
          <w:p w14:paraId="42A10C10" w14:textId="77777777" w:rsidR="00BB68E1" w:rsidRDefault="00BB68E1">
            <w:pPr>
              <w:rPr>
                <w:rFonts w:ascii="Times New Roman" w:hAnsi="Times New Roman"/>
                <w:sz w:val="20"/>
                <w:szCs w:val="20"/>
              </w:rPr>
            </w:pPr>
          </w:p>
        </w:tc>
        <w:tc>
          <w:tcPr>
            <w:tcW w:w="0" w:type="auto"/>
            <w:shd w:val="clear" w:color="auto" w:fill="auto"/>
            <w:vAlign w:val="center"/>
          </w:tcPr>
          <w:p w14:paraId="42A10C11" w14:textId="77777777" w:rsidR="00BB68E1" w:rsidRDefault="00BB68E1">
            <w:pPr>
              <w:rPr>
                <w:rFonts w:ascii="Times New Roman" w:hAnsi="Times New Roman"/>
                <w:sz w:val="20"/>
                <w:szCs w:val="20"/>
              </w:rPr>
            </w:pPr>
          </w:p>
        </w:tc>
      </w:tr>
      <w:tr w:rsidR="00BB68E1" w14:paraId="42A10C15" w14:textId="77777777">
        <w:trPr>
          <w:tblCellSpacing w:w="0" w:type="dxa"/>
        </w:trPr>
        <w:tc>
          <w:tcPr>
            <w:tcW w:w="0" w:type="auto"/>
            <w:shd w:val="clear" w:color="auto" w:fill="auto"/>
          </w:tcPr>
          <w:p w14:paraId="42A10C13"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0C14"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Health and wellness </w:t>
            </w:r>
            <w:r>
              <w:rPr>
                <w:rFonts w:ascii="Times New Roman" w:eastAsia="宋体" w:hAnsi="Times New Roman"/>
                <w:sz w:val="20"/>
                <w:szCs w:val="20"/>
              </w:rPr>
              <w:t>includes pharmacy, optical and hearing services and over-the-counter drugs.</w:t>
            </w:r>
          </w:p>
        </w:tc>
      </w:tr>
    </w:tbl>
    <w:p w14:paraId="42A10C1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addition, the Member's Mark private label brand continues to expand assortment and deliver member value.</w:t>
      </w:r>
    </w:p>
    <w:p w14:paraId="42A10C17"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lastRenderedPageBreak/>
        <w:t>Operations.</w:t>
      </w:r>
      <w:r>
        <w:rPr>
          <w:rFonts w:ascii="Times New Roman" w:eastAsia="宋体" w:hAnsi="Times New Roman"/>
          <w:sz w:val="20"/>
          <w:szCs w:val="20"/>
        </w:rPr>
        <w:t xml:space="preserve"> Operating hours for Sam's Clubs are generally Monday throug</w:t>
      </w:r>
      <w:r>
        <w:rPr>
          <w:rFonts w:ascii="Times New Roman" w:eastAsia="宋体" w:hAnsi="Times New Roman"/>
          <w:sz w:val="20"/>
          <w:szCs w:val="20"/>
        </w:rPr>
        <w:t>h Friday from 10:00 a.m. to 8:30 p.m., Saturday from 9:00 a.m. to 8:30 p.m. and Sunday from 10:00 a.m. to 6:00 p.m. Additionally, most club locations offer Plus Members the ability to shop before the regular operating hours Monday through Saturday, startin</w:t>
      </w:r>
      <w:r>
        <w:rPr>
          <w:rFonts w:ascii="Times New Roman" w:eastAsia="宋体" w:hAnsi="Times New Roman"/>
          <w:sz w:val="20"/>
          <w:szCs w:val="20"/>
        </w:rPr>
        <w:t>g at 7:00 a.m. A variety of payment methods are accepted. Consistent with its strategy, Sam's Club continues to develop technology tools to drive a great member experience in club. For example, Sam's Garage, a new application in its tire and battery busine</w:t>
      </w:r>
      <w:r>
        <w:rPr>
          <w:rFonts w:ascii="Times New Roman" w:eastAsia="宋体" w:hAnsi="Times New Roman"/>
          <w:sz w:val="20"/>
          <w:szCs w:val="20"/>
        </w:rPr>
        <w:t>ss, is leveraging technology in new ways to provide a personalized and efficient shopping experience. Sam's Club also offers "Scan and Go," a mobile checkout and payment solution, which allows members to bypass the checkout line.</w:t>
      </w:r>
    </w:p>
    <w:p w14:paraId="42A10C18"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Seasonal Aspects of Operat</w:t>
      </w:r>
      <w:r>
        <w:rPr>
          <w:rFonts w:ascii="Times New Roman" w:eastAsia="宋体" w:hAnsi="Times New Roman"/>
          <w:b/>
          <w:bCs/>
          <w:sz w:val="20"/>
          <w:szCs w:val="20"/>
          <w:u w:val="single"/>
        </w:rPr>
        <w:t>ions.</w:t>
      </w:r>
      <w:r>
        <w:rPr>
          <w:rFonts w:ascii="Times New Roman" w:eastAsia="宋体" w:hAnsi="Times New Roman"/>
          <w:sz w:val="20"/>
          <w:szCs w:val="20"/>
        </w:rPr>
        <w:t xml:space="preserve"> Sam's Club's business is seasonal to a certain extent due to calendar events and national and religious holidays, as well as different weather patterns. Historically, its highest sales volume has occurred in the fiscal quarter ending January 31.</w:t>
      </w:r>
    </w:p>
    <w:p w14:paraId="42A10C19"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Comp</w:t>
      </w:r>
      <w:r>
        <w:rPr>
          <w:rFonts w:ascii="Times New Roman" w:eastAsia="宋体" w:hAnsi="Times New Roman"/>
          <w:b/>
          <w:bCs/>
          <w:sz w:val="20"/>
          <w:szCs w:val="20"/>
          <w:u w:val="single"/>
        </w:rPr>
        <w:t>etition.</w:t>
      </w:r>
      <w:r>
        <w:rPr>
          <w:rFonts w:ascii="Times New Roman" w:eastAsia="宋体" w:hAnsi="Times New Roman"/>
          <w:sz w:val="20"/>
          <w:szCs w:val="20"/>
        </w:rPr>
        <w:t xml:space="preserve"> Sam's Club competes with other membership-only warehouse clubs, the largest of which is Costco, as well as with discount retailers, retail and wholesale grocers, general merchandise wholesalers and distributors, gasoline stations as well as omni-c</w:t>
      </w:r>
      <w:r>
        <w:rPr>
          <w:rFonts w:ascii="Times New Roman" w:eastAsia="宋体" w:hAnsi="Times New Roman"/>
          <w:sz w:val="20"/>
          <w:szCs w:val="20"/>
        </w:rPr>
        <w:t>hannel and eCommerce retailers and catalog businesses. At Sam's Club, we provide value at members-only prices, a quality merchandise assortment, and bulk sizing to serve both our Plus and Club members. Our eCommerce website and mobile commerce applications</w:t>
      </w:r>
      <w:r>
        <w:rPr>
          <w:rFonts w:ascii="Times New Roman" w:eastAsia="宋体" w:hAnsi="Times New Roman"/>
          <w:sz w:val="20"/>
          <w:szCs w:val="20"/>
        </w:rPr>
        <w:t xml:space="preserve"> have increasingly become important factors in our ability to compete.</w:t>
      </w:r>
    </w:p>
    <w:p w14:paraId="42A10C1A"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Distribution.</w:t>
      </w:r>
      <w:r>
        <w:rPr>
          <w:rFonts w:ascii="Times New Roman" w:eastAsia="宋体" w:hAnsi="Times New Roman"/>
          <w:sz w:val="20"/>
          <w:szCs w:val="20"/>
        </w:rPr>
        <w:t xml:space="preserve"> During fiscal 2020, approximately 73% of Sam's Club's non-fuel club purchases were shipped from Sam's Club's 25 dedicated distribution facilities, located strategically th</w:t>
      </w:r>
      <w:r>
        <w:rPr>
          <w:rFonts w:ascii="Times New Roman" w:eastAsia="宋体" w:hAnsi="Times New Roman"/>
          <w:sz w:val="20"/>
          <w:szCs w:val="20"/>
        </w:rPr>
        <w:t xml:space="preserve">roughout the U.S., or from some of the Walmart U.S. segment's distribution facilities, which service the Sam's Club segment for certain items. Suppliers shipped the balance of the Sam's Club segment's club purchases directly to Sam's Club locations. Sam's </w:t>
      </w:r>
      <w:r>
        <w:rPr>
          <w:rFonts w:ascii="Times New Roman" w:eastAsia="宋体" w:hAnsi="Times New Roman"/>
          <w:sz w:val="20"/>
          <w:szCs w:val="20"/>
        </w:rPr>
        <w:t>Club ships merchandise purchased on samsclub.com and through its mobile commerce applications by a number of methods including shipments made directly from Clubs, nine dedicated eCommerce fulfillment centers, two dedicated import facilities and other distr</w:t>
      </w:r>
      <w:r>
        <w:rPr>
          <w:rFonts w:ascii="Times New Roman" w:eastAsia="宋体" w:hAnsi="Times New Roman"/>
          <w:sz w:val="20"/>
          <w:szCs w:val="20"/>
        </w:rPr>
        <w:t xml:space="preserve">ibution centers. </w:t>
      </w:r>
    </w:p>
    <w:p w14:paraId="42A10C1B" w14:textId="77777777" w:rsidR="00BB68E1" w:rsidRDefault="00BB68E1">
      <w:pPr>
        <w:rPr>
          <w:rFonts w:ascii="Times New Roman" w:hAnsi="Times New Roman"/>
          <w:sz w:val="20"/>
          <w:szCs w:val="20"/>
        </w:rPr>
      </w:pPr>
    </w:p>
    <w:p w14:paraId="42A10C1C"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11</w:t>
      </w:r>
    </w:p>
    <w:p w14:paraId="42A10C1D" w14:textId="77777777" w:rsidR="00BB68E1" w:rsidRDefault="00BB68E1">
      <w:pPr>
        <w:spacing w:line="288" w:lineRule="auto"/>
        <w:jc w:val="center"/>
        <w:rPr>
          <w:rFonts w:ascii="Times New Roman" w:hAnsi="Times New Roman"/>
          <w:sz w:val="20"/>
          <w:szCs w:val="20"/>
        </w:rPr>
      </w:pPr>
    </w:p>
    <w:p w14:paraId="42A10C1E" w14:textId="77777777" w:rsidR="00BB68E1" w:rsidRDefault="005D2D5E">
      <w:r>
        <w:rPr>
          <w:rFonts w:ascii="Times New Roman" w:hAnsi="Times New Roman"/>
          <w:sz w:val="20"/>
          <w:szCs w:val="20"/>
        </w:rPr>
        <w:pict w14:anchorId="42A14280">
          <v:rect id="_x0000_i1035" style="width:415.3pt;height:1.5pt" o:hralign="center" o:hrstd="t" o:hr="t" fillcolor="#a0a0a0" stroked="f"/>
        </w:pict>
      </w:r>
    </w:p>
    <w:p w14:paraId="42A10C1F" w14:textId="77777777" w:rsidR="00BB68E1" w:rsidRDefault="00BB68E1">
      <w:pPr>
        <w:rPr>
          <w:rFonts w:ascii="Times New Roman" w:hAnsi="Times New Roman"/>
          <w:sz w:val="20"/>
          <w:szCs w:val="20"/>
        </w:rPr>
      </w:pPr>
    </w:p>
    <w:p w14:paraId="42A10C2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Sam's Club uses a combination of our private truck fleet, as well as common carriers, to transport non-perishable merchandise from distribution facilities to clubs. The segment contracts with common carriers to transport </w:t>
      </w:r>
      <w:r>
        <w:rPr>
          <w:rFonts w:ascii="Times New Roman" w:eastAsia="宋体" w:hAnsi="Times New Roman"/>
          <w:sz w:val="20"/>
          <w:szCs w:val="20"/>
        </w:rPr>
        <w:t>perishable grocery merchandise from distribution facilities to clubs.</w:t>
      </w:r>
    </w:p>
    <w:p w14:paraId="42A10C21"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Intellectual Property</w:t>
      </w:r>
    </w:p>
    <w:p w14:paraId="42A10C2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We regard our trademarks, service marks, copyrights, patents, domain names, trade dress, trade secrets, proprietary technologies, and similar intellectual property </w:t>
      </w:r>
      <w:r>
        <w:rPr>
          <w:rFonts w:ascii="Times New Roman" w:eastAsia="宋体" w:hAnsi="Times New Roman"/>
          <w:sz w:val="20"/>
          <w:szCs w:val="20"/>
        </w:rPr>
        <w:t>as important to our success, and with respect to our associates, customers and others, we rely on trademark, copyright, and patent law, trade-secret protection, and confidentiality and/or license agreements to protect our proprietary rights. We have regist</w:t>
      </w:r>
      <w:r>
        <w:rPr>
          <w:rFonts w:ascii="Times New Roman" w:eastAsia="宋体" w:hAnsi="Times New Roman"/>
          <w:sz w:val="20"/>
          <w:szCs w:val="20"/>
        </w:rPr>
        <w:t>ered, or applied for the registration of, a number of U.S. and international domain names, trademarks, service marks and copyrights. Additionally, we have filed U.S. and international patent applications covering certain of our proprietary technology. We h</w:t>
      </w:r>
      <w:r>
        <w:rPr>
          <w:rFonts w:ascii="Times New Roman" w:eastAsia="宋体" w:hAnsi="Times New Roman"/>
          <w:sz w:val="20"/>
          <w:szCs w:val="20"/>
        </w:rPr>
        <w:t>ave licensed in the past, and expect that we may license in the future, certain of our proprietary rights to third parties.</w:t>
      </w:r>
    </w:p>
    <w:p w14:paraId="42A10C23"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Suppliers and Supply Chain</w:t>
      </w:r>
    </w:p>
    <w:p w14:paraId="42A10C2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As a retailer and warehouse club operator, we utilize a global supply chain that includes over 100,000 su</w:t>
      </w:r>
      <w:r>
        <w:rPr>
          <w:rFonts w:ascii="Times New Roman" w:eastAsia="宋体" w:hAnsi="Times New Roman"/>
          <w:sz w:val="20"/>
          <w:szCs w:val="20"/>
        </w:rPr>
        <w:t>ppliers located around the world, including in the U.S., from whom we purchase the merchandise that we sell in our stores, clubs and online. In many instances, we purchase merchandise from producers located near the stores and clubs in which such merchandi</w:t>
      </w:r>
      <w:r>
        <w:rPr>
          <w:rFonts w:ascii="Times New Roman" w:eastAsia="宋体" w:hAnsi="Times New Roman"/>
          <w:sz w:val="20"/>
          <w:szCs w:val="20"/>
        </w:rPr>
        <w:t>se will be sold, particularly products in the "fresh" category. Our purchases may represent a significant percentage of the annual sales for a number of our suppliers, and the volume of product we acquire from many suppliers allows us to obtain favorable p</w:t>
      </w:r>
      <w:r>
        <w:rPr>
          <w:rFonts w:ascii="Times New Roman" w:eastAsia="宋体" w:hAnsi="Times New Roman"/>
          <w:sz w:val="20"/>
          <w:szCs w:val="20"/>
        </w:rPr>
        <w:t xml:space="preserve">ricing from such suppliers. Our suppliers are subject to standards of conduct, </w:t>
      </w:r>
      <w:r>
        <w:rPr>
          <w:rFonts w:ascii="Times New Roman" w:eastAsia="宋体" w:hAnsi="Times New Roman"/>
          <w:sz w:val="20"/>
          <w:szCs w:val="20"/>
        </w:rPr>
        <w:lastRenderedPageBreak/>
        <w:t>including requirements that they comply with local labor laws, local worker safety laws and other applicable laws. Our ability to acquire from our suppliers the assortment and v</w:t>
      </w:r>
      <w:r>
        <w:rPr>
          <w:rFonts w:ascii="Times New Roman" w:eastAsia="宋体" w:hAnsi="Times New Roman"/>
          <w:sz w:val="20"/>
          <w:szCs w:val="20"/>
        </w:rPr>
        <w:t>olume of products we wish to offer to our customer, to receive those products within the required time through our supply chain and to distribute those products to our stores and clubs determines, in part, our in-stock levels in our stores and clubs and th</w:t>
      </w:r>
      <w:r>
        <w:rPr>
          <w:rFonts w:ascii="Times New Roman" w:eastAsia="宋体" w:hAnsi="Times New Roman"/>
          <w:sz w:val="20"/>
          <w:szCs w:val="20"/>
        </w:rPr>
        <w:t>e attractiveness of our merchandise assortment we offer to our customers and members.</w:t>
      </w:r>
    </w:p>
    <w:p w14:paraId="42A10C25"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Employees</w:t>
      </w:r>
    </w:p>
    <w:p w14:paraId="42A10C2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As of the end of fiscal 2020, Walmart Inc. and our subsidiaries employed more than 2.2 million employees ("associates") worldwide, with 1.5 million associates i</w:t>
      </w:r>
      <w:r>
        <w:rPr>
          <w:rFonts w:ascii="Times New Roman" w:eastAsia="宋体" w:hAnsi="Times New Roman"/>
          <w:sz w:val="20"/>
          <w:szCs w:val="20"/>
        </w:rPr>
        <w:t>n the U.S. and 0.7 million associates internationally. Similar to other retailers, the Company has a large number of part-time, hourly or non-exempt associates. We believe our relationships with our associates are good. A large number of associates turn ov</w:t>
      </w:r>
      <w:r>
        <w:rPr>
          <w:rFonts w:ascii="Times New Roman" w:eastAsia="宋体" w:hAnsi="Times New Roman"/>
          <w:sz w:val="20"/>
          <w:szCs w:val="20"/>
        </w:rPr>
        <w:t xml:space="preserve">er each year, although Walmart U.S. turnover has improved in recent years as a result of our focus on increasing wages and providing improved tools, technology and training to associates. </w:t>
      </w:r>
    </w:p>
    <w:p w14:paraId="42A10C2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Certain information relating to retirement-related benefits we prov</w:t>
      </w:r>
      <w:r>
        <w:rPr>
          <w:rFonts w:ascii="Times New Roman" w:eastAsia="宋体" w:hAnsi="Times New Roman"/>
          <w:sz w:val="20"/>
          <w:szCs w:val="20"/>
        </w:rPr>
        <w:t xml:space="preserve">ide to our associates is included in </w:t>
      </w:r>
      <w:hyperlink r:id="rId76" w:anchor="s05C5215504E85C4C8AE815B94A409275" w:history="1">
        <w:r>
          <w:rPr>
            <w:rStyle w:val="a5"/>
            <w:rFonts w:ascii="Times New Roman" w:eastAsia="宋体" w:hAnsi="Times New Roman"/>
            <w:sz w:val="20"/>
            <w:szCs w:val="20"/>
          </w:rPr>
          <w:t>Note 11</w:t>
        </w:r>
      </w:hyperlink>
      <w:r>
        <w:rPr>
          <w:rFonts w:ascii="Times New Roman" w:eastAsia="宋体" w:hAnsi="Times New Roman"/>
          <w:sz w:val="20"/>
          <w:szCs w:val="20"/>
        </w:rPr>
        <w:t xml:space="preserve"> to our Consolidated Financial Statements. In addition to retirement-related benefits, in the U.S. we offer a broad range of Company-paid benefits to our associates. These include a store discount card or Sam's Club membership, bonuses based on Company per</w:t>
      </w:r>
      <w:r>
        <w:rPr>
          <w:rFonts w:ascii="Times New Roman" w:eastAsia="宋体" w:hAnsi="Times New Roman"/>
          <w:sz w:val="20"/>
          <w:szCs w:val="20"/>
        </w:rPr>
        <w:t>formance, matching a portion of associate purchases of our stock through our Associate Stock Purchase Plan and life insurance. In addition to the health-care benefits for eligible full-time and part-time associates in the U.S., we offer maternity leave and</w:t>
      </w:r>
      <w:r>
        <w:rPr>
          <w:rFonts w:ascii="Times New Roman" w:eastAsia="宋体" w:hAnsi="Times New Roman"/>
          <w:sz w:val="20"/>
          <w:szCs w:val="20"/>
        </w:rPr>
        <w:t xml:space="preserve"> a paid parental leave program to all full-time associates. We also offer a $5,000 benefit to assist eligible associates with adoption. Additionally, we offer eligible associates tuition assistance towards earning a college degree through "Live Better U," </w:t>
      </w:r>
      <w:r>
        <w:rPr>
          <w:rFonts w:ascii="Times New Roman" w:eastAsia="宋体" w:hAnsi="Times New Roman"/>
          <w:sz w:val="20"/>
          <w:szCs w:val="20"/>
        </w:rPr>
        <w:t>which allows associates to earn a college degree or certificate for the equivalent of $1 per day. Similarly, in our operations outside the U.S., we provide a variety of associate benefits that vary based on customary local practices and statutory requireme</w:t>
      </w:r>
      <w:r>
        <w:rPr>
          <w:rFonts w:ascii="Times New Roman" w:eastAsia="宋体" w:hAnsi="Times New Roman"/>
          <w:sz w:val="20"/>
          <w:szCs w:val="20"/>
        </w:rPr>
        <w:t>nts.</w:t>
      </w:r>
    </w:p>
    <w:p w14:paraId="42A10C28" w14:textId="77777777" w:rsidR="00BB68E1" w:rsidRDefault="00BB68E1">
      <w:pPr>
        <w:rPr>
          <w:rFonts w:ascii="Times New Roman" w:hAnsi="Times New Roman"/>
          <w:sz w:val="20"/>
          <w:szCs w:val="20"/>
        </w:rPr>
      </w:pPr>
    </w:p>
    <w:p w14:paraId="42A10C29"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12</w:t>
      </w:r>
    </w:p>
    <w:p w14:paraId="42A10C2A" w14:textId="77777777" w:rsidR="00BB68E1" w:rsidRDefault="00BB68E1">
      <w:pPr>
        <w:spacing w:line="288" w:lineRule="auto"/>
        <w:jc w:val="center"/>
        <w:rPr>
          <w:rFonts w:ascii="Times New Roman" w:hAnsi="Times New Roman"/>
          <w:sz w:val="20"/>
          <w:szCs w:val="20"/>
        </w:rPr>
      </w:pPr>
    </w:p>
    <w:p w14:paraId="42A10C2B" w14:textId="77777777" w:rsidR="00BB68E1" w:rsidRDefault="005D2D5E">
      <w:r>
        <w:rPr>
          <w:rFonts w:ascii="Times New Roman" w:hAnsi="Times New Roman"/>
          <w:sz w:val="20"/>
          <w:szCs w:val="20"/>
        </w:rPr>
        <w:pict w14:anchorId="42A14281">
          <v:rect id="_x0000_i1036" style="width:415.3pt;height:1.5pt" o:hralign="center" o:hrstd="t" o:hr="t" fillcolor="#a0a0a0" stroked="f"/>
        </w:pict>
      </w:r>
    </w:p>
    <w:p w14:paraId="42A10C2C" w14:textId="77777777" w:rsidR="00BB68E1" w:rsidRDefault="00BB68E1">
      <w:pPr>
        <w:rPr>
          <w:rFonts w:ascii="Times New Roman" w:hAnsi="Times New Roman"/>
          <w:sz w:val="20"/>
          <w:szCs w:val="20"/>
        </w:rPr>
      </w:pPr>
    </w:p>
    <w:p w14:paraId="42A10C2D"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 xml:space="preserve">Information About Our Executive Officers </w:t>
      </w:r>
    </w:p>
    <w:p w14:paraId="42A10C2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following chart names the executive officers of the Company as of the date of the filing of this Annual Report on Form 10-K with the SEC, each of whom is elected by and serves at the pleasure of th</w:t>
      </w:r>
      <w:r>
        <w:rPr>
          <w:rFonts w:ascii="Times New Roman" w:eastAsia="宋体" w:hAnsi="Times New Roman"/>
          <w:sz w:val="20"/>
          <w:szCs w:val="20"/>
        </w:rPr>
        <w:t>e Board of Directors. The business experience shown for each officer has been his or her principal occupation for at least the past five years, unless otherwise noted.</w:t>
      </w:r>
    </w:p>
    <w:tbl>
      <w:tblPr>
        <w:tblW w:w="5000" w:type="pct"/>
        <w:tblCellMar>
          <w:left w:w="0" w:type="dxa"/>
          <w:right w:w="0" w:type="dxa"/>
        </w:tblCellMar>
        <w:tblLook w:val="04A0" w:firstRow="1" w:lastRow="0" w:firstColumn="1" w:lastColumn="0" w:noHBand="0" w:noVBand="1"/>
      </w:tblPr>
      <w:tblGrid>
        <w:gridCol w:w="1608"/>
        <w:gridCol w:w="130"/>
        <w:gridCol w:w="5140"/>
        <w:gridCol w:w="130"/>
        <w:gridCol w:w="821"/>
        <w:gridCol w:w="130"/>
        <w:gridCol w:w="261"/>
        <w:gridCol w:w="86"/>
      </w:tblGrid>
      <w:tr w:rsidR="00BB68E1" w14:paraId="42A10C30" w14:textId="77777777">
        <w:tc>
          <w:tcPr>
            <w:tcW w:w="0" w:type="auto"/>
            <w:gridSpan w:val="8"/>
            <w:shd w:val="clear" w:color="auto" w:fill="auto"/>
            <w:vAlign w:val="center"/>
          </w:tcPr>
          <w:p w14:paraId="42A10C2F" w14:textId="77777777" w:rsidR="00BB68E1" w:rsidRDefault="00BB68E1">
            <w:pPr>
              <w:rPr>
                <w:rFonts w:ascii="Times New Roman" w:hAnsi="Times New Roman"/>
                <w:sz w:val="20"/>
                <w:szCs w:val="20"/>
              </w:rPr>
            </w:pPr>
          </w:p>
        </w:tc>
      </w:tr>
      <w:tr w:rsidR="00BB68E1" w14:paraId="42A10C39" w14:textId="77777777">
        <w:tc>
          <w:tcPr>
            <w:tcW w:w="950" w:type="pct"/>
            <w:shd w:val="clear" w:color="auto" w:fill="auto"/>
            <w:vAlign w:val="center"/>
          </w:tcPr>
          <w:p w14:paraId="42A10C31" w14:textId="77777777" w:rsidR="00BB68E1" w:rsidRDefault="00BB68E1">
            <w:pPr>
              <w:rPr>
                <w:rFonts w:ascii="Times New Roman" w:hAnsi="Times New Roman"/>
                <w:sz w:val="20"/>
                <w:szCs w:val="20"/>
              </w:rPr>
            </w:pPr>
          </w:p>
        </w:tc>
        <w:tc>
          <w:tcPr>
            <w:tcW w:w="50" w:type="pct"/>
            <w:shd w:val="clear" w:color="auto" w:fill="auto"/>
            <w:vAlign w:val="center"/>
          </w:tcPr>
          <w:p w14:paraId="42A10C32" w14:textId="77777777" w:rsidR="00BB68E1" w:rsidRDefault="00BB68E1">
            <w:pPr>
              <w:rPr>
                <w:rFonts w:ascii="Times New Roman" w:hAnsi="Times New Roman"/>
                <w:sz w:val="20"/>
                <w:szCs w:val="20"/>
              </w:rPr>
            </w:pPr>
          </w:p>
        </w:tc>
        <w:tc>
          <w:tcPr>
            <w:tcW w:w="3150" w:type="pct"/>
            <w:shd w:val="clear" w:color="auto" w:fill="auto"/>
            <w:vAlign w:val="center"/>
          </w:tcPr>
          <w:p w14:paraId="42A10C33" w14:textId="77777777" w:rsidR="00BB68E1" w:rsidRDefault="00BB68E1">
            <w:pPr>
              <w:rPr>
                <w:rFonts w:ascii="Times New Roman" w:hAnsi="Times New Roman"/>
                <w:sz w:val="20"/>
                <w:szCs w:val="20"/>
              </w:rPr>
            </w:pPr>
          </w:p>
        </w:tc>
        <w:tc>
          <w:tcPr>
            <w:tcW w:w="50" w:type="pct"/>
            <w:shd w:val="clear" w:color="auto" w:fill="auto"/>
            <w:vAlign w:val="center"/>
          </w:tcPr>
          <w:p w14:paraId="42A10C34" w14:textId="77777777" w:rsidR="00BB68E1" w:rsidRDefault="00BB68E1">
            <w:pPr>
              <w:rPr>
                <w:rFonts w:ascii="Times New Roman" w:hAnsi="Times New Roman"/>
                <w:sz w:val="20"/>
                <w:szCs w:val="20"/>
              </w:rPr>
            </w:pPr>
          </w:p>
        </w:tc>
        <w:tc>
          <w:tcPr>
            <w:tcW w:w="550" w:type="pct"/>
            <w:shd w:val="clear" w:color="auto" w:fill="auto"/>
            <w:vAlign w:val="center"/>
          </w:tcPr>
          <w:p w14:paraId="42A10C35" w14:textId="77777777" w:rsidR="00BB68E1" w:rsidRDefault="00BB68E1">
            <w:pPr>
              <w:rPr>
                <w:rFonts w:ascii="Times New Roman" w:hAnsi="Times New Roman"/>
                <w:sz w:val="20"/>
                <w:szCs w:val="20"/>
              </w:rPr>
            </w:pPr>
          </w:p>
        </w:tc>
        <w:tc>
          <w:tcPr>
            <w:tcW w:w="50" w:type="pct"/>
            <w:shd w:val="clear" w:color="auto" w:fill="auto"/>
            <w:vAlign w:val="center"/>
          </w:tcPr>
          <w:p w14:paraId="42A10C36" w14:textId="77777777" w:rsidR="00BB68E1" w:rsidRDefault="00BB68E1">
            <w:pPr>
              <w:rPr>
                <w:rFonts w:ascii="Times New Roman" w:hAnsi="Times New Roman"/>
                <w:sz w:val="20"/>
                <w:szCs w:val="20"/>
              </w:rPr>
            </w:pPr>
          </w:p>
        </w:tc>
        <w:tc>
          <w:tcPr>
            <w:tcW w:w="150" w:type="pct"/>
            <w:shd w:val="clear" w:color="auto" w:fill="auto"/>
            <w:vAlign w:val="center"/>
          </w:tcPr>
          <w:p w14:paraId="42A10C37" w14:textId="77777777" w:rsidR="00BB68E1" w:rsidRDefault="00BB68E1">
            <w:pPr>
              <w:rPr>
                <w:rFonts w:ascii="Times New Roman" w:hAnsi="Times New Roman"/>
                <w:sz w:val="20"/>
                <w:szCs w:val="20"/>
              </w:rPr>
            </w:pPr>
          </w:p>
        </w:tc>
        <w:tc>
          <w:tcPr>
            <w:tcW w:w="50" w:type="pct"/>
            <w:shd w:val="clear" w:color="auto" w:fill="auto"/>
            <w:vAlign w:val="center"/>
          </w:tcPr>
          <w:p w14:paraId="42A10C38" w14:textId="77777777" w:rsidR="00BB68E1" w:rsidRDefault="00BB68E1">
            <w:pPr>
              <w:rPr>
                <w:rFonts w:ascii="Times New Roman" w:hAnsi="Times New Roman"/>
                <w:sz w:val="20"/>
                <w:szCs w:val="20"/>
              </w:rPr>
            </w:pPr>
          </w:p>
        </w:tc>
      </w:tr>
      <w:tr w:rsidR="00BB68E1" w14:paraId="42A10C4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42A10C3A"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Name</w:t>
            </w:r>
          </w:p>
        </w:tc>
        <w:tc>
          <w:tcPr>
            <w:tcW w:w="0" w:type="auto"/>
            <w:shd w:val="clear" w:color="auto" w:fill="auto"/>
            <w:tcMar>
              <w:top w:w="40" w:type="dxa"/>
              <w:left w:w="40" w:type="dxa"/>
              <w:bottom w:w="40" w:type="dxa"/>
              <w:right w:w="40" w:type="dxa"/>
            </w:tcMar>
            <w:vAlign w:val="bottom"/>
          </w:tcPr>
          <w:p w14:paraId="42A10C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3C"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Business Experience</w:t>
            </w:r>
          </w:p>
        </w:tc>
        <w:tc>
          <w:tcPr>
            <w:tcW w:w="0" w:type="auto"/>
            <w:shd w:val="clear" w:color="auto" w:fill="auto"/>
            <w:tcMar>
              <w:top w:w="40" w:type="dxa"/>
              <w:left w:w="40" w:type="dxa"/>
              <w:bottom w:w="40" w:type="dxa"/>
              <w:right w:w="40" w:type="dxa"/>
            </w:tcMar>
            <w:vAlign w:val="bottom"/>
          </w:tcPr>
          <w:p w14:paraId="42A10C3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0C3E"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Current</w:t>
            </w:r>
          </w:p>
          <w:p w14:paraId="42A10C3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Position</w:t>
            </w:r>
          </w:p>
          <w:p w14:paraId="42A10C40"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Held Since</w:t>
            </w:r>
          </w:p>
        </w:tc>
        <w:tc>
          <w:tcPr>
            <w:tcW w:w="0" w:type="auto"/>
            <w:shd w:val="clear" w:color="auto" w:fill="auto"/>
            <w:tcMar>
              <w:top w:w="40" w:type="dxa"/>
              <w:left w:w="40" w:type="dxa"/>
              <w:bottom w:w="40" w:type="dxa"/>
              <w:right w:w="40" w:type="dxa"/>
            </w:tcMar>
            <w:vAlign w:val="bottom"/>
          </w:tcPr>
          <w:p w14:paraId="42A10C4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0C4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Age</w:t>
            </w:r>
          </w:p>
        </w:tc>
      </w:tr>
      <w:tr w:rsidR="00BB68E1" w14:paraId="42A10C4C" w14:textId="77777777">
        <w:tc>
          <w:tcPr>
            <w:tcW w:w="0" w:type="auto"/>
            <w:shd w:val="clear" w:color="auto" w:fill="auto"/>
            <w:tcMar>
              <w:top w:w="40" w:type="dxa"/>
              <w:left w:w="40" w:type="dxa"/>
              <w:bottom w:w="40" w:type="dxa"/>
              <w:right w:w="40" w:type="dxa"/>
            </w:tcMar>
          </w:tcPr>
          <w:p w14:paraId="42A10C44"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 xml:space="preserve">Daniel J. </w:t>
            </w:r>
            <w:r>
              <w:rPr>
                <w:rFonts w:ascii="Times New Roman" w:eastAsia="宋体" w:hAnsi="Times New Roman"/>
                <w:sz w:val="20"/>
                <w:szCs w:val="20"/>
              </w:rPr>
              <w:t>Bartlett</w:t>
            </w:r>
          </w:p>
        </w:tc>
        <w:tc>
          <w:tcPr>
            <w:tcW w:w="0" w:type="auto"/>
            <w:shd w:val="clear" w:color="auto" w:fill="auto"/>
            <w:tcMar>
              <w:top w:w="40" w:type="dxa"/>
              <w:left w:w="40" w:type="dxa"/>
              <w:bottom w:w="40" w:type="dxa"/>
              <w:right w:w="40" w:type="dxa"/>
            </w:tcMar>
            <w:vAlign w:val="bottom"/>
          </w:tcPr>
          <w:p w14:paraId="42A10C4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tcPr>
          <w:p w14:paraId="42A10C46" w14:textId="77777777" w:rsidR="00BB68E1" w:rsidRDefault="005D2D5E">
            <w:pPr>
              <w:jc w:val="both"/>
              <w:textAlignment w:val="top"/>
              <w:rPr>
                <w:rFonts w:ascii="Times New Roman" w:hAnsi="Times New Roman"/>
                <w:sz w:val="20"/>
                <w:szCs w:val="20"/>
              </w:rPr>
            </w:pPr>
            <w:r>
              <w:rPr>
                <w:rFonts w:ascii="Times New Roman" w:eastAsia="宋体" w:hAnsi="Times New Roman"/>
                <w:sz w:val="20"/>
                <w:szCs w:val="20"/>
              </w:rPr>
              <w:t>Executive Vice President, Corporate Affairs, effective June 2013. From November 2007 to June 2013, he served as the Chief Executive Officer and President of U.S. Operations at Hill &amp; Knowlton, Inc., a public relations company.</w:t>
            </w:r>
          </w:p>
        </w:tc>
        <w:tc>
          <w:tcPr>
            <w:tcW w:w="0" w:type="auto"/>
            <w:shd w:val="clear" w:color="auto" w:fill="auto"/>
            <w:tcMar>
              <w:top w:w="40" w:type="dxa"/>
              <w:left w:w="40" w:type="dxa"/>
              <w:bottom w:w="40" w:type="dxa"/>
              <w:right w:w="40" w:type="dxa"/>
            </w:tcMar>
            <w:vAlign w:val="bottom"/>
          </w:tcPr>
          <w:p w14:paraId="42A10C4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48"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2013</w:t>
            </w:r>
          </w:p>
        </w:tc>
        <w:tc>
          <w:tcPr>
            <w:tcW w:w="0" w:type="auto"/>
            <w:shd w:val="clear" w:color="auto" w:fill="auto"/>
            <w:tcMar>
              <w:top w:w="40" w:type="dxa"/>
              <w:left w:w="40" w:type="dxa"/>
              <w:bottom w:w="40" w:type="dxa"/>
              <w:right w:w="40" w:type="dxa"/>
            </w:tcMar>
            <w:vAlign w:val="bottom"/>
          </w:tcPr>
          <w:p w14:paraId="42A10C4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tcPr>
          <w:p w14:paraId="42A10C4A" w14:textId="77777777" w:rsidR="00BB68E1" w:rsidRDefault="005D2D5E">
            <w:pPr>
              <w:jc w:val="right"/>
              <w:textAlignment w:val="top"/>
              <w:rPr>
                <w:rFonts w:ascii="Times New Roman" w:hAnsi="Times New Roman"/>
                <w:sz w:val="20"/>
                <w:szCs w:val="20"/>
              </w:rPr>
            </w:pPr>
            <w:r>
              <w:rPr>
                <w:rFonts w:ascii="Times New Roman" w:eastAsia="宋体" w:hAnsi="Times New Roman"/>
                <w:sz w:val="20"/>
                <w:szCs w:val="20"/>
              </w:rPr>
              <w:t>48</w:t>
            </w:r>
          </w:p>
        </w:tc>
        <w:tc>
          <w:tcPr>
            <w:tcW w:w="0" w:type="auto"/>
            <w:tcBorders>
              <w:top w:val="single" w:sz="8" w:space="0" w:color="000000"/>
            </w:tcBorders>
            <w:shd w:val="clear" w:color="auto" w:fill="auto"/>
            <w:vAlign w:val="bottom"/>
          </w:tcPr>
          <w:p w14:paraId="42A10C4B" w14:textId="77777777" w:rsidR="00BB68E1" w:rsidRDefault="00BB68E1">
            <w:pPr>
              <w:textAlignment w:val="bottom"/>
              <w:rPr>
                <w:rFonts w:ascii="Times New Roman" w:hAnsi="Times New Roman"/>
                <w:sz w:val="20"/>
                <w:szCs w:val="20"/>
              </w:rPr>
            </w:pPr>
          </w:p>
        </w:tc>
      </w:tr>
      <w:tr w:rsidR="00BB68E1" w14:paraId="42A10C54" w14:textId="77777777">
        <w:tc>
          <w:tcPr>
            <w:tcW w:w="0" w:type="auto"/>
            <w:shd w:val="clear" w:color="auto" w:fill="auto"/>
            <w:tcMar>
              <w:top w:w="40" w:type="dxa"/>
              <w:left w:w="40" w:type="dxa"/>
              <w:bottom w:w="40" w:type="dxa"/>
              <w:right w:w="40" w:type="dxa"/>
            </w:tcMar>
            <w:vAlign w:val="bottom"/>
          </w:tcPr>
          <w:p w14:paraId="42A10C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4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4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5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5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5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0C5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C5D" w14:textId="77777777">
        <w:tc>
          <w:tcPr>
            <w:tcW w:w="0" w:type="auto"/>
            <w:shd w:val="clear" w:color="auto" w:fill="auto"/>
            <w:tcMar>
              <w:top w:w="40" w:type="dxa"/>
              <w:left w:w="40" w:type="dxa"/>
              <w:bottom w:w="40" w:type="dxa"/>
              <w:right w:w="40" w:type="dxa"/>
            </w:tcMar>
          </w:tcPr>
          <w:p w14:paraId="42A10C55"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M. Brett Biggs</w:t>
            </w:r>
          </w:p>
        </w:tc>
        <w:tc>
          <w:tcPr>
            <w:tcW w:w="0" w:type="auto"/>
            <w:shd w:val="clear" w:color="auto" w:fill="auto"/>
            <w:tcMar>
              <w:top w:w="40" w:type="dxa"/>
              <w:left w:w="40" w:type="dxa"/>
              <w:bottom w:w="40" w:type="dxa"/>
              <w:right w:w="40" w:type="dxa"/>
            </w:tcMar>
            <w:vAlign w:val="bottom"/>
          </w:tcPr>
          <w:p w14:paraId="42A10C5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57" w14:textId="77777777" w:rsidR="00BB68E1" w:rsidRDefault="005D2D5E">
            <w:pPr>
              <w:jc w:val="both"/>
              <w:textAlignment w:val="top"/>
              <w:rPr>
                <w:rFonts w:ascii="Times New Roman" w:hAnsi="Times New Roman"/>
                <w:sz w:val="20"/>
                <w:szCs w:val="20"/>
              </w:rPr>
            </w:pPr>
            <w:r>
              <w:rPr>
                <w:rFonts w:ascii="Times New Roman" w:eastAsia="宋体" w:hAnsi="Times New Roman"/>
                <w:sz w:val="20"/>
                <w:szCs w:val="20"/>
              </w:rPr>
              <w:t xml:space="preserve">Executive Vice President and Chief Financial Officer, effective January 2016. From January 2014 to December 2015, he served as Executive Vice President and Chief Financial Officer of Walmart International. </w:t>
            </w:r>
          </w:p>
        </w:tc>
        <w:tc>
          <w:tcPr>
            <w:tcW w:w="0" w:type="auto"/>
            <w:shd w:val="clear" w:color="auto" w:fill="auto"/>
            <w:tcMar>
              <w:top w:w="40" w:type="dxa"/>
              <w:left w:w="40" w:type="dxa"/>
              <w:bottom w:w="40" w:type="dxa"/>
              <w:right w:w="40" w:type="dxa"/>
            </w:tcMar>
            <w:vAlign w:val="bottom"/>
          </w:tcPr>
          <w:p w14:paraId="42A10C5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59"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2016</w:t>
            </w:r>
          </w:p>
        </w:tc>
        <w:tc>
          <w:tcPr>
            <w:tcW w:w="0" w:type="auto"/>
            <w:shd w:val="clear" w:color="auto" w:fill="auto"/>
            <w:tcMar>
              <w:top w:w="40" w:type="dxa"/>
              <w:left w:w="40" w:type="dxa"/>
              <w:bottom w:w="40" w:type="dxa"/>
              <w:right w:w="40" w:type="dxa"/>
            </w:tcMar>
            <w:vAlign w:val="bottom"/>
          </w:tcPr>
          <w:p w14:paraId="42A10C5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2A10C5B" w14:textId="77777777" w:rsidR="00BB68E1" w:rsidRDefault="005D2D5E">
            <w:pPr>
              <w:jc w:val="right"/>
              <w:textAlignment w:val="top"/>
              <w:rPr>
                <w:rFonts w:ascii="Times New Roman" w:hAnsi="Times New Roman"/>
                <w:sz w:val="20"/>
                <w:szCs w:val="20"/>
              </w:rPr>
            </w:pPr>
            <w:r>
              <w:rPr>
                <w:rFonts w:ascii="Times New Roman" w:eastAsia="宋体" w:hAnsi="Times New Roman"/>
                <w:sz w:val="20"/>
                <w:szCs w:val="20"/>
              </w:rPr>
              <w:t>51</w:t>
            </w:r>
          </w:p>
        </w:tc>
        <w:tc>
          <w:tcPr>
            <w:tcW w:w="0" w:type="auto"/>
            <w:shd w:val="clear" w:color="auto" w:fill="auto"/>
            <w:vAlign w:val="bottom"/>
          </w:tcPr>
          <w:p w14:paraId="42A10C5C" w14:textId="77777777" w:rsidR="00BB68E1" w:rsidRDefault="00BB68E1">
            <w:pPr>
              <w:textAlignment w:val="bottom"/>
              <w:rPr>
                <w:rFonts w:ascii="Times New Roman" w:hAnsi="Times New Roman"/>
                <w:sz w:val="20"/>
                <w:szCs w:val="20"/>
              </w:rPr>
            </w:pPr>
          </w:p>
        </w:tc>
      </w:tr>
      <w:tr w:rsidR="00BB68E1" w14:paraId="42A10C65" w14:textId="77777777">
        <w:tc>
          <w:tcPr>
            <w:tcW w:w="0" w:type="auto"/>
            <w:shd w:val="clear" w:color="auto" w:fill="auto"/>
            <w:tcMar>
              <w:top w:w="40" w:type="dxa"/>
              <w:left w:w="40" w:type="dxa"/>
              <w:bottom w:w="40" w:type="dxa"/>
              <w:right w:w="40" w:type="dxa"/>
            </w:tcMar>
            <w:vAlign w:val="bottom"/>
          </w:tcPr>
          <w:p w14:paraId="42A10C5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5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6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6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6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6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0C6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C6E" w14:textId="77777777">
        <w:tc>
          <w:tcPr>
            <w:tcW w:w="0" w:type="auto"/>
            <w:shd w:val="clear" w:color="auto" w:fill="auto"/>
            <w:tcMar>
              <w:top w:w="40" w:type="dxa"/>
              <w:left w:w="40" w:type="dxa"/>
              <w:bottom w:w="40" w:type="dxa"/>
              <w:right w:w="40" w:type="dxa"/>
            </w:tcMar>
          </w:tcPr>
          <w:p w14:paraId="42A10C66"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Rachel Brand</w:t>
            </w:r>
          </w:p>
        </w:tc>
        <w:tc>
          <w:tcPr>
            <w:tcW w:w="0" w:type="auto"/>
            <w:shd w:val="clear" w:color="auto" w:fill="auto"/>
            <w:tcMar>
              <w:top w:w="40" w:type="dxa"/>
              <w:left w:w="40" w:type="dxa"/>
              <w:bottom w:w="40" w:type="dxa"/>
              <w:right w:w="40" w:type="dxa"/>
            </w:tcMar>
            <w:vAlign w:val="bottom"/>
          </w:tcPr>
          <w:p w14:paraId="42A10C6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68" w14:textId="77777777" w:rsidR="00BB68E1" w:rsidRDefault="005D2D5E">
            <w:pPr>
              <w:jc w:val="both"/>
              <w:textAlignment w:val="top"/>
              <w:rPr>
                <w:rFonts w:ascii="Times New Roman" w:hAnsi="Times New Roman"/>
                <w:sz w:val="20"/>
                <w:szCs w:val="20"/>
              </w:rPr>
            </w:pPr>
            <w:r>
              <w:rPr>
                <w:rFonts w:ascii="Times New Roman" w:eastAsia="宋体" w:hAnsi="Times New Roman"/>
                <w:sz w:val="20"/>
                <w:szCs w:val="20"/>
              </w:rPr>
              <w:t xml:space="preserve">Executive Vice President, Global Governance, Chief Legal Officer and Corporate Secretary, effective April 2018. From May 2017 to February 2018, she served as Associate Attorney </w:t>
            </w:r>
            <w:r>
              <w:rPr>
                <w:rFonts w:ascii="Times New Roman" w:eastAsia="宋体" w:hAnsi="Times New Roman"/>
                <w:sz w:val="20"/>
                <w:szCs w:val="20"/>
              </w:rPr>
              <w:lastRenderedPageBreak/>
              <w:t>General in the United States Department of Justice. From January 2017 to May 20</w:t>
            </w:r>
            <w:r>
              <w:rPr>
                <w:rFonts w:ascii="Times New Roman" w:eastAsia="宋体" w:hAnsi="Times New Roman"/>
                <w:sz w:val="20"/>
                <w:szCs w:val="20"/>
              </w:rPr>
              <w:t xml:space="preserve">17, Ms. Brand was an Associate Professor of Law at George Mason University Antonin Scalia Law School. From August 2012 to February 2017, she served as a Board Member on the Privacy and Civil Liberties Oversight Board of the U.S. government. </w:t>
            </w:r>
          </w:p>
        </w:tc>
        <w:tc>
          <w:tcPr>
            <w:tcW w:w="0" w:type="auto"/>
            <w:shd w:val="clear" w:color="auto" w:fill="auto"/>
            <w:tcMar>
              <w:top w:w="40" w:type="dxa"/>
              <w:left w:w="40" w:type="dxa"/>
              <w:bottom w:w="40" w:type="dxa"/>
              <w:right w:w="40" w:type="dxa"/>
            </w:tcMar>
            <w:vAlign w:val="bottom"/>
          </w:tcPr>
          <w:p w14:paraId="42A10C6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right w:w="40" w:type="dxa"/>
            </w:tcMar>
          </w:tcPr>
          <w:p w14:paraId="42A10C6A"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2018</w:t>
            </w:r>
          </w:p>
        </w:tc>
        <w:tc>
          <w:tcPr>
            <w:tcW w:w="0" w:type="auto"/>
            <w:shd w:val="clear" w:color="auto" w:fill="auto"/>
            <w:tcMar>
              <w:top w:w="40" w:type="dxa"/>
              <w:left w:w="40" w:type="dxa"/>
              <w:bottom w:w="40" w:type="dxa"/>
              <w:right w:w="40" w:type="dxa"/>
            </w:tcMar>
            <w:vAlign w:val="bottom"/>
          </w:tcPr>
          <w:p w14:paraId="42A10C6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2A10C6C" w14:textId="77777777" w:rsidR="00BB68E1" w:rsidRDefault="005D2D5E">
            <w:pPr>
              <w:jc w:val="right"/>
              <w:textAlignment w:val="top"/>
              <w:rPr>
                <w:rFonts w:ascii="Times New Roman" w:hAnsi="Times New Roman"/>
                <w:sz w:val="20"/>
                <w:szCs w:val="20"/>
              </w:rPr>
            </w:pPr>
            <w:r>
              <w:rPr>
                <w:rFonts w:ascii="Times New Roman" w:eastAsia="宋体" w:hAnsi="Times New Roman"/>
                <w:sz w:val="20"/>
                <w:szCs w:val="20"/>
              </w:rPr>
              <w:t>46</w:t>
            </w:r>
          </w:p>
        </w:tc>
        <w:tc>
          <w:tcPr>
            <w:tcW w:w="0" w:type="auto"/>
            <w:shd w:val="clear" w:color="auto" w:fill="auto"/>
            <w:vAlign w:val="bottom"/>
          </w:tcPr>
          <w:p w14:paraId="42A10C6D" w14:textId="77777777" w:rsidR="00BB68E1" w:rsidRDefault="00BB68E1">
            <w:pPr>
              <w:textAlignment w:val="bottom"/>
              <w:rPr>
                <w:rFonts w:ascii="Times New Roman" w:hAnsi="Times New Roman"/>
                <w:sz w:val="20"/>
                <w:szCs w:val="20"/>
              </w:rPr>
            </w:pPr>
          </w:p>
        </w:tc>
      </w:tr>
      <w:tr w:rsidR="00BB68E1" w14:paraId="42A10C76" w14:textId="77777777">
        <w:tc>
          <w:tcPr>
            <w:tcW w:w="0" w:type="auto"/>
            <w:shd w:val="clear" w:color="auto" w:fill="auto"/>
            <w:tcMar>
              <w:top w:w="40" w:type="dxa"/>
              <w:left w:w="40" w:type="dxa"/>
              <w:bottom w:w="40" w:type="dxa"/>
              <w:right w:w="40" w:type="dxa"/>
            </w:tcMar>
            <w:vAlign w:val="bottom"/>
          </w:tcPr>
          <w:p w14:paraId="42A10C6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7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7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7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7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7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0C7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C7F" w14:textId="77777777">
        <w:tc>
          <w:tcPr>
            <w:tcW w:w="0" w:type="auto"/>
            <w:shd w:val="clear" w:color="auto" w:fill="auto"/>
            <w:tcMar>
              <w:top w:w="40" w:type="dxa"/>
              <w:left w:w="40" w:type="dxa"/>
              <w:bottom w:w="40" w:type="dxa"/>
              <w:right w:w="40" w:type="dxa"/>
            </w:tcMar>
          </w:tcPr>
          <w:p w14:paraId="42A10C77"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David M. Chojnowski</w:t>
            </w:r>
          </w:p>
        </w:tc>
        <w:tc>
          <w:tcPr>
            <w:tcW w:w="0" w:type="auto"/>
            <w:shd w:val="clear" w:color="auto" w:fill="auto"/>
            <w:tcMar>
              <w:top w:w="40" w:type="dxa"/>
              <w:left w:w="40" w:type="dxa"/>
              <w:bottom w:w="40" w:type="dxa"/>
              <w:right w:w="40" w:type="dxa"/>
            </w:tcMar>
            <w:vAlign w:val="bottom"/>
          </w:tcPr>
          <w:p w14:paraId="42A10C7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79" w14:textId="77777777" w:rsidR="00BB68E1" w:rsidRDefault="005D2D5E">
            <w:pPr>
              <w:jc w:val="both"/>
              <w:textAlignment w:val="top"/>
              <w:rPr>
                <w:rFonts w:ascii="Times New Roman" w:hAnsi="Times New Roman"/>
                <w:sz w:val="20"/>
                <w:szCs w:val="20"/>
              </w:rPr>
            </w:pPr>
            <w:r>
              <w:rPr>
                <w:rFonts w:ascii="Times New Roman" w:eastAsia="宋体" w:hAnsi="Times New Roman"/>
                <w:sz w:val="20"/>
                <w:szCs w:val="20"/>
              </w:rPr>
              <w:t xml:space="preserve">Senior Vice President and Controller effective January 2017. From October 2014 to January 2017, he served as Vice President and Controller, Walmart U.S. </w:t>
            </w:r>
          </w:p>
        </w:tc>
        <w:tc>
          <w:tcPr>
            <w:tcW w:w="0" w:type="auto"/>
            <w:shd w:val="clear" w:color="auto" w:fill="auto"/>
            <w:tcMar>
              <w:top w:w="40" w:type="dxa"/>
              <w:left w:w="40" w:type="dxa"/>
              <w:bottom w:w="40" w:type="dxa"/>
              <w:right w:w="40" w:type="dxa"/>
            </w:tcMar>
            <w:vAlign w:val="bottom"/>
          </w:tcPr>
          <w:p w14:paraId="42A10C7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7B"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2017</w:t>
            </w:r>
          </w:p>
        </w:tc>
        <w:tc>
          <w:tcPr>
            <w:tcW w:w="0" w:type="auto"/>
            <w:shd w:val="clear" w:color="auto" w:fill="auto"/>
            <w:tcMar>
              <w:top w:w="40" w:type="dxa"/>
              <w:left w:w="40" w:type="dxa"/>
              <w:bottom w:w="40" w:type="dxa"/>
              <w:right w:w="40" w:type="dxa"/>
            </w:tcMar>
            <w:vAlign w:val="bottom"/>
          </w:tcPr>
          <w:p w14:paraId="42A10C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2A10C7D" w14:textId="77777777" w:rsidR="00BB68E1" w:rsidRDefault="005D2D5E">
            <w:pPr>
              <w:jc w:val="right"/>
              <w:textAlignment w:val="top"/>
              <w:rPr>
                <w:rFonts w:ascii="Times New Roman" w:hAnsi="Times New Roman"/>
                <w:sz w:val="20"/>
                <w:szCs w:val="20"/>
              </w:rPr>
            </w:pPr>
            <w:r>
              <w:rPr>
                <w:rFonts w:ascii="Times New Roman" w:eastAsia="宋体" w:hAnsi="Times New Roman"/>
                <w:sz w:val="20"/>
                <w:szCs w:val="20"/>
              </w:rPr>
              <w:t>50</w:t>
            </w:r>
          </w:p>
        </w:tc>
        <w:tc>
          <w:tcPr>
            <w:tcW w:w="0" w:type="auto"/>
            <w:shd w:val="clear" w:color="auto" w:fill="auto"/>
            <w:vAlign w:val="bottom"/>
          </w:tcPr>
          <w:p w14:paraId="42A10C7E" w14:textId="77777777" w:rsidR="00BB68E1" w:rsidRDefault="00BB68E1">
            <w:pPr>
              <w:textAlignment w:val="bottom"/>
              <w:rPr>
                <w:rFonts w:ascii="Times New Roman" w:hAnsi="Times New Roman"/>
                <w:sz w:val="20"/>
                <w:szCs w:val="20"/>
              </w:rPr>
            </w:pPr>
          </w:p>
        </w:tc>
      </w:tr>
      <w:tr w:rsidR="00BB68E1" w14:paraId="42A10C87" w14:textId="77777777">
        <w:tc>
          <w:tcPr>
            <w:tcW w:w="0" w:type="auto"/>
            <w:shd w:val="clear" w:color="auto" w:fill="auto"/>
            <w:tcMar>
              <w:top w:w="40" w:type="dxa"/>
              <w:left w:w="40" w:type="dxa"/>
              <w:bottom w:w="40" w:type="dxa"/>
              <w:right w:w="40" w:type="dxa"/>
            </w:tcMar>
            <w:vAlign w:val="bottom"/>
          </w:tcPr>
          <w:p w14:paraId="42A10C8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8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8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8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0C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C90" w14:textId="77777777">
        <w:tc>
          <w:tcPr>
            <w:tcW w:w="0" w:type="auto"/>
            <w:shd w:val="clear" w:color="auto" w:fill="auto"/>
            <w:tcMar>
              <w:top w:w="40" w:type="dxa"/>
              <w:left w:w="40" w:type="dxa"/>
              <w:bottom w:w="40" w:type="dxa"/>
              <w:right w:w="40" w:type="dxa"/>
            </w:tcMar>
          </w:tcPr>
          <w:p w14:paraId="42A10C88"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John Furner</w:t>
            </w:r>
          </w:p>
        </w:tc>
        <w:tc>
          <w:tcPr>
            <w:tcW w:w="0" w:type="auto"/>
            <w:shd w:val="clear" w:color="auto" w:fill="auto"/>
            <w:tcMar>
              <w:top w:w="40" w:type="dxa"/>
              <w:left w:w="40" w:type="dxa"/>
              <w:bottom w:w="40" w:type="dxa"/>
              <w:right w:w="40" w:type="dxa"/>
            </w:tcMar>
            <w:vAlign w:val="bottom"/>
          </w:tcPr>
          <w:p w14:paraId="42A10C8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8A" w14:textId="77777777" w:rsidR="00BB68E1" w:rsidRDefault="005D2D5E">
            <w:pPr>
              <w:jc w:val="both"/>
              <w:textAlignment w:val="top"/>
              <w:rPr>
                <w:rFonts w:ascii="Times New Roman" w:hAnsi="Times New Roman"/>
                <w:sz w:val="20"/>
                <w:szCs w:val="20"/>
              </w:rPr>
            </w:pPr>
            <w:r>
              <w:rPr>
                <w:rFonts w:ascii="Times New Roman" w:eastAsia="宋体" w:hAnsi="Times New Roman"/>
                <w:sz w:val="20"/>
                <w:szCs w:val="20"/>
              </w:rPr>
              <w:t>Executive Vice President, President and Chief Executive Officer, Walmart U.S. effective November 2019. From February 2017 until November 2019, he served as President and Chief Executive Officer, Sam's Club. From October 2015 to January 2017, he served as E</w:t>
            </w:r>
            <w:r>
              <w:rPr>
                <w:rFonts w:ascii="Times New Roman" w:eastAsia="宋体" w:hAnsi="Times New Roman"/>
                <w:sz w:val="20"/>
                <w:szCs w:val="20"/>
              </w:rPr>
              <w:t xml:space="preserve">xecutive Vice President and Chief Merchandising Officer of Sam's Club. </w:t>
            </w:r>
          </w:p>
        </w:tc>
        <w:tc>
          <w:tcPr>
            <w:tcW w:w="0" w:type="auto"/>
            <w:shd w:val="clear" w:color="auto" w:fill="auto"/>
            <w:tcMar>
              <w:top w:w="40" w:type="dxa"/>
              <w:left w:w="40" w:type="dxa"/>
              <w:bottom w:w="40" w:type="dxa"/>
              <w:right w:w="40" w:type="dxa"/>
            </w:tcMar>
            <w:vAlign w:val="bottom"/>
          </w:tcPr>
          <w:p w14:paraId="42A10C8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8C"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2019</w:t>
            </w:r>
          </w:p>
        </w:tc>
        <w:tc>
          <w:tcPr>
            <w:tcW w:w="0" w:type="auto"/>
            <w:shd w:val="clear" w:color="auto" w:fill="auto"/>
            <w:tcMar>
              <w:top w:w="40" w:type="dxa"/>
              <w:left w:w="40" w:type="dxa"/>
              <w:bottom w:w="40" w:type="dxa"/>
              <w:right w:w="40" w:type="dxa"/>
            </w:tcMar>
            <w:vAlign w:val="bottom"/>
          </w:tcPr>
          <w:p w14:paraId="42A10C8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2A10C8E" w14:textId="77777777" w:rsidR="00BB68E1" w:rsidRDefault="005D2D5E">
            <w:pPr>
              <w:jc w:val="right"/>
              <w:textAlignment w:val="top"/>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vAlign w:val="bottom"/>
          </w:tcPr>
          <w:p w14:paraId="42A10C8F" w14:textId="77777777" w:rsidR="00BB68E1" w:rsidRDefault="00BB68E1">
            <w:pPr>
              <w:textAlignment w:val="bottom"/>
              <w:rPr>
                <w:rFonts w:ascii="Times New Roman" w:hAnsi="Times New Roman"/>
                <w:sz w:val="20"/>
                <w:szCs w:val="20"/>
              </w:rPr>
            </w:pPr>
          </w:p>
        </w:tc>
      </w:tr>
      <w:tr w:rsidR="00BB68E1" w14:paraId="42A10C98" w14:textId="77777777">
        <w:tc>
          <w:tcPr>
            <w:tcW w:w="0" w:type="auto"/>
            <w:shd w:val="clear" w:color="auto" w:fill="auto"/>
            <w:tcMar>
              <w:top w:w="40" w:type="dxa"/>
              <w:left w:w="40" w:type="dxa"/>
              <w:bottom w:w="40" w:type="dxa"/>
              <w:right w:w="40" w:type="dxa"/>
            </w:tcMar>
            <w:vAlign w:val="bottom"/>
          </w:tcPr>
          <w:p w14:paraId="42A10C9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9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9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9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9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9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0C9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CA1" w14:textId="77777777">
        <w:tc>
          <w:tcPr>
            <w:tcW w:w="0" w:type="auto"/>
            <w:shd w:val="clear" w:color="auto" w:fill="auto"/>
            <w:tcMar>
              <w:top w:w="40" w:type="dxa"/>
              <w:left w:w="40" w:type="dxa"/>
              <w:bottom w:w="40" w:type="dxa"/>
              <w:right w:w="40" w:type="dxa"/>
            </w:tcMar>
          </w:tcPr>
          <w:p w14:paraId="42A10C99"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Suresh Kumar</w:t>
            </w:r>
          </w:p>
        </w:tc>
        <w:tc>
          <w:tcPr>
            <w:tcW w:w="0" w:type="auto"/>
            <w:shd w:val="clear" w:color="auto" w:fill="auto"/>
            <w:tcMar>
              <w:top w:w="40" w:type="dxa"/>
              <w:left w:w="40" w:type="dxa"/>
              <w:bottom w:w="40" w:type="dxa"/>
              <w:right w:w="40" w:type="dxa"/>
            </w:tcMar>
            <w:vAlign w:val="bottom"/>
          </w:tcPr>
          <w:p w14:paraId="42A10C9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9B" w14:textId="77777777" w:rsidR="00BB68E1" w:rsidRDefault="005D2D5E">
            <w:pPr>
              <w:jc w:val="both"/>
              <w:textAlignment w:val="top"/>
              <w:rPr>
                <w:rFonts w:ascii="Times New Roman" w:hAnsi="Times New Roman"/>
                <w:sz w:val="20"/>
                <w:szCs w:val="20"/>
              </w:rPr>
            </w:pPr>
            <w:r>
              <w:rPr>
                <w:rFonts w:ascii="Times New Roman" w:eastAsia="宋体" w:hAnsi="Times New Roman"/>
                <w:sz w:val="20"/>
                <w:szCs w:val="20"/>
              </w:rPr>
              <w:t>Executive Vice President, Global Chief Technology Officer and Chief Development Officer effective July 2019. From February 2018 until June 2019, Mr. Kumar was Vice President and General Manager at Google LLC. From May 2014 until February 2018, he was Corpo</w:t>
            </w:r>
            <w:r>
              <w:rPr>
                <w:rFonts w:ascii="Times New Roman" w:eastAsia="宋体" w:hAnsi="Times New Roman"/>
                <w:sz w:val="20"/>
                <w:szCs w:val="20"/>
              </w:rPr>
              <w:t xml:space="preserve">rate Vice President at Microsoft Corporation. </w:t>
            </w:r>
          </w:p>
        </w:tc>
        <w:tc>
          <w:tcPr>
            <w:tcW w:w="0" w:type="auto"/>
            <w:shd w:val="clear" w:color="auto" w:fill="auto"/>
            <w:tcMar>
              <w:top w:w="40" w:type="dxa"/>
              <w:left w:w="40" w:type="dxa"/>
              <w:bottom w:w="40" w:type="dxa"/>
              <w:right w:w="40" w:type="dxa"/>
            </w:tcMar>
            <w:vAlign w:val="bottom"/>
          </w:tcPr>
          <w:p w14:paraId="42A10C9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9D"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2019</w:t>
            </w:r>
          </w:p>
        </w:tc>
        <w:tc>
          <w:tcPr>
            <w:tcW w:w="0" w:type="auto"/>
            <w:shd w:val="clear" w:color="auto" w:fill="auto"/>
            <w:tcMar>
              <w:top w:w="40" w:type="dxa"/>
              <w:left w:w="40" w:type="dxa"/>
              <w:bottom w:w="40" w:type="dxa"/>
              <w:right w:w="40" w:type="dxa"/>
            </w:tcMar>
            <w:vAlign w:val="bottom"/>
          </w:tcPr>
          <w:p w14:paraId="42A10C9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2A10C9F" w14:textId="77777777" w:rsidR="00BB68E1" w:rsidRDefault="005D2D5E">
            <w:pPr>
              <w:jc w:val="right"/>
              <w:textAlignment w:val="top"/>
              <w:rPr>
                <w:rFonts w:ascii="Times New Roman" w:hAnsi="Times New Roman"/>
                <w:sz w:val="20"/>
                <w:szCs w:val="20"/>
              </w:rPr>
            </w:pPr>
            <w:r>
              <w:rPr>
                <w:rFonts w:ascii="Times New Roman" w:eastAsia="宋体" w:hAnsi="Times New Roman"/>
                <w:sz w:val="20"/>
                <w:szCs w:val="20"/>
              </w:rPr>
              <w:t>55</w:t>
            </w:r>
          </w:p>
        </w:tc>
        <w:tc>
          <w:tcPr>
            <w:tcW w:w="0" w:type="auto"/>
            <w:shd w:val="clear" w:color="auto" w:fill="auto"/>
            <w:vAlign w:val="bottom"/>
          </w:tcPr>
          <w:p w14:paraId="42A10CA0" w14:textId="77777777" w:rsidR="00BB68E1" w:rsidRDefault="00BB68E1">
            <w:pPr>
              <w:textAlignment w:val="bottom"/>
              <w:rPr>
                <w:rFonts w:ascii="Times New Roman" w:hAnsi="Times New Roman"/>
                <w:sz w:val="20"/>
                <w:szCs w:val="20"/>
              </w:rPr>
            </w:pPr>
          </w:p>
        </w:tc>
      </w:tr>
      <w:tr w:rsidR="00BB68E1" w14:paraId="42A10CA9" w14:textId="77777777">
        <w:tc>
          <w:tcPr>
            <w:tcW w:w="0" w:type="auto"/>
            <w:shd w:val="clear" w:color="auto" w:fill="auto"/>
            <w:tcMar>
              <w:top w:w="40" w:type="dxa"/>
              <w:left w:w="40" w:type="dxa"/>
              <w:bottom w:w="40" w:type="dxa"/>
              <w:right w:w="40" w:type="dxa"/>
            </w:tcMar>
            <w:vAlign w:val="bottom"/>
          </w:tcPr>
          <w:p w14:paraId="42A10CA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A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A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A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A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A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0CA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CB2" w14:textId="77777777">
        <w:tc>
          <w:tcPr>
            <w:tcW w:w="0" w:type="auto"/>
            <w:shd w:val="clear" w:color="auto" w:fill="auto"/>
            <w:tcMar>
              <w:top w:w="40" w:type="dxa"/>
              <w:left w:w="40" w:type="dxa"/>
              <w:bottom w:w="40" w:type="dxa"/>
              <w:right w:w="40" w:type="dxa"/>
            </w:tcMar>
          </w:tcPr>
          <w:p w14:paraId="42A10CAA"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Marc Lore</w:t>
            </w:r>
          </w:p>
        </w:tc>
        <w:tc>
          <w:tcPr>
            <w:tcW w:w="0" w:type="auto"/>
            <w:shd w:val="clear" w:color="auto" w:fill="auto"/>
            <w:tcMar>
              <w:top w:w="40" w:type="dxa"/>
              <w:left w:w="40" w:type="dxa"/>
              <w:bottom w:w="40" w:type="dxa"/>
              <w:right w:w="40" w:type="dxa"/>
            </w:tcMar>
            <w:vAlign w:val="bottom"/>
          </w:tcPr>
          <w:p w14:paraId="42A10CA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AC" w14:textId="77777777" w:rsidR="00BB68E1" w:rsidRDefault="005D2D5E">
            <w:pPr>
              <w:jc w:val="both"/>
              <w:textAlignment w:val="top"/>
              <w:rPr>
                <w:rFonts w:ascii="Times New Roman" w:hAnsi="Times New Roman"/>
                <w:sz w:val="20"/>
                <w:szCs w:val="20"/>
              </w:rPr>
            </w:pPr>
            <w:r>
              <w:rPr>
                <w:rFonts w:ascii="Times New Roman" w:eastAsia="宋体" w:hAnsi="Times New Roman"/>
                <w:sz w:val="20"/>
                <w:szCs w:val="20"/>
              </w:rPr>
              <w:t xml:space="preserve">Executive Vice President, President and Chief Executive Officer, U.S. eCommerce, effective September 2016. From April 2014 to September 2016, he served as President and Chief Executive Officer of Jet.com, Inc. </w:t>
            </w:r>
          </w:p>
        </w:tc>
        <w:tc>
          <w:tcPr>
            <w:tcW w:w="0" w:type="auto"/>
            <w:shd w:val="clear" w:color="auto" w:fill="auto"/>
            <w:tcMar>
              <w:top w:w="40" w:type="dxa"/>
              <w:left w:w="40" w:type="dxa"/>
              <w:bottom w:w="40" w:type="dxa"/>
              <w:right w:w="40" w:type="dxa"/>
            </w:tcMar>
            <w:vAlign w:val="bottom"/>
          </w:tcPr>
          <w:p w14:paraId="42A10CA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AE"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2016</w:t>
            </w:r>
          </w:p>
        </w:tc>
        <w:tc>
          <w:tcPr>
            <w:tcW w:w="0" w:type="auto"/>
            <w:shd w:val="clear" w:color="auto" w:fill="auto"/>
            <w:tcMar>
              <w:top w:w="40" w:type="dxa"/>
              <w:left w:w="40" w:type="dxa"/>
              <w:bottom w:w="40" w:type="dxa"/>
              <w:right w:w="40" w:type="dxa"/>
            </w:tcMar>
            <w:vAlign w:val="bottom"/>
          </w:tcPr>
          <w:p w14:paraId="42A10CA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2A10CB0" w14:textId="77777777" w:rsidR="00BB68E1" w:rsidRDefault="005D2D5E">
            <w:pPr>
              <w:jc w:val="right"/>
              <w:textAlignment w:val="top"/>
              <w:rPr>
                <w:rFonts w:ascii="Times New Roman" w:hAnsi="Times New Roman"/>
                <w:sz w:val="20"/>
                <w:szCs w:val="20"/>
              </w:rPr>
            </w:pPr>
            <w:r>
              <w:rPr>
                <w:rFonts w:ascii="Times New Roman" w:eastAsia="宋体" w:hAnsi="Times New Roman"/>
                <w:sz w:val="20"/>
                <w:szCs w:val="20"/>
              </w:rPr>
              <w:t>48</w:t>
            </w:r>
          </w:p>
        </w:tc>
        <w:tc>
          <w:tcPr>
            <w:tcW w:w="0" w:type="auto"/>
            <w:shd w:val="clear" w:color="auto" w:fill="auto"/>
            <w:vAlign w:val="bottom"/>
          </w:tcPr>
          <w:p w14:paraId="42A10CB1" w14:textId="77777777" w:rsidR="00BB68E1" w:rsidRDefault="00BB68E1">
            <w:pPr>
              <w:textAlignment w:val="bottom"/>
              <w:rPr>
                <w:rFonts w:ascii="Times New Roman" w:hAnsi="Times New Roman"/>
                <w:sz w:val="20"/>
                <w:szCs w:val="20"/>
              </w:rPr>
            </w:pPr>
          </w:p>
        </w:tc>
      </w:tr>
      <w:tr w:rsidR="00BB68E1" w14:paraId="42A10CBA" w14:textId="77777777">
        <w:tc>
          <w:tcPr>
            <w:tcW w:w="0" w:type="auto"/>
            <w:shd w:val="clear" w:color="auto" w:fill="auto"/>
            <w:tcMar>
              <w:top w:w="40" w:type="dxa"/>
              <w:left w:w="40" w:type="dxa"/>
              <w:bottom w:w="40" w:type="dxa"/>
              <w:right w:w="40" w:type="dxa"/>
            </w:tcMar>
            <w:vAlign w:val="bottom"/>
          </w:tcPr>
          <w:p w14:paraId="42A10CB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B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B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B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B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0CB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CC3" w14:textId="77777777">
        <w:tc>
          <w:tcPr>
            <w:tcW w:w="0" w:type="auto"/>
            <w:shd w:val="clear" w:color="auto" w:fill="auto"/>
            <w:tcMar>
              <w:top w:w="40" w:type="dxa"/>
              <w:left w:w="40" w:type="dxa"/>
              <w:bottom w:w="40" w:type="dxa"/>
              <w:right w:w="40" w:type="dxa"/>
            </w:tcMar>
          </w:tcPr>
          <w:p w14:paraId="42A10CBB"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 xml:space="preserve">Judith </w:t>
            </w:r>
            <w:r>
              <w:rPr>
                <w:rFonts w:ascii="Times New Roman" w:eastAsia="宋体" w:hAnsi="Times New Roman"/>
                <w:sz w:val="20"/>
                <w:szCs w:val="20"/>
              </w:rPr>
              <w:t>McKenna</w:t>
            </w:r>
          </w:p>
        </w:tc>
        <w:tc>
          <w:tcPr>
            <w:tcW w:w="0" w:type="auto"/>
            <w:shd w:val="clear" w:color="auto" w:fill="auto"/>
            <w:tcMar>
              <w:top w:w="40" w:type="dxa"/>
              <w:left w:w="40" w:type="dxa"/>
              <w:bottom w:w="40" w:type="dxa"/>
              <w:right w:w="40" w:type="dxa"/>
            </w:tcMar>
            <w:vAlign w:val="bottom"/>
          </w:tcPr>
          <w:p w14:paraId="42A10CB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BD" w14:textId="77777777" w:rsidR="00BB68E1" w:rsidRDefault="005D2D5E">
            <w:pPr>
              <w:jc w:val="both"/>
              <w:textAlignment w:val="top"/>
              <w:rPr>
                <w:rFonts w:ascii="Times New Roman" w:hAnsi="Times New Roman"/>
                <w:sz w:val="20"/>
                <w:szCs w:val="20"/>
              </w:rPr>
            </w:pPr>
            <w:r>
              <w:rPr>
                <w:rFonts w:ascii="Times New Roman" w:eastAsia="宋体" w:hAnsi="Times New Roman"/>
                <w:sz w:val="20"/>
                <w:szCs w:val="20"/>
              </w:rPr>
              <w:t xml:space="preserve">Executive Vice President, President and Chief Executive Officer, Walmart International, effective February 2018. From February 2015 to January 2018, she served as Executive Vice President and Chief Operating Officer of Walmart U.S. </w:t>
            </w:r>
          </w:p>
        </w:tc>
        <w:tc>
          <w:tcPr>
            <w:tcW w:w="0" w:type="auto"/>
            <w:shd w:val="clear" w:color="auto" w:fill="auto"/>
            <w:tcMar>
              <w:top w:w="40" w:type="dxa"/>
              <w:left w:w="40" w:type="dxa"/>
              <w:bottom w:w="40" w:type="dxa"/>
              <w:right w:w="40" w:type="dxa"/>
            </w:tcMar>
            <w:vAlign w:val="bottom"/>
          </w:tcPr>
          <w:p w14:paraId="42A10CB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BF"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2018</w:t>
            </w:r>
          </w:p>
        </w:tc>
        <w:tc>
          <w:tcPr>
            <w:tcW w:w="0" w:type="auto"/>
            <w:shd w:val="clear" w:color="auto" w:fill="auto"/>
            <w:tcMar>
              <w:top w:w="40" w:type="dxa"/>
              <w:left w:w="40" w:type="dxa"/>
              <w:bottom w:w="40" w:type="dxa"/>
              <w:right w:w="40" w:type="dxa"/>
            </w:tcMar>
            <w:vAlign w:val="bottom"/>
          </w:tcPr>
          <w:p w14:paraId="42A10C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2A10CC1" w14:textId="77777777" w:rsidR="00BB68E1" w:rsidRDefault="005D2D5E">
            <w:pPr>
              <w:jc w:val="right"/>
              <w:textAlignment w:val="top"/>
              <w:rPr>
                <w:rFonts w:ascii="Times New Roman" w:hAnsi="Times New Roman"/>
                <w:sz w:val="20"/>
                <w:szCs w:val="20"/>
              </w:rPr>
            </w:pPr>
            <w:r>
              <w:rPr>
                <w:rFonts w:ascii="Times New Roman" w:eastAsia="宋体" w:hAnsi="Times New Roman"/>
                <w:sz w:val="20"/>
                <w:szCs w:val="20"/>
              </w:rPr>
              <w:t>53</w:t>
            </w:r>
          </w:p>
        </w:tc>
        <w:tc>
          <w:tcPr>
            <w:tcW w:w="0" w:type="auto"/>
            <w:shd w:val="clear" w:color="auto" w:fill="auto"/>
            <w:vAlign w:val="bottom"/>
          </w:tcPr>
          <w:p w14:paraId="42A10CC2" w14:textId="77777777" w:rsidR="00BB68E1" w:rsidRDefault="00BB68E1">
            <w:pPr>
              <w:textAlignment w:val="bottom"/>
              <w:rPr>
                <w:rFonts w:ascii="Times New Roman" w:hAnsi="Times New Roman"/>
                <w:sz w:val="20"/>
                <w:szCs w:val="20"/>
              </w:rPr>
            </w:pPr>
          </w:p>
        </w:tc>
      </w:tr>
      <w:tr w:rsidR="00BB68E1" w14:paraId="42A10CCB" w14:textId="77777777">
        <w:tc>
          <w:tcPr>
            <w:tcW w:w="0" w:type="auto"/>
            <w:shd w:val="clear" w:color="auto" w:fill="auto"/>
            <w:tcMar>
              <w:top w:w="40" w:type="dxa"/>
              <w:left w:w="40" w:type="dxa"/>
              <w:bottom w:w="40" w:type="dxa"/>
              <w:right w:w="40" w:type="dxa"/>
            </w:tcMar>
            <w:vAlign w:val="bottom"/>
          </w:tcPr>
          <w:p w14:paraId="42A10CC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C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C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C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0CC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CD4" w14:textId="77777777">
        <w:tc>
          <w:tcPr>
            <w:tcW w:w="0" w:type="auto"/>
            <w:shd w:val="clear" w:color="auto" w:fill="auto"/>
            <w:tcMar>
              <w:top w:w="40" w:type="dxa"/>
              <w:left w:w="40" w:type="dxa"/>
              <w:bottom w:w="40" w:type="dxa"/>
              <w:right w:w="40" w:type="dxa"/>
            </w:tcMar>
          </w:tcPr>
          <w:p w14:paraId="42A10CCC"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Kathryn McLay</w:t>
            </w:r>
          </w:p>
        </w:tc>
        <w:tc>
          <w:tcPr>
            <w:tcW w:w="0" w:type="auto"/>
            <w:shd w:val="clear" w:color="auto" w:fill="auto"/>
            <w:tcMar>
              <w:top w:w="40" w:type="dxa"/>
              <w:left w:w="40" w:type="dxa"/>
              <w:bottom w:w="40" w:type="dxa"/>
              <w:right w:w="40" w:type="dxa"/>
            </w:tcMar>
            <w:vAlign w:val="bottom"/>
          </w:tcPr>
          <w:p w14:paraId="42A10C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CE" w14:textId="77777777" w:rsidR="00BB68E1" w:rsidRDefault="005D2D5E">
            <w:pPr>
              <w:jc w:val="both"/>
              <w:textAlignment w:val="top"/>
              <w:rPr>
                <w:rFonts w:ascii="Times New Roman" w:hAnsi="Times New Roman"/>
                <w:sz w:val="20"/>
                <w:szCs w:val="20"/>
              </w:rPr>
            </w:pPr>
            <w:r>
              <w:rPr>
                <w:rFonts w:ascii="Times New Roman" w:eastAsia="宋体" w:hAnsi="Times New Roman"/>
                <w:sz w:val="20"/>
                <w:szCs w:val="20"/>
              </w:rPr>
              <w:t xml:space="preserve">Executive Vice President, President and Chief Executive Officer, Sam's Club effective November 15, 2019. </w:t>
            </w:r>
            <w:r>
              <w:rPr>
                <w:rFonts w:ascii="Times New Roman" w:eastAsia="宋体" w:hAnsi="Times New Roman"/>
                <w:color w:val="212529"/>
                <w:sz w:val="20"/>
                <w:szCs w:val="20"/>
              </w:rPr>
              <w:t>From February 2019 to November 2019, she served as Executive Vice President, Walmart U.S. Neighborhood Markets. From December 2015 until February 2019, she served as Senior Vice President, U.S. Supply Chain. Ms. McLay originally joined the Company in April</w:t>
            </w:r>
            <w:r>
              <w:rPr>
                <w:rFonts w:ascii="Times New Roman" w:eastAsia="宋体" w:hAnsi="Times New Roman"/>
                <w:color w:val="212529"/>
                <w:sz w:val="20"/>
                <w:szCs w:val="20"/>
              </w:rPr>
              <w:t xml:space="preserve"> 2015 as Vice President of U.S. Finance and Strategy. </w:t>
            </w:r>
          </w:p>
        </w:tc>
        <w:tc>
          <w:tcPr>
            <w:tcW w:w="0" w:type="auto"/>
            <w:shd w:val="clear" w:color="auto" w:fill="auto"/>
            <w:tcMar>
              <w:top w:w="40" w:type="dxa"/>
              <w:left w:w="40" w:type="dxa"/>
              <w:bottom w:w="40" w:type="dxa"/>
              <w:right w:w="40" w:type="dxa"/>
            </w:tcMar>
            <w:vAlign w:val="bottom"/>
          </w:tcPr>
          <w:p w14:paraId="42A10CC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D0"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2019</w:t>
            </w:r>
          </w:p>
        </w:tc>
        <w:tc>
          <w:tcPr>
            <w:tcW w:w="0" w:type="auto"/>
            <w:shd w:val="clear" w:color="auto" w:fill="auto"/>
            <w:tcMar>
              <w:top w:w="40" w:type="dxa"/>
              <w:left w:w="40" w:type="dxa"/>
              <w:bottom w:w="40" w:type="dxa"/>
              <w:right w:w="40" w:type="dxa"/>
            </w:tcMar>
            <w:vAlign w:val="bottom"/>
          </w:tcPr>
          <w:p w14:paraId="42A10CD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2A10CD2" w14:textId="77777777" w:rsidR="00BB68E1" w:rsidRDefault="005D2D5E">
            <w:pPr>
              <w:jc w:val="right"/>
              <w:textAlignment w:val="top"/>
              <w:rPr>
                <w:rFonts w:ascii="Times New Roman" w:hAnsi="Times New Roman"/>
                <w:sz w:val="20"/>
                <w:szCs w:val="20"/>
              </w:rPr>
            </w:pPr>
            <w:r>
              <w:rPr>
                <w:rFonts w:ascii="Times New Roman" w:eastAsia="宋体" w:hAnsi="Times New Roman"/>
                <w:sz w:val="20"/>
                <w:szCs w:val="20"/>
              </w:rPr>
              <w:t>46</w:t>
            </w:r>
          </w:p>
        </w:tc>
        <w:tc>
          <w:tcPr>
            <w:tcW w:w="0" w:type="auto"/>
            <w:shd w:val="clear" w:color="auto" w:fill="auto"/>
            <w:vAlign w:val="bottom"/>
          </w:tcPr>
          <w:p w14:paraId="42A10CD3" w14:textId="77777777" w:rsidR="00BB68E1" w:rsidRDefault="00BB68E1">
            <w:pPr>
              <w:textAlignment w:val="bottom"/>
              <w:rPr>
                <w:rFonts w:ascii="Times New Roman" w:hAnsi="Times New Roman"/>
                <w:sz w:val="20"/>
                <w:szCs w:val="20"/>
              </w:rPr>
            </w:pPr>
          </w:p>
        </w:tc>
      </w:tr>
      <w:tr w:rsidR="00BB68E1" w14:paraId="42A10CDC" w14:textId="77777777">
        <w:tc>
          <w:tcPr>
            <w:tcW w:w="0" w:type="auto"/>
            <w:shd w:val="clear" w:color="auto" w:fill="auto"/>
            <w:tcMar>
              <w:top w:w="40" w:type="dxa"/>
              <w:left w:w="40" w:type="dxa"/>
              <w:bottom w:w="40" w:type="dxa"/>
              <w:right w:w="40" w:type="dxa"/>
            </w:tcMar>
            <w:vAlign w:val="bottom"/>
          </w:tcPr>
          <w:p w14:paraId="42A10CD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D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D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D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D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0CD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CE6" w14:textId="77777777">
        <w:tc>
          <w:tcPr>
            <w:tcW w:w="0" w:type="auto"/>
            <w:shd w:val="clear" w:color="auto" w:fill="auto"/>
            <w:tcMar>
              <w:top w:w="40" w:type="dxa"/>
              <w:left w:w="40" w:type="dxa"/>
              <w:bottom w:w="40" w:type="dxa"/>
              <w:right w:w="40" w:type="dxa"/>
            </w:tcMar>
          </w:tcPr>
          <w:p w14:paraId="42A10CDD"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C. Douglas McMillon</w:t>
            </w:r>
          </w:p>
        </w:tc>
        <w:tc>
          <w:tcPr>
            <w:tcW w:w="0" w:type="auto"/>
            <w:shd w:val="clear" w:color="auto" w:fill="auto"/>
            <w:tcMar>
              <w:top w:w="40" w:type="dxa"/>
              <w:left w:w="40" w:type="dxa"/>
              <w:bottom w:w="40" w:type="dxa"/>
              <w:right w:w="40" w:type="dxa"/>
            </w:tcMar>
            <w:vAlign w:val="bottom"/>
          </w:tcPr>
          <w:p w14:paraId="42A10CD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DF" w14:textId="77777777" w:rsidR="00BB68E1" w:rsidRDefault="005D2D5E">
            <w:pPr>
              <w:jc w:val="both"/>
              <w:textAlignment w:val="top"/>
              <w:rPr>
                <w:rFonts w:ascii="Times New Roman" w:hAnsi="Times New Roman"/>
                <w:sz w:val="20"/>
                <w:szCs w:val="20"/>
              </w:rPr>
            </w:pPr>
            <w:r>
              <w:rPr>
                <w:rFonts w:ascii="Times New Roman" w:eastAsia="宋体" w:hAnsi="Times New Roman"/>
                <w:sz w:val="20"/>
                <w:szCs w:val="20"/>
              </w:rPr>
              <w:t xml:space="preserve">President and Chief Executive Officer, effective February 2014. From February 2009 to January 2014, he served as Executive Vice President, </w:t>
            </w:r>
            <w:r>
              <w:rPr>
                <w:rFonts w:ascii="Times New Roman" w:eastAsia="宋体" w:hAnsi="Times New Roman"/>
                <w:sz w:val="20"/>
                <w:szCs w:val="20"/>
              </w:rPr>
              <w:t>President and Chief Executive Officer, Walmart International.</w:t>
            </w:r>
          </w:p>
          <w:p w14:paraId="42A10CE0" w14:textId="77777777" w:rsidR="00BB68E1" w:rsidRDefault="00BB68E1">
            <w:pPr>
              <w:jc w:val="both"/>
              <w:textAlignment w:val="top"/>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CE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E2"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2014</w:t>
            </w:r>
          </w:p>
        </w:tc>
        <w:tc>
          <w:tcPr>
            <w:tcW w:w="0" w:type="auto"/>
            <w:shd w:val="clear" w:color="auto" w:fill="auto"/>
            <w:tcMar>
              <w:top w:w="40" w:type="dxa"/>
              <w:left w:w="40" w:type="dxa"/>
              <w:bottom w:w="40" w:type="dxa"/>
              <w:right w:w="40" w:type="dxa"/>
            </w:tcMar>
            <w:vAlign w:val="bottom"/>
          </w:tcPr>
          <w:p w14:paraId="42A10CE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2A10CE4" w14:textId="77777777" w:rsidR="00BB68E1" w:rsidRDefault="005D2D5E">
            <w:pPr>
              <w:jc w:val="right"/>
              <w:textAlignment w:val="top"/>
              <w:rPr>
                <w:rFonts w:ascii="Times New Roman" w:hAnsi="Times New Roman"/>
                <w:sz w:val="20"/>
                <w:szCs w:val="20"/>
              </w:rPr>
            </w:pPr>
            <w:r>
              <w:rPr>
                <w:rFonts w:ascii="Times New Roman" w:eastAsia="宋体" w:hAnsi="Times New Roman"/>
                <w:sz w:val="20"/>
                <w:szCs w:val="20"/>
              </w:rPr>
              <w:t>53</w:t>
            </w:r>
          </w:p>
        </w:tc>
        <w:tc>
          <w:tcPr>
            <w:tcW w:w="0" w:type="auto"/>
            <w:shd w:val="clear" w:color="auto" w:fill="auto"/>
            <w:vAlign w:val="bottom"/>
          </w:tcPr>
          <w:p w14:paraId="42A10CE5" w14:textId="77777777" w:rsidR="00BB68E1" w:rsidRDefault="00BB68E1">
            <w:pPr>
              <w:textAlignment w:val="bottom"/>
              <w:rPr>
                <w:rFonts w:ascii="Times New Roman" w:hAnsi="Times New Roman"/>
                <w:sz w:val="20"/>
                <w:szCs w:val="20"/>
              </w:rPr>
            </w:pPr>
          </w:p>
        </w:tc>
      </w:tr>
      <w:tr w:rsidR="00BB68E1" w14:paraId="42A10CEE" w14:textId="77777777">
        <w:tc>
          <w:tcPr>
            <w:tcW w:w="0" w:type="auto"/>
            <w:shd w:val="clear" w:color="auto" w:fill="auto"/>
            <w:tcMar>
              <w:top w:w="40" w:type="dxa"/>
              <w:left w:w="40" w:type="dxa"/>
              <w:bottom w:w="40" w:type="dxa"/>
              <w:right w:w="40" w:type="dxa"/>
            </w:tcMar>
            <w:vAlign w:val="bottom"/>
          </w:tcPr>
          <w:p w14:paraId="42A10CE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E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E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E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E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CE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0CE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CF7" w14:textId="77777777">
        <w:tc>
          <w:tcPr>
            <w:tcW w:w="0" w:type="auto"/>
            <w:shd w:val="clear" w:color="auto" w:fill="auto"/>
            <w:tcMar>
              <w:top w:w="40" w:type="dxa"/>
              <w:left w:w="40" w:type="dxa"/>
              <w:bottom w:w="40" w:type="dxa"/>
              <w:right w:w="40" w:type="dxa"/>
            </w:tcMar>
          </w:tcPr>
          <w:p w14:paraId="42A10CEF"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Donna Morris</w:t>
            </w:r>
          </w:p>
        </w:tc>
        <w:tc>
          <w:tcPr>
            <w:tcW w:w="0" w:type="auto"/>
            <w:shd w:val="clear" w:color="auto" w:fill="auto"/>
            <w:tcMar>
              <w:top w:w="40" w:type="dxa"/>
              <w:left w:w="40" w:type="dxa"/>
              <w:bottom w:w="40" w:type="dxa"/>
              <w:right w:w="40" w:type="dxa"/>
            </w:tcMar>
            <w:vAlign w:val="bottom"/>
          </w:tcPr>
          <w:p w14:paraId="42A10CF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0CF1" w14:textId="77777777" w:rsidR="00BB68E1" w:rsidRDefault="005D2D5E">
            <w:pPr>
              <w:jc w:val="both"/>
              <w:textAlignment w:val="top"/>
              <w:rPr>
                <w:rFonts w:ascii="Times New Roman" w:hAnsi="Times New Roman"/>
                <w:sz w:val="20"/>
                <w:szCs w:val="20"/>
              </w:rPr>
            </w:pPr>
            <w:r>
              <w:rPr>
                <w:rFonts w:ascii="Times New Roman" w:eastAsia="宋体" w:hAnsi="Times New Roman"/>
                <w:sz w:val="20"/>
                <w:szCs w:val="20"/>
              </w:rPr>
              <w:t xml:space="preserve">Executive Vice President, Global People and Chief People Officer, effective February 2020.  From April 2002 to January 2020, she served at Adobe </w:t>
            </w:r>
            <w:r>
              <w:rPr>
                <w:rFonts w:ascii="Times New Roman" w:eastAsia="宋体" w:hAnsi="Times New Roman"/>
                <w:sz w:val="20"/>
                <w:szCs w:val="20"/>
              </w:rPr>
              <w:t xml:space="preserve">Inc. in various roles, including most recently, Chief Human Resources Officer and Executive Vice </w:t>
            </w:r>
            <w:r>
              <w:rPr>
                <w:rFonts w:ascii="Times New Roman" w:eastAsia="宋体" w:hAnsi="Times New Roman"/>
                <w:sz w:val="20"/>
                <w:szCs w:val="20"/>
              </w:rPr>
              <w:lastRenderedPageBreak/>
              <w:t>President, Employee Experience.</w:t>
            </w:r>
          </w:p>
        </w:tc>
        <w:tc>
          <w:tcPr>
            <w:tcW w:w="0" w:type="auto"/>
            <w:shd w:val="clear" w:color="auto" w:fill="auto"/>
            <w:tcMar>
              <w:top w:w="40" w:type="dxa"/>
              <w:left w:w="40" w:type="dxa"/>
              <w:bottom w:w="40" w:type="dxa"/>
              <w:right w:w="40" w:type="dxa"/>
            </w:tcMar>
            <w:vAlign w:val="bottom"/>
          </w:tcPr>
          <w:p w14:paraId="42A10CF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right w:w="40" w:type="dxa"/>
            </w:tcMar>
          </w:tcPr>
          <w:p w14:paraId="42A10CF3" w14:textId="77777777" w:rsidR="00BB68E1" w:rsidRDefault="005D2D5E">
            <w:pPr>
              <w:jc w:val="center"/>
              <w:textAlignment w:val="top"/>
              <w:rPr>
                <w:rFonts w:ascii="Times New Roman" w:hAnsi="Times New Roman"/>
                <w:sz w:val="20"/>
                <w:szCs w:val="20"/>
              </w:rPr>
            </w:pPr>
            <w:r>
              <w:rPr>
                <w:rFonts w:ascii="Times New Roman" w:eastAsia="宋体" w:hAnsi="Times New Roman"/>
                <w:sz w:val="20"/>
                <w:szCs w:val="20"/>
              </w:rPr>
              <w:t>2020</w:t>
            </w:r>
          </w:p>
        </w:tc>
        <w:tc>
          <w:tcPr>
            <w:tcW w:w="0" w:type="auto"/>
            <w:shd w:val="clear" w:color="auto" w:fill="auto"/>
            <w:tcMar>
              <w:top w:w="40" w:type="dxa"/>
              <w:left w:w="40" w:type="dxa"/>
              <w:bottom w:w="40" w:type="dxa"/>
              <w:right w:w="40" w:type="dxa"/>
            </w:tcMar>
            <w:vAlign w:val="bottom"/>
          </w:tcPr>
          <w:p w14:paraId="42A10CF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2A10CF5" w14:textId="77777777" w:rsidR="00BB68E1" w:rsidRDefault="005D2D5E">
            <w:pPr>
              <w:jc w:val="right"/>
              <w:textAlignment w:val="top"/>
              <w:rPr>
                <w:rFonts w:ascii="Times New Roman" w:hAnsi="Times New Roman"/>
                <w:sz w:val="20"/>
                <w:szCs w:val="20"/>
              </w:rPr>
            </w:pPr>
            <w:r>
              <w:rPr>
                <w:rFonts w:ascii="Times New Roman" w:eastAsia="宋体" w:hAnsi="Times New Roman"/>
                <w:sz w:val="20"/>
                <w:szCs w:val="20"/>
              </w:rPr>
              <w:t>52</w:t>
            </w:r>
          </w:p>
        </w:tc>
        <w:tc>
          <w:tcPr>
            <w:tcW w:w="0" w:type="auto"/>
            <w:shd w:val="clear" w:color="auto" w:fill="auto"/>
            <w:vAlign w:val="bottom"/>
          </w:tcPr>
          <w:p w14:paraId="42A10CF6" w14:textId="77777777" w:rsidR="00BB68E1" w:rsidRDefault="00BB68E1">
            <w:pPr>
              <w:textAlignment w:val="bottom"/>
              <w:rPr>
                <w:rFonts w:ascii="Times New Roman" w:hAnsi="Times New Roman"/>
                <w:sz w:val="20"/>
                <w:szCs w:val="20"/>
              </w:rPr>
            </w:pPr>
          </w:p>
        </w:tc>
      </w:tr>
    </w:tbl>
    <w:p w14:paraId="42A10CF8" w14:textId="77777777" w:rsidR="00BB68E1" w:rsidRDefault="00BB68E1">
      <w:pPr>
        <w:spacing w:line="288" w:lineRule="auto"/>
        <w:rPr>
          <w:rFonts w:ascii="Times New Roman" w:hAnsi="Times New Roman"/>
          <w:sz w:val="20"/>
          <w:szCs w:val="20"/>
        </w:rPr>
      </w:pPr>
    </w:p>
    <w:p w14:paraId="42A10CF9" w14:textId="77777777" w:rsidR="00BB68E1" w:rsidRDefault="00BB68E1">
      <w:pPr>
        <w:rPr>
          <w:rFonts w:ascii="Times New Roman" w:hAnsi="Times New Roman"/>
          <w:sz w:val="20"/>
          <w:szCs w:val="20"/>
        </w:rPr>
      </w:pPr>
    </w:p>
    <w:p w14:paraId="42A10CFA"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13</w:t>
      </w:r>
    </w:p>
    <w:p w14:paraId="42A10CFB" w14:textId="77777777" w:rsidR="00BB68E1" w:rsidRDefault="00BB68E1">
      <w:pPr>
        <w:spacing w:line="288" w:lineRule="auto"/>
        <w:jc w:val="center"/>
        <w:rPr>
          <w:rFonts w:ascii="Times New Roman" w:hAnsi="Times New Roman"/>
          <w:sz w:val="20"/>
          <w:szCs w:val="20"/>
        </w:rPr>
      </w:pPr>
    </w:p>
    <w:p w14:paraId="42A10CFC" w14:textId="77777777" w:rsidR="00BB68E1" w:rsidRDefault="005D2D5E">
      <w:r>
        <w:rPr>
          <w:rFonts w:ascii="Times New Roman" w:hAnsi="Times New Roman"/>
          <w:sz w:val="20"/>
          <w:szCs w:val="20"/>
        </w:rPr>
        <w:pict w14:anchorId="42A14282">
          <v:rect id="_x0000_i1037" style="width:415.3pt;height:1.5pt" o:hralign="center" o:hrstd="t" o:hr="t" fillcolor="#a0a0a0" stroked="f"/>
        </w:pict>
      </w:r>
    </w:p>
    <w:p w14:paraId="42A10CFD" w14:textId="77777777" w:rsidR="00BB68E1" w:rsidRDefault="00BB68E1">
      <w:pPr>
        <w:rPr>
          <w:rFonts w:ascii="Times New Roman" w:hAnsi="Times New Roman"/>
          <w:sz w:val="20"/>
          <w:szCs w:val="20"/>
        </w:rPr>
      </w:pPr>
    </w:p>
    <w:p w14:paraId="42A10CFE"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Our Website and Availability of SEC Reports and Other Information</w:t>
      </w:r>
    </w:p>
    <w:p w14:paraId="42A10CF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Our corporate website is </w:t>
      </w:r>
      <w:r>
        <w:rPr>
          <w:rFonts w:ascii="Times New Roman" w:eastAsia="宋体" w:hAnsi="Times New Roman"/>
          <w:sz w:val="20"/>
          <w:szCs w:val="20"/>
        </w:rPr>
        <w:t xml:space="preserve">located at www.stock.walmart.com. We file with or furnish to the SEC Annual Reports on Form 10-K, Quarterly Reports on Form 10-Q, Current Reports on Form 8-K, amendments to those reports, proxy statements and annual reports to shareholders, and, from time </w:t>
      </w:r>
      <w:r>
        <w:rPr>
          <w:rFonts w:ascii="Times New Roman" w:eastAsia="宋体" w:hAnsi="Times New Roman"/>
          <w:sz w:val="20"/>
          <w:szCs w:val="20"/>
        </w:rPr>
        <w:t>to time, other documents. The reports and other documents filed with or furnished to the SEC are available to investors on or through our corporate website free of charge as soon as reasonably practicable after we electronically file them with or furnish t</w:t>
      </w:r>
      <w:r>
        <w:rPr>
          <w:rFonts w:ascii="Times New Roman" w:eastAsia="宋体" w:hAnsi="Times New Roman"/>
          <w:sz w:val="20"/>
          <w:szCs w:val="20"/>
        </w:rPr>
        <w:t>hem to the SEC. The SEC maintains a website that contains reports, proxy and information statements and other information regarding issuers, such as the Company, that file electronically with the SEC. The address of that website is www.sec.gov. Our SEC fil</w:t>
      </w:r>
      <w:r>
        <w:rPr>
          <w:rFonts w:ascii="Times New Roman" w:eastAsia="宋体" w:hAnsi="Times New Roman"/>
          <w:sz w:val="20"/>
          <w:szCs w:val="20"/>
        </w:rPr>
        <w:t>ings, our Code of Ethics for our CEO and senior financial officers and our Statement of Ethics can be found on our website at www.stock.walmart.com. These documents are available in print to any shareholder who requests a copy by writing or calling our Inv</w:t>
      </w:r>
      <w:r>
        <w:rPr>
          <w:rFonts w:ascii="Times New Roman" w:eastAsia="宋体" w:hAnsi="Times New Roman"/>
          <w:sz w:val="20"/>
          <w:szCs w:val="20"/>
        </w:rPr>
        <w:t>estor Relations Department, which is located at our principal offices.</w:t>
      </w:r>
    </w:p>
    <w:p w14:paraId="42A10D0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 description of any substantive amendment or waiver of Walmart's Code of Ethics for the CEO and senior financial officers or our Statement of Ethics for our chief executive officer, ou</w:t>
      </w:r>
      <w:r>
        <w:rPr>
          <w:rFonts w:ascii="Times New Roman" w:eastAsia="宋体" w:hAnsi="Times New Roman"/>
          <w:sz w:val="20"/>
          <w:szCs w:val="20"/>
        </w:rPr>
        <w:t xml:space="preserve">r chief financial officer and our controller, who is our principal accounting officer, will be disclosed on our website at www.stock.walmart.com under the Corporate Governance section. Any such description will be located on our website for a period of 12 </w:t>
      </w:r>
      <w:r>
        <w:rPr>
          <w:rFonts w:ascii="Times New Roman" w:eastAsia="宋体" w:hAnsi="Times New Roman"/>
          <w:sz w:val="20"/>
          <w:szCs w:val="20"/>
        </w:rPr>
        <w:t>months following the amendment or waiver.</w:t>
      </w:r>
    </w:p>
    <w:tbl>
      <w:tblPr>
        <w:tblW w:w="1511" w:type="pct"/>
        <w:tblCellMar>
          <w:left w:w="0" w:type="dxa"/>
          <w:right w:w="0" w:type="dxa"/>
        </w:tblCellMar>
        <w:tblLook w:val="04A0" w:firstRow="1" w:lastRow="0" w:firstColumn="1" w:lastColumn="0" w:noHBand="0" w:noVBand="1"/>
      </w:tblPr>
      <w:tblGrid>
        <w:gridCol w:w="958"/>
        <w:gridCol w:w="1552"/>
      </w:tblGrid>
      <w:tr w:rsidR="00BB68E1" w14:paraId="42A10D02" w14:textId="77777777">
        <w:tc>
          <w:tcPr>
            <w:tcW w:w="0" w:type="auto"/>
            <w:gridSpan w:val="2"/>
            <w:shd w:val="clear" w:color="auto" w:fill="auto"/>
            <w:vAlign w:val="center"/>
          </w:tcPr>
          <w:p w14:paraId="42A10D01" w14:textId="77777777" w:rsidR="00BB68E1" w:rsidRDefault="00BB68E1">
            <w:pPr>
              <w:rPr>
                <w:rFonts w:ascii="Times New Roman" w:hAnsi="Times New Roman"/>
                <w:sz w:val="20"/>
                <w:szCs w:val="20"/>
              </w:rPr>
            </w:pPr>
          </w:p>
        </w:tc>
      </w:tr>
      <w:tr w:rsidR="00BB68E1" w14:paraId="42A10D05" w14:textId="77777777">
        <w:tc>
          <w:tcPr>
            <w:tcW w:w="1750" w:type="pct"/>
            <w:shd w:val="clear" w:color="auto" w:fill="auto"/>
            <w:vAlign w:val="center"/>
          </w:tcPr>
          <w:p w14:paraId="42A10D03" w14:textId="77777777" w:rsidR="00BB68E1" w:rsidRDefault="00BB68E1">
            <w:pPr>
              <w:rPr>
                <w:rFonts w:ascii="Times New Roman" w:hAnsi="Times New Roman"/>
                <w:sz w:val="20"/>
                <w:szCs w:val="20"/>
              </w:rPr>
            </w:pPr>
          </w:p>
        </w:tc>
        <w:tc>
          <w:tcPr>
            <w:tcW w:w="3250" w:type="pct"/>
            <w:shd w:val="clear" w:color="auto" w:fill="auto"/>
            <w:vAlign w:val="center"/>
          </w:tcPr>
          <w:p w14:paraId="42A10D04" w14:textId="77777777" w:rsidR="00BB68E1" w:rsidRDefault="00BB68E1">
            <w:pPr>
              <w:rPr>
                <w:rFonts w:ascii="Times New Roman" w:hAnsi="Times New Roman"/>
                <w:sz w:val="20"/>
                <w:szCs w:val="20"/>
              </w:rPr>
            </w:pPr>
          </w:p>
        </w:tc>
      </w:tr>
      <w:tr w:rsidR="00BB68E1" w14:paraId="42A10D08" w14:textId="77777777">
        <w:tc>
          <w:tcPr>
            <w:tcW w:w="0" w:type="auto"/>
            <w:shd w:val="clear" w:color="auto" w:fill="auto"/>
            <w:tcMar>
              <w:top w:w="40" w:type="dxa"/>
              <w:left w:w="40" w:type="dxa"/>
              <w:bottom w:w="40" w:type="dxa"/>
              <w:right w:w="40" w:type="dxa"/>
            </w:tcMar>
          </w:tcPr>
          <w:p w14:paraId="42A10D06"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1A.</w:t>
            </w:r>
          </w:p>
        </w:tc>
        <w:tc>
          <w:tcPr>
            <w:tcW w:w="0" w:type="auto"/>
            <w:shd w:val="clear" w:color="auto" w:fill="auto"/>
            <w:tcMar>
              <w:top w:w="40" w:type="dxa"/>
              <w:left w:w="40" w:type="dxa"/>
              <w:bottom w:w="40" w:type="dxa"/>
              <w:right w:w="40" w:type="dxa"/>
            </w:tcMar>
          </w:tcPr>
          <w:p w14:paraId="42A10D07"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RISK FACTORS</w:t>
            </w:r>
          </w:p>
        </w:tc>
      </w:tr>
    </w:tbl>
    <w:p w14:paraId="42A10D0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risks described below could, in ways we may or may not be able to accurately predict, materially and adversely affect our business, results of operations, financial </w:t>
      </w:r>
      <w:r>
        <w:rPr>
          <w:rFonts w:ascii="Times New Roman" w:eastAsia="宋体" w:hAnsi="Times New Roman"/>
          <w:sz w:val="20"/>
          <w:szCs w:val="20"/>
        </w:rPr>
        <w:t>condition and liquidity. Our business operations could also be affected by additional factors that apply to all companies operating in the U.S. and globally. The following risk factors do not identify all risks that we may face.</w:t>
      </w:r>
    </w:p>
    <w:p w14:paraId="42A10D0A"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Strategic Risks</w:t>
      </w:r>
    </w:p>
    <w:p w14:paraId="42A10D0B"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General or macro-economic factors, both domestically and internationally, may materially adversely affect our financial performance.</w:t>
      </w:r>
    </w:p>
    <w:p w14:paraId="42A10D0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General economic conditions and other economic factors, globally or in one or more of the markets we serve, may adversely a</w:t>
      </w:r>
      <w:r>
        <w:rPr>
          <w:rFonts w:ascii="Times New Roman" w:eastAsia="宋体" w:hAnsi="Times New Roman"/>
          <w:sz w:val="20"/>
          <w:szCs w:val="20"/>
        </w:rPr>
        <w:t>ffect our financial performance. Higher interest rates, lower or higher prices of petroleum products, including crude oil, natural gas, gasoline, and diesel fuel, higher costs for electricity and other energy, weakness in the housing market, inflation, def</w:t>
      </w:r>
      <w:r>
        <w:rPr>
          <w:rFonts w:ascii="Times New Roman" w:eastAsia="宋体" w:hAnsi="Times New Roman"/>
          <w:sz w:val="20"/>
          <w:szCs w:val="20"/>
        </w:rPr>
        <w:t>lation, increased costs of essential services, such as medical care and utilities, higher levels of unemployment, decreases in consumer disposable income, unavailability of consumer credit, higher consumer debt levels, changes in consumer spending and shop</w:t>
      </w:r>
      <w:r>
        <w:rPr>
          <w:rFonts w:ascii="Times New Roman" w:eastAsia="宋体" w:hAnsi="Times New Roman"/>
          <w:sz w:val="20"/>
          <w:szCs w:val="20"/>
        </w:rPr>
        <w:t>ping patterns, fluctuations in currency exchange rates, higher tax rates, imposition of new taxes or other changes in tax laws, changes in healthcare laws, other regulatory changes, the imposition of tariffs or other measures that create barriers to or inc</w:t>
      </w:r>
      <w:r>
        <w:rPr>
          <w:rFonts w:ascii="Times New Roman" w:eastAsia="宋体" w:hAnsi="Times New Roman"/>
          <w:sz w:val="20"/>
          <w:szCs w:val="20"/>
        </w:rPr>
        <w:t>rease the costs associated with international trade, overall economic slowdown or recession and other economic factors in the U.S. or in any of the other markets in which we operate could adversely affect consumer demand for the products we sell in the U.S</w:t>
      </w:r>
      <w:r>
        <w:rPr>
          <w:rFonts w:ascii="Times New Roman" w:eastAsia="宋体" w:hAnsi="Times New Roman"/>
          <w:sz w:val="20"/>
          <w:szCs w:val="20"/>
        </w:rPr>
        <w:t xml:space="preserve">. or such other markets, change the mix of products we sell to one with a lower average gross margin, cause a slowdown in discretionary purchases of goods, adversely affect our net sales and result in slower inventory turnover and greater markdowns of </w:t>
      </w:r>
      <w:r>
        <w:rPr>
          <w:rFonts w:ascii="Times New Roman" w:eastAsia="宋体" w:hAnsi="Times New Roman"/>
          <w:sz w:val="20"/>
          <w:szCs w:val="20"/>
        </w:rPr>
        <w:lastRenderedPageBreak/>
        <w:t>inve</w:t>
      </w:r>
      <w:r>
        <w:rPr>
          <w:rFonts w:ascii="Times New Roman" w:eastAsia="宋体" w:hAnsi="Times New Roman"/>
          <w:sz w:val="20"/>
          <w:szCs w:val="20"/>
        </w:rPr>
        <w:t>ntory, or otherwise materially adversely affect our operations and operating results and could result in impairment charges to intangible assets, goodwill or other long-lived assets.</w:t>
      </w:r>
    </w:p>
    <w:p w14:paraId="42A10D0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addition, the economic factors listed above, any other economic factor</w:t>
      </w:r>
      <w:r>
        <w:rPr>
          <w:rFonts w:ascii="Times New Roman" w:eastAsia="宋体" w:hAnsi="Times New Roman"/>
          <w:sz w:val="20"/>
          <w:szCs w:val="20"/>
        </w:rPr>
        <w:t>s or circumstances resulting in higher transportation, labor, insurance or healthcare costs or commodity prices, and other economic factors in the U.S. and other countries in which we operate can increase our cost of sales and operating, selling, general a</w:t>
      </w:r>
      <w:r>
        <w:rPr>
          <w:rFonts w:ascii="Times New Roman" w:eastAsia="宋体" w:hAnsi="Times New Roman"/>
          <w:sz w:val="20"/>
          <w:szCs w:val="20"/>
        </w:rPr>
        <w:t>nd administrative expenses and otherwise materially adversely affect our operations and operating results.</w:t>
      </w:r>
    </w:p>
    <w:p w14:paraId="42A10D0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economic factors that affect our operations may also adversely affect the operations of our suppliers, which can result in an increase in the cos</w:t>
      </w:r>
      <w:r>
        <w:rPr>
          <w:rFonts w:ascii="Times New Roman" w:eastAsia="宋体" w:hAnsi="Times New Roman"/>
          <w:sz w:val="20"/>
          <w:szCs w:val="20"/>
        </w:rPr>
        <w:t>t to us of the goods we sell to our customers or, in more extreme cases, in certain suppliers not producing goods in the volume typically available to us for sale.</w:t>
      </w:r>
    </w:p>
    <w:p w14:paraId="42A10D0F"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We face strong competition from other retailers and wholesale club operators which could mat</w:t>
      </w:r>
      <w:r>
        <w:rPr>
          <w:rFonts w:ascii="Times New Roman" w:eastAsia="宋体" w:hAnsi="Times New Roman"/>
          <w:b/>
          <w:bCs/>
          <w:sz w:val="20"/>
          <w:szCs w:val="20"/>
        </w:rPr>
        <w:t>erially adversely affect our financial performance.</w:t>
      </w:r>
    </w:p>
    <w:p w14:paraId="42A10D1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Each of our segments competes for customers, employees, digital prominence, products and services and in other important aspects of its business with many other local, regional, national and global eComme</w:t>
      </w:r>
      <w:r>
        <w:rPr>
          <w:rFonts w:ascii="Times New Roman" w:eastAsia="宋体" w:hAnsi="Times New Roman"/>
          <w:sz w:val="20"/>
          <w:szCs w:val="20"/>
        </w:rPr>
        <w:t>rce and omni-channel retailers, wholesale club operators and retail intermediaries.</w:t>
      </w:r>
    </w:p>
    <w:p w14:paraId="42A10D1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compete in a variety of ways, including the prices at which we sell our merchandise, merchandise selection and availability, services offered to customers, location, sto</w:t>
      </w:r>
      <w:r>
        <w:rPr>
          <w:rFonts w:ascii="Times New Roman" w:eastAsia="宋体" w:hAnsi="Times New Roman"/>
          <w:sz w:val="20"/>
          <w:szCs w:val="20"/>
        </w:rPr>
        <w:t>re hours, in-store amenities, the shopping convenience and overall shopping experience we offer, the attractiveness and ease of use of our digital platforms, cost and speed of and options for delivery to customers of merchandise purchased through our digit</w:t>
      </w:r>
      <w:r>
        <w:rPr>
          <w:rFonts w:ascii="Times New Roman" w:eastAsia="宋体" w:hAnsi="Times New Roman"/>
          <w:sz w:val="20"/>
          <w:szCs w:val="20"/>
        </w:rPr>
        <w:t>al platforms or through our omni-channel integration of our physical and digital operations.</w:t>
      </w:r>
    </w:p>
    <w:p w14:paraId="42A10D12" w14:textId="77777777" w:rsidR="00BB68E1" w:rsidRDefault="00BB68E1">
      <w:pPr>
        <w:rPr>
          <w:rFonts w:ascii="Times New Roman" w:hAnsi="Times New Roman"/>
          <w:sz w:val="20"/>
          <w:szCs w:val="20"/>
        </w:rPr>
      </w:pPr>
    </w:p>
    <w:p w14:paraId="42A10D13"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14</w:t>
      </w:r>
    </w:p>
    <w:p w14:paraId="42A10D14" w14:textId="77777777" w:rsidR="00BB68E1" w:rsidRDefault="00BB68E1">
      <w:pPr>
        <w:spacing w:line="288" w:lineRule="auto"/>
        <w:jc w:val="center"/>
        <w:rPr>
          <w:rFonts w:ascii="Times New Roman" w:hAnsi="Times New Roman"/>
          <w:sz w:val="20"/>
          <w:szCs w:val="20"/>
        </w:rPr>
      </w:pPr>
    </w:p>
    <w:p w14:paraId="42A10D15" w14:textId="77777777" w:rsidR="00BB68E1" w:rsidRDefault="005D2D5E">
      <w:r>
        <w:rPr>
          <w:rFonts w:ascii="Times New Roman" w:hAnsi="Times New Roman"/>
          <w:sz w:val="20"/>
          <w:szCs w:val="20"/>
        </w:rPr>
        <w:pict w14:anchorId="42A14283">
          <v:rect id="_x0000_i1038" style="width:415.3pt;height:1.5pt" o:hralign="center" o:hrstd="t" o:hr="t" fillcolor="#a0a0a0" stroked="f"/>
        </w:pict>
      </w:r>
    </w:p>
    <w:p w14:paraId="42A10D16" w14:textId="77777777" w:rsidR="00BB68E1" w:rsidRDefault="00BB68E1">
      <w:pPr>
        <w:rPr>
          <w:rFonts w:ascii="Times New Roman" w:hAnsi="Times New Roman"/>
          <w:sz w:val="20"/>
          <w:szCs w:val="20"/>
        </w:rPr>
      </w:pPr>
    </w:p>
    <w:p w14:paraId="42A10D1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 failure to respond effectively to competitive pressures and changes in the retail markets or delays or failure in execution of our strategy could materia</w:t>
      </w:r>
      <w:r>
        <w:rPr>
          <w:rFonts w:ascii="Times New Roman" w:eastAsia="宋体" w:hAnsi="Times New Roman"/>
          <w:sz w:val="20"/>
          <w:szCs w:val="20"/>
        </w:rPr>
        <w:t>lly adversely affect our financial performance. See "</w:t>
      </w:r>
      <w:hyperlink r:id="rId77" w:anchor="s56BB582E1F7151349909909831A40BD4" w:history="1">
        <w:r>
          <w:rPr>
            <w:rStyle w:val="a5"/>
            <w:rFonts w:ascii="Times New Roman" w:eastAsia="宋体" w:hAnsi="Times New Roman"/>
            <w:sz w:val="20"/>
            <w:szCs w:val="20"/>
          </w:rPr>
          <w:t>Item 1. Business</w:t>
        </w:r>
      </w:hyperlink>
      <w:r>
        <w:rPr>
          <w:rFonts w:ascii="Times New Roman" w:eastAsia="宋体" w:hAnsi="Times New Roman"/>
          <w:sz w:val="20"/>
          <w:szCs w:val="20"/>
        </w:rPr>
        <w:t>" above for additional discuss</w:t>
      </w:r>
      <w:r>
        <w:rPr>
          <w:rFonts w:ascii="Times New Roman" w:eastAsia="宋体" w:hAnsi="Times New Roman"/>
          <w:sz w:val="20"/>
          <w:szCs w:val="20"/>
        </w:rPr>
        <w:t>ion of the competitive situation of each of our reportable segments.</w:t>
      </w:r>
    </w:p>
    <w:p w14:paraId="42A10D1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Certain segments of the retail industry are undergoing consolidation, which could result in increased competition and significantly alter the dynamics of the retail marketplace. Other seg</w:t>
      </w:r>
      <w:r>
        <w:rPr>
          <w:rFonts w:ascii="Times New Roman" w:eastAsia="宋体" w:hAnsi="Times New Roman"/>
          <w:sz w:val="20"/>
          <w:szCs w:val="20"/>
        </w:rPr>
        <w:t>ments are substantially reducing operations which could also result in competition rushing to fill the void created by such corporate actions. Such consolidation, or other business combinations or alliances, or reduction in operation may result in competit</w:t>
      </w:r>
      <w:r>
        <w:rPr>
          <w:rFonts w:ascii="Times New Roman" w:eastAsia="宋体" w:hAnsi="Times New Roman"/>
          <w:sz w:val="20"/>
          <w:szCs w:val="20"/>
        </w:rPr>
        <w:t>ors with greatly improved financial resources, improved access to merchandise, greater market penetration than they previously enjoyed and other improvements in their competitive positions. Such business combinations or alliances could result in the provis</w:t>
      </w:r>
      <w:r>
        <w:rPr>
          <w:rFonts w:ascii="Times New Roman" w:eastAsia="宋体" w:hAnsi="Times New Roman"/>
          <w:sz w:val="20"/>
          <w:szCs w:val="20"/>
        </w:rPr>
        <w:t>ion of a wider variety of products and services at competitive prices by such consolidated or aligned companies, which could adversely affect our financial performance.</w:t>
      </w:r>
    </w:p>
    <w:p w14:paraId="42A10D19"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 xml:space="preserve">If we do not timely identify or effectively respond to consumer trends or preferences, </w:t>
      </w:r>
      <w:r>
        <w:rPr>
          <w:rFonts w:ascii="Times New Roman" w:eastAsia="宋体" w:hAnsi="Times New Roman"/>
          <w:b/>
          <w:bCs/>
          <w:sz w:val="20"/>
          <w:szCs w:val="20"/>
        </w:rPr>
        <w:t>it could negatively affect our relationship with our customers, demand for the products and services we sell, our market share and the growth of our business.</w:t>
      </w:r>
    </w:p>
    <w:p w14:paraId="42A10D1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It is difficult to predict consistently and successfully the products and services our customers </w:t>
      </w:r>
      <w:r>
        <w:rPr>
          <w:rFonts w:ascii="Times New Roman" w:eastAsia="宋体" w:hAnsi="Times New Roman"/>
          <w:sz w:val="20"/>
          <w:szCs w:val="20"/>
        </w:rPr>
        <w:t>will demand and changes in their shopping patterns. The success of our business depends in part on how accurately we predict consumer demand, availability of merchandise, the related impact on the demand for existing products and the competitive environmen</w:t>
      </w:r>
      <w:r>
        <w:rPr>
          <w:rFonts w:ascii="Times New Roman" w:eastAsia="宋体" w:hAnsi="Times New Roman"/>
          <w:sz w:val="20"/>
          <w:szCs w:val="20"/>
        </w:rPr>
        <w:t>t. Price transparency, assortment of products, customer experience, convenience, ease and the speed and cost of shipping are of primary importance to customers and continue to increase in importance, particularly as a result of digital tools and social med</w:t>
      </w:r>
      <w:r>
        <w:rPr>
          <w:rFonts w:ascii="Times New Roman" w:eastAsia="宋体" w:hAnsi="Times New Roman"/>
          <w:sz w:val="20"/>
          <w:szCs w:val="20"/>
        </w:rPr>
        <w:t xml:space="preserve">ia available to consumers and the choices available to consumers for purchasing products. Our </w:t>
      </w:r>
      <w:r>
        <w:rPr>
          <w:rFonts w:ascii="Times New Roman" w:eastAsia="宋体" w:hAnsi="Times New Roman"/>
          <w:sz w:val="20"/>
          <w:szCs w:val="20"/>
        </w:rPr>
        <w:lastRenderedPageBreak/>
        <w:t>failure to adequately or effectively respond to changing consumer tastes, preferences and shopping patterns, or any other failure on our part to timely identify o</w:t>
      </w:r>
      <w:r>
        <w:rPr>
          <w:rFonts w:ascii="Times New Roman" w:eastAsia="宋体" w:hAnsi="Times New Roman"/>
          <w:sz w:val="20"/>
          <w:szCs w:val="20"/>
        </w:rPr>
        <w:t>r effectively respond to changing consumer tastes, preferences and shopping patterns could negatively affect our relationship with our customers, the demand for the products we sell or services we offer, our market share and the growth of our business.</w:t>
      </w:r>
    </w:p>
    <w:p w14:paraId="42A10D1B"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Fai</w:t>
      </w:r>
      <w:r>
        <w:rPr>
          <w:rFonts w:ascii="Times New Roman" w:eastAsia="宋体" w:hAnsi="Times New Roman"/>
          <w:b/>
          <w:bCs/>
          <w:sz w:val="20"/>
          <w:szCs w:val="20"/>
        </w:rPr>
        <w:t>lure to successfully execute our omni-channel strategy and the cost of our investments in eCommerce and technology may materially adversely affect our market position, net sales and financial performance.</w:t>
      </w:r>
    </w:p>
    <w:p w14:paraId="42A10D1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retail business continues to rapidly evolve and</w:t>
      </w:r>
      <w:r>
        <w:rPr>
          <w:rFonts w:ascii="Times New Roman" w:eastAsia="宋体" w:hAnsi="Times New Roman"/>
          <w:sz w:val="20"/>
          <w:szCs w:val="20"/>
        </w:rPr>
        <w:t xml:space="preserve"> consumers increasingly embrace digital shopping. As a result, the portion of total consumer expenditures with retailers and wholesale clubs occurring through digital platforms is increasing and the pace of this increase could accelerate. </w:t>
      </w:r>
    </w:p>
    <w:p w14:paraId="42A10D1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Our strategy, which includes investments in eCommerce, technology, acquisitions, joint ventures, store remodels and other customer initiatives may not adequately or effectively allow us to grow our eCommerce business, increase comparable store sales, maint</w:t>
      </w:r>
      <w:r>
        <w:rPr>
          <w:rFonts w:ascii="Times New Roman" w:eastAsia="宋体" w:hAnsi="Times New Roman"/>
          <w:sz w:val="20"/>
          <w:szCs w:val="20"/>
        </w:rPr>
        <w:t>ain or grow our overall market position or otherwise offset the impact on the growth of our business of a moderated pace of new store and club openings. The success of this strategy will depend in large measure on our ability to continue building and deliv</w:t>
      </w:r>
      <w:r>
        <w:rPr>
          <w:rFonts w:ascii="Times New Roman" w:eastAsia="宋体" w:hAnsi="Times New Roman"/>
          <w:sz w:val="20"/>
          <w:szCs w:val="20"/>
        </w:rPr>
        <w:t xml:space="preserve">ering a seamless omni-channel shopping experience for our customers and is further subject to the related risks discussed in this </w:t>
      </w:r>
      <w:hyperlink r:id="rId78" w:anchor="s7B5987C7074851A38C2BDBF2DED3E8FF" w:history="1">
        <w:r>
          <w:rPr>
            <w:rStyle w:val="a5"/>
            <w:rFonts w:ascii="Times New Roman" w:eastAsia="宋体" w:hAnsi="Times New Roman"/>
            <w:sz w:val="20"/>
            <w:szCs w:val="20"/>
          </w:rPr>
          <w:t>Item 1A</w:t>
        </w:r>
      </w:hyperlink>
      <w:r>
        <w:rPr>
          <w:rFonts w:ascii="Times New Roman" w:eastAsia="宋体" w:hAnsi="Times New Roman"/>
          <w:sz w:val="20"/>
          <w:szCs w:val="20"/>
        </w:rPr>
        <w:t>. Failure to successfully execute this strategy may adversely affect our market position, net sales and financial performance which could also result in impairment charges to intangible assets or other long-lived asset</w:t>
      </w:r>
      <w:r>
        <w:rPr>
          <w:rFonts w:ascii="Times New Roman" w:eastAsia="宋体" w:hAnsi="Times New Roman"/>
          <w:sz w:val="20"/>
          <w:szCs w:val="20"/>
        </w:rPr>
        <w:t>s. In addition, a greater concentration of eCommerce sales, including increasing online grocery sales, could result in a reduction in the amount of traffic in our stores and clubs, which would, in turn, reduce the opportunities for cross-store or cross-clu</w:t>
      </w:r>
      <w:r>
        <w:rPr>
          <w:rFonts w:ascii="Times New Roman" w:eastAsia="宋体" w:hAnsi="Times New Roman"/>
          <w:sz w:val="20"/>
          <w:szCs w:val="20"/>
        </w:rPr>
        <w:t>b sales of merchandise that such traffic creates and could reduce our sales within our stores and clubs and materially adversely affect our financial performance.</w:t>
      </w:r>
    </w:p>
    <w:p w14:paraId="42A10D1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Furthermore, the cost of certain eCommerce and technology investments, including any operatin</w:t>
      </w:r>
      <w:r>
        <w:rPr>
          <w:rFonts w:ascii="Times New Roman" w:eastAsia="宋体" w:hAnsi="Times New Roman"/>
          <w:sz w:val="20"/>
          <w:szCs w:val="20"/>
        </w:rPr>
        <w:t>g losses incurred, will adversely impact our financial performance in the short-term and failure to realize the benefits of these investments may adversely impact our financial performance over the longer term.</w:t>
      </w:r>
    </w:p>
    <w:p w14:paraId="42A10D1F"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The performance of strategic alliances and ot</w:t>
      </w:r>
      <w:r>
        <w:rPr>
          <w:rFonts w:ascii="Times New Roman" w:eastAsia="宋体" w:hAnsi="Times New Roman"/>
          <w:b/>
          <w:bCs/>
          <w:sz w:val="20"/>
          <w:szCs w:val="20"/>
        </w:rPr>
        <w:t>her business relationships to support the expansion of our business could materially adversely affect our financial performance.</w:t>
      </w:r>
    </w:p>
    <w:p w14:paraId="42A10D2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may enter into strategic alliances and other business relationships in the countries in which we have existing operations or</w:t>
      </w:r>
      <w:r>
        <w:rPr>
          <w:rFonts w:ascii="Times New Roman" w:eastAsia="宋体" w:hAnsi="Times New Roman"/>
          <w:sz w:val="20"/>
          <w:szCs w:val="20"/>
        </w:rPr>
        <w:t xml:space="preserve"> in other markets to expand our retail operations. These arrangements may not generate the level of sales we anticipate when entering into the arrangement or may otherwise adversely impact our business and competitive position relative to the results we co</w:t>
      </w:r>
      <w:r>
        <w:rPr>
          <w:rFonts w:ascii="Times New Roman" w:eastAsia="宋体" w:hAnsi="Times New Roman"/>
          <w:sz w:val="20"/>
          <w:szCs w:val="20"/>
        </w:rPr>
        <w:t>uld have achieved in the absence of such alliance. In addition, any investment we make in connection with a strategic alliance or business relationship could materially adversely affect our financial performance.</w:t>
      </w:r>
    </w:p>
    <w:p w14:paraId="42A10D21" w14:textId="77777777" w:rsidR="00BB68E1" w:rsidRDefault="00BB68E1">
      <w:pPr>
        <w:rPr>
          <w:rFonts w:ascii="Times New Roman" w:hAnsi="Times New Roman"/>
          <w:sz w:val="20"/>
          <w:szCs w:val="20"/>
        </w:rPr>
      </w:pPr>
    </w:p>
    <w:p w14:paraId="42A10D22"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15</w:t>
      </w:r>
    </w:p>
    <w:p w14:paraId="42A10D23" w14:textId="77777777" w:rsidR="00BB68E1" w:rsidRDefault="00BB68E1">
      <w:pPr>
        <w:spacing w:line="288" w:lineRule="auto"/>
        <w:jc w:val="center"/>
        <w:rPr>
          <w:rFonts w:ascii="Times New Roman" w:hAnsi="Times New Roman"/>
          <w:sz w:val="20"/>
          <w:szCs w:val="20"/>
        </w:rPr>
      </w:pPr>
    </w:p>
    <w:p w14:paraId="42A10D24" w14:textId="77777777" w:rsidR="00BB68E1" w:rsidRDefault="005D2D5E">
      <w:r>
        <w:rPr>
          <w:rFonts w:ascii="Times New Roman" w:hAnsi="Times New Roman"/>
          <w:sz w:val="20"/>
          <w:szCs w:val="20"/>
        </w:rPr>
        <w:pict w14:anchorId="42A14284">
          <v:rect id="_x0000_i1039" style="width:415.3pt;height:1.5pt" o:hralign="center" o:hrstd="t" o:hr="t" fillcolor="#a0a0a0" stroked="f"/>
        </w:pict>
      </w:r>
    </w:p>
    <w:p w14:paraId="42A10D25" w14:textId="77777777" w:rsidR="00BB68E1" w:rsidRDefault="00BB68E1">
      <w:pPr>
        <w:rPr>
          <w:rFonts w:ascii="Times New Roman" w:hAnsi="Times New Roman"/>
          <w:sz w:val="20"/>
          <w:szCs w:val="20"/>
        </w:rPr>
      </w:pPr>
    </w:p>
    <w:p w14:paraId="42A10D26"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Operational Risks</w:t>
      </w:r>
    </w:p>
    <w:p w14:paraId="42A10D27"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 xml:space="preserve">Natural </w:t>
      </w:r>
      <w:r>
        <w:rPr>
          <w:rFonts w:ascii="Times New Roman" w:eastAsia="宋体" w:hAnsi="Times New Roman"/>
          <w:b/>
          <w:bCs/>
          <w:sz w:val="20"/>
          <w:szCs w:val="20"/>
        </w:rPr>
        <w:t>disasters, changes in climate, and geo-political events and catastrophic events could materially adversely affect our financial performance.</w:t>
      </w:r>
    </w:p>
    <w:p w14:paraId="42A10D2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occurrence of one or more natural disasters, such as hurricanes, tropical storms, floods, fires, earthquakes, t</w:t>
      </w:r>
      <w:r>
        <w:rPr>
          <w:rFonts w:ascii="Times New Roman" w:eastAsia="宋体" w:hAnsi="Times New Roman"/>
          <w:sz w:val="20"/>
          <w:szCs w:val="20"/>
        </w:rPr>
        <w:t>sunamis, cyclones, typhoons; weather conditions such as major or extended winter storms, droughts and tornadoes, whether as a result of climate change or otherwise; severe changes in climate; geo-political events; global health epidemics or pandemics or ot</w:t>
      </w:r>
      <w:r>
        <w:rPr>
          <w:rFonts w:ascii="Times New Roman" w:eastAsia="宋体" w:hAnsi="Times New Roman"/>
          <w:sz w:val="20"/>
          <w:szCs w:val="20"/>
        </w:rPr>
        <w:t xml:space="preserve">her contagious outbreaks such as the recent coronavirus (COVID-19) outbreak; and catastrophic events, such as war, civil unrest, terrorist attacks or other acts of violence, including active shooter situations (such as those that have occurred in </w:t>
      </w:r>
      <w:r>
        <w:rPr>
          <w:rFonts w:ascii="Times New Roman" w:eastAsia="宋体" w:hAnsi="Times New Roman"/>
          <w:sz w:val="20"/>
          <w:szCs w:val="20"/>
        </w:rPr>
        <w:lastRenderedPageBreak/>
        <w:t xml:space="preserve">our U.S. </w:t>
      </w:r>
      <w:r>
        <w:rPr>
          <w:rFonts w:ascii="Times New Roman" w:eastAsia="宋体" w:hAnsi="Times New Roman"/>
          <w:sz w:val="20"/>
          <w:szCs w:val="20"/>
        </w:rPr>
        <w:t xml:space="preserve">stores), in countries in which we operate or in which our suppliers are located, could adversely affect our operations and financial performance. </w:t>
      </w:r>
    </w:p>
    <w:p w14:paraId="42A10D2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Such events could result in physical damage to, or the complete loss of, one or more of our properties, the c</w:t>
      </w:r>
      <w:r>
        <w:rPr>
          <w:rFonts w:ascii="Times New Roman" w:eastAsia="宋体" w:hAnsi="Times New Roman"/>
          <w:sz w:val="20"/>
          <w:szCs w:val="20"/>
        </w:rPr>
        <w:t>losure of one or more stores, clubs and distribution facilities, limitations on store or club operating hours, the lack of an adequate work force in a market, the inability of customers and associates to reach or have transportation to our stores and clubs</w:t>
      </w:r>
      <w:r>
        <w:rPr>
          <w:rFonts w:ascii="Times New Roman" w:eastAsia="宋体" w:hAnsi="Times New Roman"/>
          <w:sz w:val="20"/>
          <w:szCs w:val="20"/>
        </w:rPr>
        <w:t xml:space="preserve"> affected by such events, the evacuation of the populace from areas in which our stores, clubs and distribution facilities are located, the unavailability of our digital platforms to our customers, changes in the purchasing patterns of consumers (including</w:t>
      </w:r>
      <w:r>
        <w:rPr>
          <w:rFonts w:ascii="Times New Roman" w:eastAsia="宋体" w:hAnsi="Times New Roman"/>
          <w:sz w:val="20"/>
          <w:szCs w:val="20"/>
        </w:rPr>
        <w:t xml:space="preserve"> the frequency of visits by consumers to physical retail locations, whether as a result of limitations on large gatherings, travel and movement limitations or otherwise) and in consumers' disposable income, the temporary or long-term disruption in the supp</w:t>
      </w:r>
      <w:r>
        <w:rPr>
          <w:rFonts w:ascii="Times New Roman" w:eastAsia="宋体" w:hAnsi="Times New Roman"/>
          <w:sz w:val="20"/>
          <w:szCs w:val="20"/>
        </w:rPr>
        <w:t>ly of products from some suppliers, the disruption in the transport of goods from overseas, the disruption or delay in the delivery of goods to our distribution facilities or stores within a country in which we are operating, the reduction in the availabil</w:t>
      </w:r>
      <w:r>
        <w:rPr>
          <w:rFonts w:ascii="Times New Roman" w:eastAsia="宋体" w:hAnsi="Times New Roman"/>
          <w:sz w:val="20"/>
          <w:szCs w:val="20"/>
        </w:rPr>
        <w:t>ity of products in our stores, the disruption of utility services to our stores and our facilities, and the disruption in our communications with our stores. For example, our results for the fourth quarter of fiscal 2020 were negatively impacted by riots a</w:t>
      </w:r>
      <w:r>
        <w:rPr>
          <w:rFonts w:ascii="Times New Roman" w:eastAsia="宋体" w:hAnsi="Times New Roman"/>
          <w:sz w:val="20"/>
          <w:szCs w:val="20"/>
        </w:rPr>
        <w:t xml:space="preserve">nd looting in Chile which resulted in us closing a number of our stores until the disruption abated. </w:t>
      </w:r>
    </w:p>
    <w:p w14:paraId="42A10D2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We bear the risk of losses incurred as a result of physical damage to, or destruction of, any stores, clubs and distribution facilities, loss or spoilage </w:t>
      </w:r>
      <w:r>
        <w:rPr>
          <w:rFonts w:ascii="Times New Roman" w:eastAsia="宋体" w:hAnsi="Times New Roman"/>
          <w:sz w:val="20"/>
          <w:szCs w:val="20"/>
        </w:rPr>
        <w:t>of inventory and business interruption caused by such events. These events and their impacts could otherwise disrupt and adversely affect our operations in the areas in which they occur and could materially adversely affect our financial performance.</w:t>
      </w:r>
    </w:p>
    <w:p w14:paraId="42A10D2B"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Risks</w:t>
      </w:r>
      <w:r>
        <w:rPr>
          <w:rFonts w:ascii="Times New Roman" w:eastAsia="宋体" w:hAnsi="Times New Roman"/>
          <w:b/>
          <w:bCs/>
          <w:sz w:val="20"/>
          <w:szCs w:val="20"/>
        </w:rPr>
        <w:t xml:space="preserve"> associated with our suppliers could materially adversely affect our financial performance.</w:t>
      </w:r>
    </w:p>
    <w:p w14:paraId="42A10D2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products we sell are sourced from a wide variety of domestic and international suppliers. Global sourcing of many of the products we sell is an important factor</w:t>
      </w:r>
      <w:r>
        <w:rPr>
          <w:rFonts w:ascii="Times New Roman" w:eastAsia="宋体" w:hAnsi="Times New Roman"/>
          <w:sz w:val="20"/>
          <w:szCs w:val="20"/>
        </w:rPr>
        <w:t xml:space="preserve"> in our financial performance. We expect our suppliers to comply with applicable laws, including labor, safety, anti-corruption and environmental laws, and to otherwise meet our required supplier standards of conduct. Our ability to find qualified supplier</w:t>
      </w:r>
      <w:r>
        <w:rPr>
          <w:rFonts w:ascii="Times New Roman" w:eastAsia="宋体" w:hAnsi="Times New Roman"/>
          <w:sz w:val="20"/>
          <w:szCs w:val="20"/>
        </w:rPr>
        <w:t>s who uphold our standards, and to access products in a timely and efficient manner, is a significant challenge, especially with respect to suppliers located and goods sourced outside the U.S.</w:t>
      </w:r>
    </w:p>
    <w:p w14:paraId="42A10D2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Political and economic instability, as well as other impactful </w:t>
      </w:r>
      <w:r>
        <w:rPr>
          <w:rFonts w:ascii="Times New Roman" w:eastAsia="宋体" w:hAnsi="Times New Roman"/>
          <w:sz w:val="20"/>
          <w:szCs w:val="20"/>
        </w:rPr>
        <w:t>events and circumstances in the countries in which our suppliers and their manufacturers are located (such as the recent coronavirus outbreak which could result in potential disruptions or delays to our global supply chain), the financial instability of su</w:t>
      </w:r>
      <w:r>
        <w:rPr>
          <w:rFonts w:ascii="Times New Roman" w:eastAsia="宋体" w:hAnsi="Times New Roman"/>
          <w:sz w:val="20"/>
          <w:szCs w:val="20"/>
        </w:rPr>
        <w:t>ppliers, suppliers' failure to meet our terms and conditions or our supplier standards (including our responsible sourcing standards), labor problems experienced by our suppliers and their manufacturers, the availability of raw materials to suppliers, merc</w:t>
      </w:r>
      <w:r>
        <w:rPr>
          <w:rFonts w:ascii="Times New Roman" w:eastAsia="宋体" w:hAnsi="Times New Roman"/>
          <w:sz w:val="20"/>
          <w:szCs w:val="20"/>
        </w:rPr>
        <w:t xml:space="preserve">handise safety and quality issues, disruption or delay in the transportation of merchandise from the suppliers and manufacturers to our stores, clubs, and other facilities, including as a result of labor slowdowns at any port at which a material amount of </w:t>
      </w:r>
      <w:r>
        <w:rPr>
          <w:rFonts w:ascii="Times New Roman" w:eastAsia="宋体" w:hAnsi="Times New Roman"/>
          <w:sz w:val="20"/>
          <w:szCs w:val="20"/>
        </w:rPr>
        <w:t xml:space="preserve">merchandise we purchase enters into the markets in which we operate, currency exchange rates, transport availability and cost, transport security, inflation and other factors relating to the suppliers and the countries in which they are located are beyond </w:t>
      </w:r>
      <w:r>
        <w:rPr>
          <w:rFonts w:ascii="Times New Roman" w:eastAsia="宋体" w:hAnsi="Times New Roman"/>
          <w:sz w:val="20"/>
          <w:szCs w:val="20"/>
        </w:rPr>
        <w:t>our control.</w:t>
      </w:r>
    </w:p>
    <w:p w14:paraId="42A10D2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addition, the U.S. foreign trade policies, tariffs and other impositions on imported goods, trade sanctions imposed on certain countries, the limitation on the importation of certain types of goods or of goods containing certain materials f</w:t>
      </w:r>
      <w:r>
        <w:rPr>
          <w:rFonts w:ascii="Times New Roman" w:eastAsia="宋体" w:hAnsi="Times New Roman"/>
          <w:sz w:val="20"/>
          <w:szCs w:val="20"/>
        </w:rPr>
        <w:t>rom other countries and other factors relating to foreign trade are beyond our control. These and other factors affecting our suppliers and our access to products could adversely affect our financial performance.</w:t>
      </w:r>
    </w:p>
    <w:p w14:paraId="42A10D2F"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If the products we sell are not safe or oth</w:t>
      </w:r>
      <w:r>
        <w:rPr>
          <w:rFonts w:ascii="Times New Roman" w:eastAsia="宋体" w:hAnsi="Times New Roman"/>
          <w:b/>
          <w:bCs/>
          <w:sz w:val="20"/>
          <w:szCs w:val="20"/>
        </w:rPr>
        <w:t>erwise fail to meet our customers' expectations, we could lose customers, incur liability for any injuries suffered by customers using or consuming a product we sell or otherwise experience a material impact to our brand, reputation and financial performan</w:t>
      </w:r>
      <w:r>
        <w:rPr>
          <w:rFonts w:ascii="Times New Roman" w:eastAsia="宋体" w:hAnsi="Times New Roman"/>
          <w:b/>
          <w:bCs/>
          <w:sz w:val="20"/>
          <w:szCs w:val="20"/>
        </w:rPr>
        <w:t>ce. We are also subject to reputational and other risks related to third-party sales on our digital platforms.</w:t>
      </w:r>
    </w:p>
    <w:p w14:paraId="42A10D3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Our customers count on us to provide them with safe products. Concerns regarding the safety of food and non-food products that we source from our</w:t>
      </w:r>
      <w:r>
        <w:rPr>
          <w:rFonts w:ascii="Times New Roman" w:eastAsia="宋体" w:hAnsi="Times New Roman"/>
          <w:sz w:val="20"/>
          <w:szCs w:val="20"/>
        </w:rPr>
        <w:t xml:space="preserve"> suppliers or that we prepare and then sell could cause customers to avoid purchasing certain products from us, or to seek alternative sources of supply for all of their food and non-food needs, even if the basis for the concern is outside of our control. </w:t>
      </w:r>
      <w:r>
        <w:rPr>
          <w:rFonts w:ascii="Times New Roman" w:eastAsia="宋体" w:hAnsi="Times New Roman"/>
          <w:sz w:val="20"/>
          <w:szCs w:val="20"/>
        </w:rPr>
        <w:t>Any lost confidence on the part of our customers would be difficult and costly to reestablish and such products also expose us to product liability or food safety claims. As such, any issue regarding the safety of any food or non-food items we sell, regard</w:t>
      </w:r>
      <w:r>
        <w:rPr>
          <w:rFonts w:ascii="Times New Roman" w:eastAsia="宋体" w:hAnsi="Times New Roman"/>
          <w:sz w:val="20"/>
          <w:szCs w:val="20"/>
        </w:rPr>
        <w:t xml:space="preserve">less of the cause, could adversely affect our brand, reputation and financial performance. In addition, </w:t>
      </w:r>
    </w:p>
    <w:p w14:paraId="42A10D31" w14:textId="77777777" w:rsidR="00BB68E1" w:rsidRDefault="00BB68E1">
      <w:pPr>
        <w:rPr>
          <w:rFonts w:ascii="Times New Roman" w:hAnsi="Times New Roman"/>
          <w:sz w:val="20"/>
          <w:szCs w:val="20"/>
        </w:rPr>
      </w:pPr>
    </w:p>
    <w:p w14:paraId="42A10D32"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16</w:t>
      </w:r>
    </w:p>
    <w:p w14:paraId="42A10D33" w14:textId="77777777" w:rsidR="00BB68E1" w:rsidRDefault="00BB68E1">
      <w:pPr>
        <w:spacing w:line="288" w:lineRule="auto"/>
        <w:jc w:val="center"/>
        <w:rPr>
          <w:rFonts w:ascii="Times New Roman" w:hAnsi="Times New Roman"/>
          <w:sz w:val="20"/>
          <w:szCs w:val="20"/>
        </w:rPr>
      </w:pPr>
    </w:p>
    <w:p w14:paraId="42A10D34" w14:textId="77777777" w:rsidR="00BB68E1" w:rsidRDefault="005D2D5E">
      <w:r>
        <w:rPr>
          <w:rFonts w:ascii="Times New Roman" w:hAnsi="Times New Roman"/>
          <w:sz w:val="20"/>
          <w:szCs w:val="20"/>
        </w:rPr>
        <w:pict w14:anchorId="42A14285">
          <v:rect id="_x0000_i1040" style="width:415.3pt;height:1.5pt" o:hralign="center" o:hrstd="t" o:hr="t" fillcolor="#a0a0a0" stroked="f"/>
        </w:pict>
      </w:r>
    </w:p>
    <w:p w14:paraId="42A10D35" w14:textId="77777777" w:rsidR="00BB68E1" w:rsidRDefault="00BB68E1">
      <w:pPr>
        <w:rPr>
          <w:rFonts w:ascii="Times New Roman" w:hAnsi="Times New Roman"/>
          <w:sz w:val="20"/>
          <w:szCs w:val="20"/>
        </w:rPr>
      </w:pPr>
    </w:p>
    <w:p w14:paraId="42A10D3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third-parties sell goods on some of our digital platforms, which we refer to as marketplace transactions. Whether laws related to such sales ap</w:t>
      </w:r>
      <w:r>
        <w:rPr>
          <w:rFonts w:ascii="Times New Roman" w:eastAsia="宋体" w:hAnsi="Times New Roman"/>
          <w:sz w:val="20"/>
          <w:szCs w:val="20"/>
        </w:rPr>
        <w:t>ply to us is currently unsettled and any unfavorable changes could expose us to loss of sales, reduction in transactions and deterioration of our competitive position. In addition, we may face reputational, financial and other risks, including liability, f</w:t>
      </w:r>
      <w:r>
        <w:rPr>
          <w:rFonts w:ascii="Times New Roman" w:eastAsia="宋体" w:hAnsi="Times New Roman"/>
          <w:sz w:val="20"/>
          <w:szCs w:val="20"/>
        </w:rPr>
        <w:t>or third-party sales of goods that are controversial, counterfeit or otherwise fail to comply with applicable law. Although we impose contractual terms on sellers that are intended to prohibit sales of certain type of products, we may not be able to detect</w:t>
      </w:r>
      <w:r>
        <w:rPr>
          <w:rFonts w:ascii="Times New Roman" w:eastAsia="宋体" w:hAnsi="Times New Roman"/>
          <w:sz w:val="20"/>
          <w:szCs w:val="20"/>
        </w:rPr>
        <w:t xml:space="preserve">, enforce, or collect sufficient damages for breaches of such agreements. Any of these events could have a material adverse impact on our business and results of operations and impede the execution of our eCommerce growth strategy. </w:t>
      </w:r>
    </w:p>
    <w:p w14:paraId="42A10D37"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 xml:space="preserve">We rely extensively on </w:t>
      </w:r>
      <w:r>
        <w:rPr>
          <w:rFonts w:ascii="Times New Roman" w:eastAsia="宋体" w:hAnsi="Times New Roman"/>
          <w:b/>
          <w:bCs/>
          <w:sz w:val="20"/>
          <w:szCs w:val="20"/>
        </w:rPr>
        <w:t>information systems to process transactions, summarize results and manage our business. Disruptions in our systems could harm our ability to conduct our operations.</w:t>
      </w:r>
    </w:p>
    <w:p w14:paraId="42A10D3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Given the number of individual transactions we have each year, it is crucial that we mainta</w:t>
      </w:r>
      <w:r>
        <w:rPr>
          <w:rFonts w:ascii="Times New Roman" w:eastAsia="宋体" w:hAnsi="Times New Roman"/>
          <w:sz w:val="20"/>
          <w:szCs w:val="20"/>
        </w:rPr>
        <w:t>in uninterrupted operation of our business-critical information systems. Our information systems are subject to damage or interruption from power outages, computer and telecommunications failures, computer viruses, worms, other malicious computer programs,</w:t>
      </w:r>
      <w:r>
        <w:rPr>
          <w:rFonts w:ascii="Times New Roman" w:eastAsia="宋体" w:hAnsi="Times New Roman"/>
          <w:sz w:val="20"/>
          <w:szCs w:val="20"/>
        </w:rPr>
        <w:t xml:space="preserve"> denial-of-service attacks, security breaches (through cyber-attacks from cyber-attackers and sophisticated organizations including nation states), catastrophic events such as fires, tornadoes, earthquakes and hurricanes, and usage errors by our associates</w:t>
      </w:r>
      <w:r>
        <w:rPr>
          <w:rFonts w:ascii="Times New Roman" w:eastAsia="宋体" w:hAnsi="Times New Roman"/>
          <w:sz w:val="20"/>
          <w:szCs w:val="20"/>
        </w:rPr>
        <w:t xml:space="preserve"> or contractors. Our information systems are essential to our business operations, including the processing of transactions, management of our associates, facilities, logistics, inventories, physical stores and clubs and our online operations. Our informat</w:t>
      </w:r>
      <w:r>
        <w:rPr>
          <w:rFonts w:ascii="Times New Roman" w:eastAsia="宋体" w:hAnsi="Times New Roman"/>
          <w:sz w:val="20"/>
          <w:szCs w:val="20"/>
        </w:rPr>
        <w:t>ion systems are not fully redundant and our disaster recovery planning cannot account for all eventualities. If our systems are damaged, breached or cease to function properly, we may have to make a significant investment to repair or replace them, and may</w:t>
      </w:r>
      <w:r>
        <w:rPr>
          <w:rFonts w:ascii="Times New Roman" w:eastAsia="宋体" w:hAnsi="Times New Roman"/>
          <w:sz w:val="20"/>
          <w:szCs w:val="20"/>
        </w:rPr>
        <w:t xml:space="preserve"> experience loss or corruption of critical data as well as suffer interruptions in our business operations in the interim. Any interruption to our information systems may have a material adverse effect on our business or results of operations. In addition,</w:t>
      </w:r>
      <w:r>
        <w:rPr>
          <w:rFonts w:ascii="Times New Roman" w:eastAsia="宋体" w:hAnsi="Times New Roman"/>
          <w:sz w:val="20"/>
          <w:szCs w:val="20"/>
        </w:rPr>
        <w:t xml:space="preserve"> we are constantly updating our information technology processes and systems. The risk of system disruption is increased when significant system changes are undertaken. If we fail to timely integrate and update our information systems and processes, we may</w:t>
      </w:r>
      <w:r>
        <w:rPr>
          <w:rFonts w:ascii="Times New Roman" w:eastAsia="宋体" w:hAnsi="Times New Roman"/>
          <w:sz w:val="20"/>
          <w:szCs w:val="20"/>
        </w:rPr>
        <w:t xml:space="preserve"> fail to realize the cost savings or operational benefits anticipated to be derived from these initiatives.</w:t>
      </w:r>
    </w:p>
    <w:p w14:paraId="42A10D39"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 xml:space="preserve">If the technology-based systems that give our customers the ability to shop with us online do not function effectively, our operating </w:t>
      </w:r>
      <w:r>
        <w:rPr>
          <w:rFonts w:ascii="Times New Roman" w:eastAsia="宋体" w:hAnsi="Times New Roman"/>
          <w:b/>
          <w:bCs/>
          <w:sz w:val="20"/>
          <w:szCs w:val="20"/>
        </w:rPr>
        <w:t>results, as well as our ability to grow our omni-channel business globally, could be materially adversely affected.</w:t>
      </w:r>
    </w:p>
    <w:p w14:paraId="42A10D3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Increasingly, customers are using computers, tablets, and smart phones to shop with us and with our competitors and to do comparison shoppin</w:t>
      </w:r>
      <w:r>
        <w:rPr>
          <w:rFonts w:ascii="Times New Roman" w:eastAsia="宋体" w:hAnsi="Times New Roman"/>
          <w:sz w:val="20"/>
          <w:szCs w:val="20"/>
        </w:rPr>
        <w:t xml:space="preserve">g. We use social media, online advertising, and email to interact with our customers and as a means to enhance their shopping experience. As a part of our omni-channel sales strategy, in addition to home delivery, we offer various pickup and delivery </w:t>
      </w:r>
      <w:r>
        <w:rPr>
          <w:rFonts w:ascii="Times New Roman" w:eastAsia="宋体" w:hAnsi="Times New Roman"/>
          <w:sz w:val="20"/>
          <w:szCs w:val="20"/>
        </w:rPr>
        <w:lastRenderedPageBreak/>
        <w:t>progr</w:t>
      </w:r>
      <w:r>
        <w:rPr>
          <w:rFonts w:ascii="Times New Roman" w:eastAsia="宋体" w:hAnsi="Times New Roman"/>
          <w:sz w:val="20"/>
          <w:szCs w:val="20"/>
        </w:rPr>
        <w:t>ams under which many products available for purchase online can be picked up by the customer or member at a local Walmart store or Sam's Club, which provides additional customer traffic at such stores and clubs. Omni-channel retailing is a rapidly evolving</w:t>
      </w:r>
      <w:r>
        <w:rPr>
          <w:rFonts w:ascii="Times New Roman" w:eastAsia="宋体" w:hAnsi="Times New Roman"/>
          <w:sz w:val="20"/>
          <w:szCs w:val="20"/>
        </w:rPr>
        <w:t xml:space="preserve"> part of the retail industry and of our operations around the world. We must anticipate and meet our customers' changing expectations while adjusting for technology investments and developments in our competitors' operations through focusing on the buildin</w:t>
      </w:r>
      <w:r>
        <w:rPr>
          <w:rFonts w:ascii="Times New Roman" w:eastAsia="宋体" w:hAnsi="Times New Roman"/>
          <w:sz w:val="20"/>
          <w:szCs w:val="20"/>
        </w:rPr>
        <w:t>g and delivery of a seamless shopping experience across all channels by each operating segment. Any failure on our part to provide attractive, user-friendly secure digital platforms that offer a wide assortment of merchandise at competitive prices and with</w:t>
      </w:r>
      <w:r>
        <w:rPr>
          <w:rFonts w:ascii="Times New Roman" w:eastAsia="宋体" w:hAnsi="Times New Roman"/>
          <w:sz w:val="20"/>
          <w:szCs w:val="20"/>
        </w:rPr>
        <w:t xml:space="preserve"> low cost and rapid delivery options and that continually meet the changing expectations of online shoppers and developments in online and digital platform merchandising and related technology could place us at a competitive disadvantage, result in the los</w:t>
      </w:r>
      <w:r>
        <w:rPr>
          <w:rFonts w:ascii="Times New Roman" w:eastAsia="宋体" w:hAnsi="Times New Roman"/>
          <w:sz w:val="20"/>
          <w:szCs w:val="20"/>
        </w:rPr>
        <w:t>s of eCommerce and other sales, harm our reputation with customers, have a material adverse impact on the growth of our eCommerce business globally and have a material adverse impact on our business and results of operations.</w:t>
      </w:r>
    </w:p>
    <w:p w14:paraId="42A10D3B"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Our digital platforms, which a</w:t>
      </w:r>
      <w:r>
        <w:rPr>
          <w:rFonts w:ascii="Times New Roman" w:eastAsia="宋体" w:hAnsi="Times New Roman"/>
          <w:sz w:val="20"/>
          <w:szCs w:val="20"/>
        </w:rPr>
        <w:t xml:space="preserve">re increasingly important to our business and continue to grow in complexity and scope, and the systems on which they run, including those applications and systems in our acquired eCommerce businesses, are regularly subject to cyber-attacks. Those attacks </w:t>
      </w:r>
      <w:r>
        <w:rPr>
          <w:rFonts w:ascii="Times New Roman" w:eastAsia="宋体" w:hAnsi="Times New Roman"/>
          <w:sz w:val="20"/>
          <w:szCs w:val="20"/>
        </w:rPr>
        <w:t>involve attempts to gain unauthorized access to our eCommerce websites (including marketplace platforms) or mobile commerce applications to obtain and misuse customers' or members' information including payment information and related risks discussed in th</w:t>
      </w:r>
      <w:r>
        <w:rPr>
          <w:rFonts w:ascii="Times New Roman" w:eastAsia="宋体" w:hAnsi="Times New Roman"/>
          <w:sz w:val="20"/>
          <w:szCs w:val="20"/>
        </w:rPr>
        <w:t xml:space="preserve">is Item 1A. Such attacks, if successful, in addition to potential data misuse, may also create denials of service or otherwise disable, degrade or sabotage one or more of our digital platforms or otherwise significantly disrupt our customers' and members' </w:t>
      </w:r>
      <w:r>
        <w:rPr>
          <w:rFonts w:ascii="Times New Roman" w:eastAsia="宋体" w:hAnsi="Times New Roman"/>
          <w:sz w:val="20"/>
          <w:szCs w:val="20"/>
        </w:rPr>
        <w:t>shopping experience. If we are unable to maintain the security of our digital platforms and keep them operating within acceptable parameters, we could suffer loss of sales, reductions in transactions, reputational damage and deterioration of our competitiv</w:t>
      </w:r>
      <w:r>
        <w:rPr>
          <w:rFonts w:ascii="Times New Roman" w:eastAsia="宋体" w:hAnsi="Times New Roman"/>
          <w:sz w:val="20"/>
          <w:szCs w:val="20"/>
        </w:rPr>
        <w:t>e position and incur liability for any damage to customers or others whose personal or confidential information is unlawfully obtained and misused, any of which events could have a material adverse impact on our business and results of operations and imped</w:t>
      </w:r>
      <w:r>
        <w:rPr>
          <w:rFonts w:ascii="Times New Roman" w:eastAsia="宋体" w:hAnsi="Times New Roman"/>
          <w:sz w:val="20"/>
          <w:szCs w:val="20"/>
        </w:rPr>
        <w:t>e the execution of our strategy for the growth of our business.</w:t>
      </w:r>
    </w:p>
    <w:p w14:paraId="42A10D3C" w14:textId="77777777" w:rsidR="00BB68E1" w:rsidRDefault="00BB68E1">
      <w:pPr>
        <w:rPr>
          <w:rFonts w:ascii="Times New Roman" w:hAnsi="Times New Roman"/>
          <w:sz w:val="20"/>
          <w:szCs w:val="20"/>
        </w:rPr>
      </w:pPr>
    </w:p>
    <w:p w14:paraId="42A10D3D"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17</w:t>
      </w:r>
    </w:p>
    <w:p w14:paraId="42A10D3E" w14:textId="77777777" w:rsidR="00BB68E1" w:rsidRDefault="00BB68E1">
      <w:pPr>
        <w:spacing w:line="288" w:lineRule="auto"/>
        <w:jc w:val="center"/>
        <w:rPr>
          <w:rFonts w:ascii="Times New Roman" w:hAnsi="Times New Roman"/>
          <w:sz w:val="20"/>
          <w:szCs w:val="20"/>
        </w:rPr>
      </w:pPr>
    </w:p>
    <w:p w14:paraId="42A10D3F" w14:textId="77777777" w:rsidR="00BB68E1" w:rsidRDefault="005D2D5E">
      <w:r>
        <w:rPr>
          <w:rFonts w:ascii="Times New Roman" w:hAnsi="Times New Roman"/>
          <w:sz w:val="20"/>
          <w:szCs w:val="20"/>
        </w:rPr>
        <w:pict w14:anchorId="42A14286">
          <v:rect id="_x0000_i1041" style="width:415.3pt;height:1.5pt" o:hralign="center" o:hrstd="t" o:hr="t" fillcolor="#a0a0a0" stroked="f"/>
        </w:pict>
      </w:r>
    </w:p>
    <w:p w14:paraId="42A10D40" w14:textId="77777777" w:rsidR="00BB68E1" w:rsidRDefault="00BB68E1">
      <w:pPr>
        <w:rPr>
          <w:rFonts w:ascii="Times New Roman" w:hAnsi="Times New Roman"/>
          <w:sz w:val="20"/>
          <w:szCs w:val="20"/>
        </w:rPr>
      </w:pPr>
    </w:p>
    <w:p w14:paraId="42A10D41"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Any failure to maintain the security of the information relating to our company, customers, members, associates and vendors, whether as a result of cybersecurity attacks on our informa</w:t>
      </w:r>
      <w:r>
        <w:rPr>
          <w:rFonts w:ascii="Times New Roman" w:eastAsia="宋体" w:hAnsi="Times New Roman"/>
          <w:b/>
          <w:bCs/>
          <w:sz w:val="20"/>
          <w:szCs w:val="20"/>
        </w:rPr>
        <w:t>tion systems or otherwise, could damage our reputation, result in litigation or other legal actions against us, cause us to incur substantial additional costs, and materially adversely affect our business and operating results.</w:t>
      </w:r>
    </w:p>
    <w:p w14:paraId="42A10D4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Like most retailers, we rece</w:t>
      </w:r>
      <w:r>
        <w:rPr>
          <w:rFonts w:ascii="Times New Roman" w:eastAsia="宋体" w:hAnsi="Times New Roman"/>
          <w:sz w:val="20"/>
          <w:szCs w:val="20"/>
        </w:rPr>
        <w:t xml:space="preserve">ive and store in our information systems personal information about our customers and members, and we receive and store personal information concerning our associates and vendors. Some of that information is stored digitally in connection with our digital </w:t>
      </w:r>
      <w:r>
        <w:rPr>
          <w:rFonts w:ascii="Times New Roman" w:eastAsia="宋体" w:hAnsi="Times New Roman"/>
          <w:sz w:val="20"/>
          <w:szCs w:val="20"/>
        </w:rPr>
        <w:t>platforms. We also utilize third-party service providers for a variety of reasons, including, without limitation, for digital storage technology, content delivery to customers and members, back-office support, and other functions. Such providers may have a</w:t>
      </w:r>
      <w:r>
        <w:rPr>
          <w:rFonts w:ascii="Times New Roman" w:eastAsia="宋体" w:hAnsi="Times New Roman"/>
          <w:sz w:val="20"/>
          <w:szCs w:val="20"/>
        </w:rPr>
        <w:t>ccess to information we hold about our customers, members, associates or vendors. In addition, our eCommerce operations depend upon the secure transmission of confidential information over public networks, including information permitting cashless payments</w:t>
      </w:r>
      <w:r>
        <w:rPr>
          <w:rFonts w:ascii="Times New Roman" w:eastAsia="宋体" w:hAnsi="Times New Roman"/>
          <w:sz w:val="20"/>
          <w:szCs w:val="20"/>
        </w:rPr>
        <w:t>.</w:t>
      </w:r>
    </w:p>
    <w:p w14:paraId="42A10D4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Cyber threats are rapidly evolving and those threats and the means for obtaining access to information in digital and other storage media are becoming increasingly sophisticated. Cyber threats and cyber-attackers can be sponsored by countries or </w:t>
      </w:r>
      <w:r>
        <w:rPr>
          <w:rFonts w:ascii="Times New Roman" w:eastAsia="宋体" w:hAnsi="Times New Roman"/>
          <w:sz w:val="20"/>
          <w:szCs w:val="20"/>
        </w:rPr>
        <w:t xml:space="preserve">sophisticated criminal organizations or be the work of hackers with a wide range of motives and expertise. We and the businesses with which we interact have experienced and continue to experience threats to data and systems, including by perpetrators of </w:t>
      </w:r>
      <w:r>
        <w:rPr>
          <w:rFonts w:ascii="Times New Roman" w:eastAsia="宋体" w:hAnsi="Times New Roman"/>
          <w:sz w:val="20"/>
          <w:szCs w:val="20"/>
        </w:rPr>
        <w:lastRenderedPageBreak/>
        <w:t>ra</w:t>
      </w:r>
      <w:r>
        <w:rPr>
          <w:rFonts w:ascii="Times New Roman" w:eastAsia="宋体" w:hAnsi="Times New Roman"/>
          <w:sz w:val="20"/>
          <w:szCs w:val="20"/>
        </w:rPr>
        <w:t>ndom or targeted malicious cyber-attacks, computer viruses, worms, bot attacks or other destructive or disruptive software and attempts to misappropriate customer information, including credit card information, and cause system failures and disruptions. So</w:t>
      </w:r>
      <w:r>
        <w:rPr>
          <w:rFonts w:ascii="Times New Roman" w:eastAsia="宋体" w:hAnsi="Times New Roman"/>
          <w:sz w:val="20"/>
          <w:szCs w:val="20"/>
        </w:rPr>
        <w:t>me of our systems have experienced limited security breaches and although they did not have a material adverse effect on our operating results, there can be no assurance of a similar result in the future.</w:t>
      </w:r>
    </w:p>
    <w:p w14:paraId="42A10D4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Associate error or malfeasance, faulty password man</w:t>
      </w:r>
      <w:r>
        <w:rPr>
          <w:rFonts w:ascii="Times New Roman" w:eastAsia="宋体" w:hAnsi="Times New Roman"/>
          <w:sz w:val="20"/>
          <w:szCs w:val="20"/>
        </w:rPr>
        <w:t>agement, social engineering or other irregularities may also result in a defeat of our or our third-party service providers' security measures and a breach of our or their information systems. Moreover, hardware, software or applications we use may have in</w:t>
      </w:r>
      <w:r>
        <w:rPr>
          <w:rFonts w:ascii="Times New Roman" w:eastAsia="宋体" w:hAnsi="Times New Roman"/>
          <w:sz w:val="20"/>
          <w:szCs w:val="20"/>
        </w:rPr>
        <w:t xml:space="preserve">herent vulnerabilities or defects of design, manufacture or operations or could be inadvertently or intentionally implemented or used in a manner that could compromise information security. </w:t>
      </w:r>
    </w:p>
    <w:p w14:paraId="42A10D45"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Any compromise of our data security systems or of those of busine</w:t>
      </w:r>
      <w:r>
        <w:rPr>
          <w:rFonts w:ascii="Times New Roman" w:eastAsia="宋体" w:hAnsi="Times New Roman"/>
          <w:sz w:val="20"/>
          <w:szCs w:val="20"/>
        </w:rPr>
        <w:t>sses with which we interact, which results in confidential information being accessed, obtained, damaged, modified, lost or used by unauthorized or improper persons, could harm our reputation and expose us to regulatory actions, customer attrition, remedia</w:t>
      </w:r>
      <w:r>
        <w:rPr>
          <w:rFonts w:ascii="Times New Roman" w:eastAsia="宋体" w:hAnsi="Times New Roman"/>
          <w:sz w:val="20"/>
          <w:szCs w:val="20"/>
        </w:rPr>
        <w:t>tion expenses, and claims from customers, members, associates, vendors, financial institutions, payment card networks and other persons, any of which could materially and adversely affect our business operations, financial condition and results of operatio</w:t>
      </w:r>
      <w:r>
        <w:rPr>
          <w:rFonts w:ascii="Times New Roman" w:eastAsia="宋体" w:hAnsi="Times New Roman"/>
          <w:sz w:val="20"/>
          <w:szCs w:val="20"/>
        </w:rPr>
        <w:t>ns. Because the techniques used to obtain unauthorized access, disable or degrade service, or sabotage systems change frequently and may not immediately produce signs of a compromise, we may be unable to anticipate these techniques or to implement adequate</w:t>
      </w:r>
      <w:r>
        <w:rPr>
          <w:rFonts w:ascii="Times New Roman" w:eastAsia="宋体" w:hAnsi="Times New Roman"/>
          <w:sz w:val="20"/>
          <w:szCs w:val="20"/>
        </w:rPr>
        <w:t xml:space="preserve"> preventative measures and we or our third-party service providers may not discover any security breach, vulnerability or compromise of information for a significant period of time after the security incident occurs.</w:t>
      </w:r>
    </w:p>
    <w:p w14:paraId="42A10D4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addition, such events could be widel</w:t>
      </w:r>
      <w:r>
        <w:rPr>
          <w:rFonts w:ascii="Times New Roman" w:eastAsia="宋体" w:hAnsi="Times New Roman"/>
          <w:sz w:val="20"/>
          <w:szCs w:val="20"/>
        </w:rPr>
        <w:t>y publicized and could materially adversely affect our reputation with our customers, members, associates, vendors and shareholders, could harm our competitive position particularly with respect to our eCommerce operations, and could result in a material r</w:t>
      </w:r>
      <w:r>
        <w:rPr>
          <w:rFonts w:ascii="Times New Roman" w:eastAsia="宋体" w:hAnsi="Times New Roman"/>
          <w:sz w:val="20"/>
          <w:szCs w:val="20"/>
        </w:rPr>
        <w:t>eduction in our net sales in our eCommerce operations, as well as in our stores thereby materially adversely affecting our operations, net sales, results of operations, financial condition, cash flows and liquidity. Such events could also result in the rel</w:t>
      </w:r>
      <w:r>
        <w:rPr>
          <w:rFonts w:ascii="Times New Roman" w:eastAsia="宋体" w:hAnsi="Times New Roman"/>
          <w:sz w:val="20"/>
          <w:szCs w:val="20"/>
        </w:rPr>
        <w:t>ease to the public of confidential information about our operations and financial condition and performance and could result in litigation or other legal actions against us or the imposition of penalties, fines, fees or liabilities, which may not be covere</w:t>
      </w:r>
      <w:r>
        <w:rPr>
          <w:rFonts w:ascii="Times New Roman" w:eastAsia="宋体" w:hAnsi="Times New Roman"/>
          <w:sz w:val="20"/>
          <w:szCs w:val="20"/>
        </w:rPr>
        <w:t>d by our insurance policies. Moreover, a security compromise could require us to devote significant management resources to address the problems created by the issue and to expend significant additional resources to upgrade further the security measures we</w:t>
      </w:r>
      <w:r>
        <w:rPr>
          <w:rFonts w:ascii="Times New Roman" w:eastAsia="宋体" w:hAnsi="Times New Roman"/>
          <w:sz w:val="20"/>
          <w:szCs w:val="20"/>
        </w:rPr>
        <w:t xml:space="preserve"> employ to guard personal and confidential information against cyber-attacks and other attempts to access or otherwise compromise such information and could result in a disruption of our operations, particularly our digital operations.</w:t>
      </w:r>
    </w:p>
    <w:p w14:paraId="42A10D4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accept payments u</w:t>
      </w:r>
      <w:r>
        <w:rPr>
          <w:rFonts w:ascii="Times New Roman" w:eastAsia="宋体" w:hAnsi="Times New Roman"/>
          <w:sz w:val="20"/>
          <w:szCs w:val="20"/>
        </w:rPr>
        <w:t>sing a variety of methods, including cash, checks, credit and debit cards, and our private label credit cards and gift cards, and we may offer new payment options over time, which may have information security risk implications. As a retailer accepting deb</w:t>
      </w:r>
      <w:r>
        <w:rPr>
          <w:rFonts w:ascii="Times New Roman" w:eastAsia="宋体" w:hAnsi="Times New Roman"/>
          <w:sz w:val="20"/>
          <w:szCs w:val="20"/>
        </w:rPr>
        <w:t xml:space="preserve">it and credit cards for payment, we are subject to various industry data protection standards and protocols, such as payment network security operating guidelines and the Payment Card Industry Data Security Standard. We cannot be certain that the security </w:t>
      </w:r>
      <w:r>
        <w:rPr>
          <w:rFonts w:ascii="Times New Roman" w:eastAsia="宋体" w:hAnsi="Times New Roman"/>
          <w:sz w:val="20"/>
          <w:szCs w:val="20"/>
        </w:rPr>
        <w:t>measures we maintain to protect all of our information technology systems are able to prevent, contain or detect cyber-attacks, cyber terrorism, security breaches or other compromises from known malware or other threats that may be developed in the future.</w:t>
      </w:r>
      <w:r>
        <w:rPr>
          <w:rFonts w:ascii="Times New Roman" w:eastAsia="宋体" w:hAnsi="Times New Roman"/>
          <w:sz w:val="20"/>
          <w:szCs w:val="20"/>
        </w:rPr>
        <w:t xml:space="preserve"> To the extent that any cyber-attack or incursion in our or one of our third-party service provider's information systems results in the loss, damage, misappropriation or other compromise of information, we may be materially adversely affected by claims fr</w:t>
      </w:r>
      <w:r>
        <w:rPr>
          <w:rFonts w:ascii="Times New Roman" w:eastAsia="宋体" w:hAnsi="Times New Roman"/>
          <w:sz w:val="20"/>
          <w:szCs w:val="20"/>
        </w:rPr>
        <w:t>om customers, financial institutions, regulatory authorities, payment card networks and others. In certain circumstances, our contracts with payment card processors and payment card networks (such as Visa, Mastercard, American Express and Discover) general</w:t>
      </w:r>
      <w:r>
        <w:rPr>
          <w:rFonts w:ascii="Times New Roman" w:eastAsia="宋体" w:hAnsi="Times New Roman"/>
          <w:sz w:val="20"/>
          <w:szCs w:val="20"/>
        </w:rPr>
        <w:t>ly require us to adhere to payment card network rules which could make us liable to payment card issuers and others if information in connection with payment cards and payment card transactions that we process is compromised, which liabilities could be sub</w:t>
      </w:r>
      <w:r>
        <w:rPr>
          <w:rFonts w:ascii="Times New Roman" w:eastAsia="宋体" w:hAnsi="Times New Roman"/>
          <w:sz w:val="20"/>
          <w:szCs w:val="20"/>
        </w:rPr>
        <w:t xml:space="preserve">stantial. </w:t>
      </w:r>
    </w:p>
    <w:p w14:paraId="42A10D48" w14:textId="77777777" w:rsidR="00BB68E1" w:rsidRDefault="00BB68E1">
      <w:pPr>
        <w:rPr>
          <w:rFonts w:ascii="Times New Roman" w:hAnsi="Times New Roman"/>
          <w:sz w:val="20"/>
          <w:szCs w:val="20"/>
        </w:rPr>
      </w:pPr>
    </w:p>
    <w:p w14:paraId="42A10D49"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18</w:t>
      </w:r>
    </w:p>
    <w:p w14:paraId="42A10D4A" w14:textId="77777777" w:rsidR="00BB68E1" w:rsidRDefault="00BB68E1">
      <w:pPr>
        <w:spacing w:line="288" w:lineRule="auto"/>
        <w:jc w:val="center"/>
        <w:rPr>
          <w:rFonts w:ascii="Times New Roman" w:hAnsi="Times New Roman"/>
          <w:sz w:val="20"/>
          <w:szCs w:val="20"/>
        </w:rPr>
      </w:pPr>
    </w:p>
    <w:p w14:paraId="42A10D4B" w14:textId="77777777" w:rsidR="00BB68E1" w:rsidRDefault="005D2D5E">
      <w:r>
        <w:rPr>
          <w:rFonts w:ascii="Times New Roman" w:hAnsi="Times New Roman"/>
          <w:sz w:val="20"/>
          <w:szCs w:val="20"/>
        </w:rPr>
        <w:pict w14:anchorId="42A14287">
          <v:rect id="_x0000_i1042" style="width:415.3pt;height:1.5pt" o:hralign="center" o:hrstd="t" o:hr="t" fillcolor="#a0a0a0" stroked="f"/>
        </w:pict>
      </w:r>
    </w:p>
    <w:p w14:paraId="42A10D4C" w14:textId="77777777" w:rsidR="00BB68E1" w:rsidRDefault="00BB68E1">
      <w:pPr>
        <w:rPr>
          <w:rFonts w:ascii="Times New Roman" w:hAnsi="Times New Roman"/>
          <w:sz w:val="20"/>
          <w:szCs w:val="20"/>
        </w:rPr>
      </w:pPr>
    </w:p>
    <w:p w14:paraId="42A10D4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Additionally, we offer money (wire) transfer services, digital payment platforms, bill payment, money orders and check cashing and we sell prepaid cards and gift cards. We further offer co-branded credit cards and installment loans throu</w:t>
      </w:r>
      <w:r>
        <w:rPr>
          <w:rFonts w:ascii="Times New Roman" w:eastAsia="宋体" w:hAnsi="Times New Roman"/>
          <w:sz w:val="20"/>
          <w:szCs w:val="20"/>
        </w:rPr>
        <w:t>gh financial services partners. These products and services require us to comply with legal and regulatory requirements, including global anti-money laundering and sanctions laws and regulations as well as international, federal and state consumer financia</w:t>
      </w:r>
      <w:r>
        <w:rPr>
          <w:rFonts w:ascii="Times New Roman" w:eastAsia="宋体" w:hAnsi="Times New Roman"/>
          <w:sz w:val="20"/>
          <w:szCs w:val="20"/>
        </w:rPr>
        <w:t>l laws and regulations. Failure to comply with these laws and regulations could result in fines, sanctions, penalties and harm to our reputation.</w:t>
      </w:r>
    </w:p>
    <w:p w14:paraId="42A10D4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also has compliance obligations associated with new privacy laws enacted to protect personal infor</w:t>
      </w:r>
      <w:r>
        <w:rPr>
          <w:rFonts w:ascii="Times New Roman" w:eastAsia="宋体" w:hAnsi="Times New Roman"/>
          <w:sz w:val="20"/>
          <w:szCs w:val="20"/>
        </w:rPr>
        <w:t>mation. The California Consumer Privacy Act of 2018, (CCPA), grants California consumers certain rights over their personal information and imposes stringent requirements on the collection, use and sharing of “personal information” of California consumers.</w:t>
      </w:r>
      <w:r>
        <w:rPr>
          <w:rFonts w:ascii="Times New Roman" w:eastAsia="宋体" w:hAnsi="Times New Roman"/>
          <w:sz w:val="20"/>
          <w:szCs w:val="20"/>
        </w:rPr>
        <w:t xml:space="preserve"> Other U.S. states are proposing similar laws related to the protection of personal information and the U.S. federal government is also considering federal privacy legislation. Outside the U.S., the European Union’s (“EU”) General Data Protection Regulatio</w:t>
      </w:r>
      <w:r>
        <w:rPr>
          <w:rFonts w:ascii="Times New Roman" w:eastAsia="宋体" w:hAnsi="Times New Roman"/>
          <w:sz w:val="20"/>
          <w:szCs w:val="20"/>
        </w:rPr>
        <w:t>n (“GDPR”) greatly increases the jurisdictional reach of EU law and adds a broad array of requirements related to personal data. Complying with changing regulatory requirements requires us to incur additional costs and expenses. If we fail to comply with C</w:t>
      </w:r>
      <w:r>
        <w:rPr>
          <w:rFonts w:ascii="Times New Roman" w:eastAsia="宋体" w:hAnsi="Times New Roman"/>
          <w:sz w:val="20"/>
          <w:szCs w:val="20"/>
        </w:rPr>
        <w:t>CPA, GDPR or other privacy related regulations, or if regulators assert we have failed to comply with them, it could lead to regulatory enforcement action, monetary fines or penalties (up to 4% of worldwide revenue in the case of GDPR), lawsuits or reputat</w:t>
      </w:r>
      <w:r>
        <w:rPr>
          <w:rFonts w:ascii="Times New Roman" w:eastAsia="宋体" w:hAnsi="Times New Roman"/>
          <w:sz w:val="20"/>
          <w:szCs w:val="20"/>
        </w:rPr>
        <w:t>ional damage and could materially and adversely affect our results of operations.</w:t>
      </w:r>
    </w:p>
    <w:p w14:paraId="42A10D4F"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Changes in the results of our retail pharmacy business could adversely affect our overall results of operations, cash flows and liquidity.</w:t>
      </w:r>
    </w:p>
    <w:p w14:paraId="42A10D5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Walmart has retail pharmacy operati</w:t>
      </w:r>
      <w:r>
        <w:rPr>
          <w:rFonts w:ascii="Times New Roman" w:eastAsia="宋体" w:hAnsi="Times New Roman"/>
          <w:sz w:val="20"/>
          <w:szCs w:val="20"/>
        </w:rPr>
        <w:t>ons in our Walmart U.S. and Sam's Club segments, as well as the recent addition of Walmart Health Centers to some of our U.S. stores. A large majority of our retail pharmacy net sales are generated by filling prescriptions for which we receive payment thro</w:t>
      </w:r>
      <w:r>
        <w:rPr>
          <w:rFonts w:ascii="Times New Roman" w:eastAsia="宋体" w:hAnsi="Times New Roman"/>
          <w:sz w:val="20"/>
          <w:szCs w:val="20"/>
        </w:rPr>
        <w:t>ugh established contractual relationships with third-party payers and payment administrators, such as private insurers, governmental agencies and pharmacy benefit managers ("PBMs").</w:t>
      </w:r>
    </w:p>
    <w:p w14:paraId="42A10D5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Our retail pharmacy operations are subject to numerous risks, including: r</w:t>
      </w:r>
      <w:r>
        <w:rPr>
          <w:rFonts w:ascii="Times New Roman" w:eastAsia="宋体" w:hAnsi="Times New Roman"/>
          <w:sz w:val="20"/>
          <w:szCs w:val="20"/>
        </w:rPr>
        <w:t>eductions in the third-party reimbursement rates for drugs; changes in our payer mix (i.e., shifts in the relative distribution of our pharmacy customers across drug insurance plans and programs toward plans and programs with less favorable reimbursement t</w:t>
      </w:r>
      <w:r>
        <w:rPr>
          <w:rFonts w:ascii="Times New Roman" w:eastAsia="宋体" w:hAnsi="Times New Roman"/>
          <w:sz w:val="20"/>
          <w:szCs w:val="20"/>
        </w:rPr>
        <w:t>erms); changes in third-party payer drug formularies (i.e., the schedule of prescription drugs approved for reimbursement or which otherwise receive preferential coverage treatment); growth in, and our participation in or exclusion from, exclusive and pref</w:t>
      </w:r>
      <w:r>
        <w:rPr>
          <w:rFonts w:ascii="Times New Roman" w:eastAsia="宋体" w:hAnsi="Times New Roman"/>
          <w:sz w:val="20"/>
          <w:szCs w:val="20"/>
        </w:rPr>
        <w:t>erred pharmacy network arrangements operated by PBMs and/or any insurance plan or program; increases in the prices we pay for brand name and generic prescription drugs we sell; increases in the administrative burdens associated with seeking third-party rei</w:t>
      </w:r>
      <w:r>
        <w:rPr>
          <w:rFonts w:ascii="Times New Roman" w:eastAsia="宋体" w:hAnsi="Times New Roman"/>
          <w:sz w:val="20"/>
          <w:szCs w:val="20"/>
        </w:rPr>
        <w:t>mbursement; changes in the frequency with which new brand name pharmaceuticals become available to consumers; introduction of lower cost generic drugs as substitutes for existing brand name drugs for which there was no prior generic drug competition; chang</w:t>
      </w:r>
      <w:r>
        <w:rPr>
          <w:rFonts w:ascii="Times New Roman" w:eastAsia="宋体" w:hAnsi="Times New Roman"/>
          <w:sz w:val="20"/>
          <w:szCs w:val="20"/>
        </w:rPr>
        <w:t>es in drug mix (i.e., the relative distribution of drugs customers purchase at our pharmacies between brands and generics); changes in the health insurance market generally; changes in the scope of or the elimination of Medicare Part D or Medicaid drug pro</w:t>
      </w:r>
      <w:r>
        <w:rPr>
          <w:rFonts w:ascii="Times New Roman" w:eastAsia="宋体" w:hAnsi="Times New Roman"/>
          <w:sz w:val="20"/>
          <w:szCs w:val="20"/>
        </w:rPr>
        <w:t xml:space="preserve">grams; increased competition from other retail pharmacy operations; further consolidation and strategic alliances among third-party payers, PBMs or purchasers of drugs; overall economic conditions and the ability of our pharmacy customers to pay for drugs </w:t>
      </w:r>
      <w:r>
        <w:rPr>
          <w:rFonts w:ascii="Times New Roman" w:eastAsia="宋体" w:hAnsi="Times New Roman"/>
          <w:sz w:val="20"/>
          <w:szCs w:val="20"/>
        </w:rPr>
        <w:t xml:space="preserve">prescribed for them to the extent the costs are not reimbursed by a third-party; failure to meet any performance or incentive thresholds to which our level of third-party reimbursement may </w:t>
      </w:r>
      <w:r>
        <w:rPr>
          <w:rFonts w:ascii="Times New Roman" w:eastAsia="宋体" w:hAnsi="Times New Roman"/>
          <w:sz w:val="20"/>
          <w:szCs w:val="20"/>
        </w:rPr>
        <w:lastRenderedPageBreak/>
        <w:t>be subject; and changes in the regulatory environment for the retai</w:t>
      </w:r>
      <w:r>
        <w:rPr>
          <w:rFonts w:ascii="Times New Roman" w:eastAsia="宋体" w:hAnsi="Times New Roman"/>
          <w:sz w:val="20"/>
          <w:szCs w:val="20"/>
        </w:rPr>
        <w:t>l pharmacy industry and the pharmaceutical industry, including as a result of restrictions on the further implementation of or the repeal of the Patient Protection and Affordable Care Act or the enactment and implementation of a law replacing such act, and</w:t>
      </w:r>
      <w:r>
        <w:rPr>
          <w:rFonts w:ascii="Times New Roman" w:eastAsia="宋体" w:hAnsi="Times New Roman"/>
          <w:sz w:val="20"/>
          <w:szCs w:val="20"/>
        </w:rPr>
        <w:t xml:space="preserve"> other changes in laws, rules and regulations that affect our retail pharmacy business.</w:t>
      </w:r>
    </w:p>
    <w:p w14:paraId="42A10D5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If the supply of certain pharmaceuticals provided by one or more of our vendors were to be disrupted for any reason, our pharmacy operations could be severely affected </w:t>
      </w:r>
      <w:r>
        <w:rPr>
          <w:rFonts w:ascii="Times New Roman" w:eastAsia="宋体" w:hAnsi="Times New Roman"/>
          <w:sz w:val="20"/>
          <w:szCs w:val="20"/>
        </w:rPr>
        <w:t>until at least such time as we could obtain a new supplier for such pharmaceuticals. Any such disruption could cause reputational damage and result in a significant number of our pharmacy customers transferring their prescriptions to other pharmacies.</w:t>
      </w:r>
    </w:p>
    <w:p w14:paraId="42A10D5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One </w:t>
      </w:r>
      <w:r>
        <w:rPr>
          <w:rFonts w:ascii="Times New Roman" w:eastAsia="宋体" w:hAnsi="Times New Roman"/>
          <w:sz w:val="20"/>
          <w:szCs w:val="20"/>
        </w:rPr>
        <w:t>or a combination of such factors may adversely affect the volumes of brand name and generic pharmaceuticals we sell, our cost of sales associated with our retail pharmacy operations, and the net sales and gross margin of those operations or result in the l</w:t>
      </w:r>
      <w:r>
        <w:rPr>
          <w:rFonts w:ascii="Times New Roman" w:eastAsia="宋体" w:hAnsi="Times New Roman"/>
          <w:sz w:val="20"/>
          <w:szCs w:val="20"/>
        </w:rPr>
        <w:t>oss of cross-store or cross-club selling opportunities and, in turn, adversely affect our overall net sales, other results of operations, cash flows and liquidity.</w:t>
      </w:r>
    </w:p>
    <w:p w14:paraId="42A10D54"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Our failure to attract and retain qualified associates, increases in wage and benefit costs,</w:t>
      </w:r>
      <w:r>
        <w:rPr>
          <w:rFonts w:ascii="Times New Roman" w:eastAsia="宋体" w:hAnsi="Times New Roman"/>
          <w:b/>
          <w:bCs/>
          <w:sz w:val="20"/>
          <w:szCs w:val="20"/>
        </w:rPr>
        <w:t xml:space="preserve"> changes in laws and other labor issues could materially adversely affect our financial performance.</w:t>
      </w:r>
    </w:p>
    <w:p w14:paraId="42A10D55"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Our ability to continue to conduct and expand our operations depends on our ability to attract and retain a large and growing number of qualified associate</w:t>
      </w:r>
      <w:r>
        <w:rPr>
          <w:rFonts w:ascii="Times New Roman" w:eastAsia="宋体" w:hAnsi="Times New Roman"/>
          <w:sz w:val="20"/>
          <w:szCs w:val="20"/>
        </w:rPr>
        <w:t>s globally. Our ability to meet our labor needs, including our ability to find qualified personnel to fill positions that become vacant at our existing stores, clubs, distribution centers and corporate offices, while controlling our associate wage and rela</w:t>
      </w:r>
      <w:r>
        <w:rPr>
          <w:rFonts w:ascii="Times New Roman" w:eastAsia="宋体" w:hAnsi="Times New Roman"/>
          <w:sz w:val="20"/>
          <w:szCs w:val="20"/>
        </w:rPr>
        <w:t>ted labor costs, is generally subject to numerous external factors, including the availability of a sufficient number of qualified persons in the work force of the markets in which we operate, unemployment levels within those markets, prevailing wage rates</w:t>
      </w:r>
      <w:r>
        <w:rPr>
          <w:rFonts w:ascii="Times New Roman" w:eastAsia="宋体" w:hAnsi="Times New Roman"/>
          <w:sz w:val="20"/>
          <w:szCs w:val="20"/>
        </w:rPr>
        <w:t xml:space="preserve">, changing demographics, health and other insurance costs and adoption of new or revised </w:t>
      </w:r>
    </w:p>
    <w:p w14:paraId="42A10D56" w14:textId="77777777" w:rsidR="00BB68E1" w:rsidRDefault="00BB68E1">
      <w:pPr>
        <w:rPr>
          <w:rFonts w:ascii="Times New Roman" w:hAnsi="Times New Roman"/>
          <w:sz w:val="20"/>
          <w:szCs w:val="20"/>
        </w:rPr>
      </w:pPr>
    </w:p>
    <w:p w14:paraId="42A10D57"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19</w:t>
      </w:r>
    </w:p>
    <w:p w14:paraId="42A10D58" w14:textId="77777777" w:rsidR="00BB68E1" w:rsidRDefault="00BB68E1">
      <w:pPr>
        <w:spacing w:line="288" w:lineRule="auto"/>
        <w:jc w:val="center"/>
        <w:rPr>
          <w:rFonts w:ascii="Times New Roman" w:hAnsi="Times New Roman"/>
          <w:sz w:val="20"/>
          <w:szCs w:val="20"/>
        </w:rPr>
      </w:pPr>
    </w:p>
    <w:p w14:paraId="42A10D59" w14:textId="77777777" w:rsidR="00BB68E1" w:rsidRDefault="005D2D5E">
      <w:r>
        <w:rPr>
          <w:rFonts w:ascii="Times New Roman" w:hAnsi="Times New Roman"/>
          <w:sz w:val="20"/>
          <w:szCs w:val="20"/>
        </w:rPr>
        <w:pict w14:anchorId="42A14288">
          <v:rect id="_x0000_i1043" style="width:415.3pt;height:1.5pt" o:hralign="center" o:hrstd="t" o:hr="t" fillcolor="#a0a0a0" stroked="f"/>
        </w:pict>
      </w:r>
    </w:p>
    <w:p w14:paraId="42A10D5A" w14:textId="77777777" w:rsidR="00BB68E1" w:rsidRDefault="00BB68E1">
      <w:pPr>
        <w:rPr>
          <w:rFonts w:ascii="Times New Roman" w:hAnsi="Times New Roman"/>
          <w:sz w:val="20"/>
          <w:szCs w:val="20"/>
        </w:rPr>
      </w:pPr>
    </w:p>
    <w:p w14:paraId="42A10D5B"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employment and labor laws and regulations. Additionally, our ability to successfully execute organizational changes, including management transitions within t</w:t>
      </w:r>
      <w:r>
        <w:rPr>
          <w:rFonts w:ascii="Times New Roman" w:eastAsia="宋体" w:hAnsi="Times New Roman"/>
          <w:sz w:val="20"/>
          <w:szCs w:val="20"/>
        </w:rPr>
        <w:t>he Company's senior leadership, such as our recent leadership changes, and to effectively motivate and retain associates are critical to our business success.</w:t>
      </w:r>
      <w:r>
        <w:rPr>
          <w:rFonts w:ascii="Times New Roman" w:eastAsia="宋体" w:hAnsi="Times New Roman"/>
          <w:color w:val="FF0000"/>
          <w:sz w:val="20"/>
          <w:szCs w:val="20"/>
        </w:rPr>
        <w:t xml:space="preserve"> </w:t>
      </w:r>
      <w:r>
        <w:rPr>
          <w:rFonts w:ascii="Times New Roman" w:eastAsia="宋体" w:hAnsi="Times New Roman"/>
          <w:sz w:val="20"/>
          <w:szCs w:val="20"/>
        </w:rPr>
        <w:t>If we are unable to locate, attract or retain qualified personnel, or manage leadership transitio</w:t>
      </w:r>
      <w:r>
        <w:rPr>
          <w:rFonts w:ascii="Times New Roman" w:eastAsia="宋体" w:hAnsi="Times New Roman"/>
          <w:sz w:val="20"/>
          <w:szCs w:val="20"/>
        </w:rPr>
        <w:t>n successfully, the quality of service we provide to our customers may decrease and our financial performance may be adversely affected.</w:t>
      </w:r>
    </w:p>
    <w:p w14:paraId="42A10D5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addition, if our costs of labor or related costs increase for other reasons or if new or revised labor laws, rules o</w:t>
      </w:r>
      <w:r>
        <w:rPr>
          <w:rFonts w:ascii="Times New Roman" w:eastAsia="宋体" w:hAnsi="Times New Roman"/>
          <w:sz w:val="20"/>
          <w:szCs w:val="20"/>
        </w:rPr>
        <w:t>r regulations or healthcare laws are adopted or implemented that further increase our labor costs, our financial performance could be materially adversely affected.</w:t>
      </w:r>
    </w:p>
    <w:p w14:paraId="42A10D5D"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Financial Risks</w:t>
      </w:r>
    </w:p>
    <w:p w14:paraId="42A10D5E"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 xml:space="preserve">Fluctuations in foreign exchange rates may materially adversely </w:t>
      </w:r>
      <w:r>
        <w:rPr>
          <w:rFonts w:ascii="Times New Roman" w:eastAsia="宋体" w:hAnsi="Times New Roman"/>
          <w:b/>
          <w:bCs/>
          <w:sz w:val="20"/>
          <w:szCs w:val="20"/>
        </w:rPr>
        <w:t>affect our financial performance and our reported results of operations.</w:t>
      </w:r>
    </w:p>
    <w:p w14:paraId="42A10D5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Our operations in countries other than the U.S. are conducted primarily in the local currencies of those countries. Our consolidated financial statements are denominated in U.S. </w:t>
      </w:r>
      <w:r>
        <w:rPr>
          <w:rFonts w:ascii="Times New Roman" w:eastAsia="宋体" w:hAnsi="Times New Roman"/>
          <w:sz w:val="20"/>
          <w:szCs w:val="20"/>
        </w:rPr>
        <w:t>dollars, and to prepare those financial statements we must translate the amounts of the assets, liabilities, net sales, other revenues and expenses of our operations outside of the U.S. from local currencies into U.S. dollars using exchange rates for the c</w:t>
      </w:r>
      <w:r>
        <w:rPr>
          <w:rFonts w:ascii="Times New Roman" w:eastAsia="宋体" w:hAnsi="Times New Roman"/>
          <w:sz w:val="20"/>
          <w:szCs w:val="20"/>
        </w:rPr>
        <w:t>urrent period. In recent years, fluctuations in currency exchange rates that were unfavorable have had adverse effects on our reported results of operations.</w:t>
      </w:r>
    </w:p>
    <w:p w14:paraId="42A10D6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As a result of such translations, fluctuations in currency exchange rates from period-to-period th</w:t>
      </w:r>
      <w:r>
        <w:rPr>
          <w:rFonts w:ascii="Times New Roman" w:eastAsia="宋体" w:hAnsi="Times New Roman"/>
          <w:sz w:val="20"/>
          <w:szCs w:val="20"/>
        </w:rPr>
        <w:t xml:space="preserve">at are unfavorable to us may also result in our consolidated financial statements reflecting significant adverse </w:t>
      </w:r>
      <w:r>
        <w:rPr>
          <w:rFonts w:ascii="Times New Roman" w:eastAsia="宋体" w:hAnsi="Times New Roman"/>
          <w:sz w:val="20"/>
          <w:szCs w:val="20"/>
        </w:rPr>
        <w:lastRenderedPageBreak/>
        <w:t>period-over-period changes in our financial performance or reflecting a period-over-period improvement in our financial performance that is not</w:t>
      </w:r>
      <w:r>
        <w:rPr>
          <w:rFonts w:ascii="Times New Roman" w:eastAsia="宋体" w:hAnsi="Times New Roman"/>
          <w:sz w:val="20"/>
          <w:szCs w:val="20"/>
        </w:rPr>
        <w:t xml:space="preserve"> as robust as it would be without such fluctuations in the currency exchange rates. Such unfavorable currency exchange rate fluctuations will adversely affect the reported performance of our Walmart International operating segment and have a corresponding </w:t>
      </w:r>
      <w:r>
        <w:rPr>
          <w:rFonts w:ascii="Times New Roman" w:eastAsia="宋体" w:hAnsi="Times New Roman"/>
          <w:sz w:val="20"/>
          <w:szCs w:val="20"/>
        </w:rPr>
        <w:t>adverse effect on our reported consolidated results of operations.</w:t>
      </w:r>
    </w:p>
    <w:p w14:paraId="42A10D6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may pay for products we purchase for sale in our stores and clubs around the world with a currency other than the local currency of the country in which the goods will be sold. When we m</w:t>
      </w:r>
      <w:r>
        <w:rPr>
          <w:rFonts w:ascii="Times New Roman" w:eastAsia="宋体" w:hAnsi="Times New Roman"/>
          <w:sz w:val="20"/>
          <w:szCs w:val="20"/>
        </w:rPr>
        <w:t>ust acquire the currency to pay for such products and the exchange rates for the payment currency fluctuate in a manner unfavorable to us, our cost of sales may increase and we may be unable or unwilling to change the prices at which we sell those goods to</w:t>
      </w:r>
      <w:r>
        <w:rPr>
          <w:rFonts w:ascii="Times New Roman" w:eastAsia="宋体" w:hAnsi="Times New Roman"/>
          <w:sz w:val="20"/>
          <w:szCs w:val="20"/>
        </w:rPr>
        <w:t xml:space="preserve"> address that increase in our costs, with a corresponding adverse effect on our gross profit. Consequently, unfavorable fluctuations in currency exchange rates have and may continue to adversely affect our results of operations. </w:t>
      </w:r>
    </w:p>
    <w:p w14:paraId="42A10D62"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Failure to meet market exp</w:t>
      </w:r>
      <w:r>
        <w:rPr>
          <w:rFonts w:ascii="Times New Roman" w:eastAsia="宋体" w:hAnsi="Times New Roman"/>
          <w:b/>
          <w:bCs/>
          <w:sz w:val="20"/>
          <w:szCs w:val="20"/>
        </w:rPr>
        <w:t>ectations for our financial performance could adversely affect the market price and volatility of our stock.</w:t>
      </w:r>
    </w:p>
    <w:p w14:paraId="42A10D6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believe that the price of our stock generally reflects high market expectations for our future operating results. Any failure to meet or delay i</w:t>
      </w:r>
      <w:r>
        <w:rPr>
          <w:rFonts w:ascii="Times New Roman" w:eastAsia="宋体" w:hAnsi="Times New Roman"/>
          <w:sz w:val="20"/>
          <w:szCs w:val="20"/>
        </w:rPr>
        <w:t>n meeting these expectations, including our comparable store and club sales growth rates, eCommerce growth rates, gross margin, or earnings and earnings per share could cause the market price of our stock to decline, as could changes in our dividend or sto</w:t>
      </w:r>
      <w:r>
        <w:rPr>
          <w:rFonts w:ascii="Times New Roman" w:eastAsia="宋体" w:hAnsi="Times New Roman"/>
          <w:sz w:val="20"/>
          <w:szCs w:val="20"/>
        </w:rPr>
        <w:t xml:space="preserve">ck repurchase programs or policies. Additionally, failure of Walmart's performance to compare favorably to that of other retailers may have a negative effect on the price of our stock. </w:t>
      </w:r>
    </w:p>
    <w:p w14:paraId="42A10D64"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Legal, Tax, Regulatory, Compliance, Reputational and Other Risks</w:t>
      </w:r>
    </w:p>
    <w:p w14:paraId="42A10D65"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Our i</w:t>
      </w:r>
      <w:r>
        <w:rPr>
          <w:rFonts w:ascii="Times New Roman" w:eastAsia="宋体" w:hAnsi="Times New Roman"/>
          <w:b/>
          <w:bCs/>
          <w:sz w:val="20"/>
          <w:szCs w:val="20"/>
        </w:rPr>
        <w:t>nternational operations subject us to legislative, judicial, accounting, legal, regulatory, tax, political and economic risks and conditions specific to the countries or regions in which we operate, which could materially adversely affect our business or f</w:t>
      </w:r>
      <w:r>
        <w:rPr>
          <w:rFonts w:ascii="Times New Roman" w:eastAsia="宋体" w:hAnsi="Times New Roman"/>
          <w:b/>
          <w:bCs/>
          <w:sz w:val="20"/>
          <w:szCs w:val="20"/>
        </w:rPr>
        <w:t>inancial performance.</w:t>
      </w:r>
    </w:p>
    <w:p w14:paraId="42A10D6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addition to our U.S. operations, we operate our retail business in Africa, Argentina, Canada, Central America, Chile, China, India, Japan, Mexico and the United Kingdom.</w:t>
      </w:r>
    </w:p>
    <w:p w14:paraId="42A10D6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During fiscal 2020, our Walmart International operations gene</w:t>
      </w:r>
      <w:r>
        <w:rPr>
          <w:rFonts w:ascii="Times New Roman" w:eastAsia="宋体" w:hAnsi="Times New Roman"/>
          <w:sz w:val="20"/>
          <w:szCs w:val="20"/>
        </w:rPr>
        <w:t>rated approximately 23% of our consolidated net sales. Walmart International's operations in various countries also source goods and services from other countries. Our future operating results in these countries could be negatively affected by a variety of</w:t>
      </w:r>
      <w:r>
        <w:rPr>
          <w:rFonts w:ascii="Times New Roman" w:eastAsia="宋体" w:hAnsi="Times New Roman"/>
          <w:sz w:val="20"/>
          <w:szCs w:val="20"/>
        </w:rPr>
        <w:t xml:space="preserve"> factors, most of which are beyond our control. These factors include political conditions, including political instability, local and global economic conditions, legal and regulatory constraints (such as regulation of product and service offerings includi</w:t>
      </w:r>
      <w:r>
        <w:rPr>
          <w:rFonts w:ascii="Times New Roman" w:eastAsia="宋体" w:hAnsi="Times New Roman"/>
          <w:sz w:val="20"/>
          <w:szCs w:val="20"/>
        </w:rPr>
        <w:t>ng regulatory restrictions (such as foreign ownership restrictions) on eCommerce and retail operations in international markets, such as India), restrictive governmental actions (such as trade protection measures), local product safety and environmental la</w:t>
      </w:r>
      <w:r>
        <w:rPr>
          <w:rFonts w:ascii="Times New Roman" w:eastAsia="宋体" w:hAnsi="Times New Roman"/>
          <w:sz w:val="20"/>
          <w:szCs w:val="20"/>
        </w:rPr>
        <w:t xml:space="preserve">ws, tax regulations, local labor laws, anti-money laundering laws and regulations, trade policies, currency regulations, laws and regulations regarding consumer and data protection, and other matters in any of the countries or regions in which we operate, </w:t>
      </w:r>
      <w:r>
        <w:rPr>
          <w:rFonts w:ascii="Times New Roman" w:eastAsia="宋体" w:hAnsi="Times New Roman"/>
          <w:sz w:val="20"/>
          <w:szCs w:val="20"/>
        </w:rPr>
        <w:t>now or in the future.</w:t>
      </w:r>
    </w:p>
    <w:p w14:paraId="42A10D6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For example, during the current transition period following the UK’s recent exit from the European Union, we face continued uncertainty regarding the impact on our UK business of potential changes in tariffs, trade practices and other</w:t>
      </w:r>
      <w:r>
        <w:rPr>
          <w:rFonts w:ascii="Times New Roman" w:eastAsia="宋体" w:hAnsi="Times New Roman"/>
          <w:sz w:val="20"/>
          <w:szCs w:val="20"/>
        </w:rPr>
        <w:t xml:space="preserve"> regulations while the UK and EU work to put in place alternative trade and other arrangements.</w:t>
      </w:r>
    </w:p>
    <w:p w14:paraId="42A10D69" w14:textId="77777777" w:rsidR="00BB68E1" w:rsidRDefault="00BB68E1">
      <w:pPr>
        <w:rPr>
          <w:rFonts w:ascii="Times New Roman" w:hAnsi="Times New Roman"/>
          <w:sz w:val="20"/>
          <w:szCs w:val="20"/>
        </w:rPr>
      </w:pPr>
    </w:p>
    <w:p w14:paraId="42A10D6A"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20</w:t>
      </w:r>
    </w:p>
    <w:p w14:paraId="42A10D6B" w14:textId="77777777" w:rsidR="00BB68E1" w:rsidRDefault="00BB68E1">
      <w:pPr>
        <w:spacing w:line="288" w:lineRule="auto"/>
        <w:jc w:val="center"/>
        <w:rPr>
          <w:rFonts w:ascii="Times New Roman" w:hAnsi="Times New Roman"/>
          <w:sz w:val="20"/>
          <w:szCs w:val="20"/>
        </w:rPr>
      </w:pPr>
    </w:p>
    <w:p w14:paraId="42A10D6C" w14:textId="77777777" w:rsidR="00BB68E1" w:rsidRDefault="005D2D5E">
      <w:r>
        <w:rPr>
          <w:rFonts w:ascii="Times New Roman" w:hAnsi="Times New Roman"/>
          <w:sz w:val="20"/>
          <w:szCs w:val="20"/>
        </w:rPr>
        <w:pict w14:anchorId="42A14289">
          <v:rect id="_x0000_i1044" style="width:415.3pt;height:1.5pt" o:hralign="center" o:hrstd="t" o:hr="t" fillcolor="#a0a0a0" stroked="f"/>
        </w:pict>
      </w:r>
    </w:p>
    <w:p w14:paraId="42A10D6D" w14:textId="77777777" w:rsidR="00BB68E1" w:rsidRDefault="00BB68E1">
      <w:pPr>
        <w:rPr>
          <w:rFonts w:ascii="Times New Roman" w:hAnsi="Times New Roman"/>
          <w:sz w:val="20"/>
          <w:szCs w:val="20"/>
        </w:rPr>
      </w:pPr>
    </w:p>
    <w:p w14:paraId="42A10D6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economies of some of the countries in which we have operations have in the past suffered from high rates of inflation and currency devaluations, whi</w:t>
      </w:r>
      <w:r>
        <w:rPr>
          <w:rFonts w:ascii="Times New Roman" w:eastAsia="宋体" w:hAnsi="Times New Roman"/>
          <w:sz w:val="20"/>
          <w:szCs w:val="20"/>
        </w:rPr>
        <w:t xml:space="preserve">ch, if they occurred again, could adversely affect our financial performance. Other factors which may impact our international operations include foreign trade, monetary and fiscal policies of the U.S. and of other countries, laws, regulations and other </w:t>
      </w:r>
      <w:r>
        <w:rPr>
          <w:rFonts w:ascii="Times New Roman" w:eastAsia="宋体" w:hAnsi="Times New Roman"/>
          <w:sz w:val="20"/>
          <w:szCs w:val="20"/>
        </w:rPr>
        <w:lastRenderedPageBreak/>
        <w:t>ac</w:t>
      </w:r>
      <w:r>
        <w:rPr>
          <w:rFonts w:ascii="Times New Roman" w:eastAsia="宋体" w:hAnsi="Times New Roman"/>
          <w:sz w:val="20"/>
          <w:szCs w:val="20"/>
        </w:rPr>
        <w:t xml:space="preserve">tivities of foreign governments, agencies and similar organizations, and risks associated with having numerous facilities located in countries that have historically been less stable than the U.S.. Additional risks inherent in our international operations </w:t>
      </w:r>
      <w:r>
        <w:rPr>
          <w:rFonts w:ascii="Times New Roman" w:eastAsia="宋体" w:hAnsi="Times New Roman"/>
          <w:sz w:val="20"/>
          <w:szCs w:val="20"/>
        </w:rPr>
        <w:t>generally include, among others, the costs and difficulties of managing international operations, adverse tax consequences and greater difficulty in enforcing intellectual property rights in countries other than the U.S.. The various risks inherent in doin</w:t>
      </w:r>
      <w:r>
        <w:rPr>
          <w:rFonts w:ascii="Times New Roman" w:eastAsia="宋体" w:hAnsi="Times New Roman"/>
          <w:sz w:val="20"/>
          <w:szCs w:val="20"/>
        </w:rPr>
        <w:t>g business in the U.S. generally also exist when doing business outside of the U.S., and may be exaggerated by the difficulty of doing business in numerous sovereign jurisdictions due to differences in culture, laws and regulations.</w:t>
      </w:r>
    </w:p>
    <w:p w14:paraId="42A10D6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foreign countries in</w:t>
      </w:r>
      <w:r>
        <w:rPr>
          <w:rFonts w:ascii="Times New Roman" w:eastAsia="宋体" w:hAnsi="Times New Roman"/>
          <w:sz w:val="20"/>
          <w:szCs w:val="20"/>
        </w:rPr>
        <w:t xml:space="preserve"> which we have operations, a risk exists that our associates, contractors or agents could, in contravention of our policies, engage in business practices prohibited by U.S. laws and regulations applicable to us, such as the Foreign Corrupt Practices Act ("</w:t>
      </w:r>
      <w:r>
        <w:rPr>
          <w:rFonts w:ascii="Times New Roman" w:eastAsia="宋体" w:hAnsi="Times New Roman"/>
          <w:sz w:val="20"/>
          <w:szCs w:val="20"/>
        </w:rPr>
        <w:t xml:space="preserve">FCPA"), or the laws and regulations of other countries, such as the UK Bribery Act. We maintain a global policy prohibiting such business practices and have in place a global anti-corruption compliance program designed to ensure compliance with these laws </w:t>
      </w:r>
      <w:r>
        <w:rPr>
          <w:rFonts w:ascii="Times New Roman" w:eastAsia="宋体" w:hAnsi="Times New Roman"/>
          <w:sz w:val="20"/>
          <w:szCs w:val="20"/>
        </w:rPr>
        <w:t>and regulations. Nevertheless, we remain subject to the risk that one or more of our associates, contractors or agents, including those based in or from countries where practices that violate such U.S. laws and regulations or the laws and regulations of ot</w:t>
      </w:r>
      <w:r>
        <w:rPr>
          <w:rFonts w:ascii="Times New Roman" w:eastAsia="宋体" w:hAnsi="Times New Roman"/>
          <w:sz w:val="20"/>
          <w:szCs w:val="20"/>
        </w:rPr>
        <w:t>her countries may be customary, will engage in business practices that are prohibited by our policies, circumvent our compliance programs and, by doing so, violate such laws and regulations. Any such violations, even if prohibited by our internal policies,</w:t>
      </w:r>
      <w:r>
        <w:rPr>
          <w:rFonts w:ascii="Times New Roman" w:eastAsia="宋体" w:hAnsi="Times New Roman"/>
          <w:sz w:val="20"/>
          <w:szCs w:val="20"/>
        </w:rPr>
        <w:t xml:space="preserve"> could adversely affect our business or financial performance and our reputation.</w:t>
      </w:r>
    </w:p>
    <w:p w14:paraId="42A10D70"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Changes in tax and trade laws and regulations could materially adversely affect our financial performance.</w:t>
      </w:r>
    </w:p>
    <w:p w14:paraId="42A10D7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In fiscal 2020, our Walmart U.S. and Sam's Club operating segments </w:t>
      </w:r>
      <w:r>
        <w:rPr>
          <w:rFonts w:ascii="Times New Roman" w:eastAsia="宋体" w:hAnsi="Times New Roman"/>
          <w:sz w:val="20"/>
          <w:szCs w:val="20"/>
        </w:rPr>
        <w:t>generated approximately 77% of our consolidated net sales. The federal government has created the potential for significant changes in trade policies, including tariffs and government regulations affecting trade between the U.S. and other countries where w</w:t>
      </w:r>
      <w:r>
        <w:rPr>
          <w:rFonts w:ascii="Times New Roman" w:eastAsia="宋体" w:hAnsi="Times New Roman"/>
          <w:sz w:val="20"/>
          <w:szCs w:val="20"/>
        </w:rPr>
        <w:t>e source many of the products we sell in our stores and clubs. Potential changes which have been discussed include the renegotiation or termination of trade agreements and the imposition of higher tariffs on imports into the U.S. A significant portion of t</w:t>
      </w:r>
      <w:r>
        <w:rPr>
          <w:rFonts w:ascii="Times New Roman" w:eastAsia="宋体" w:hAnsi="Times New Roman"/>
          <w:sz w:val="20"/>
          <w:szCs w:val="20"/>
        </w:rPr>
        <w:t>he general merchandise we sell in our U.S. stores and clubs is manufactured in other countries. Any such actions including the imposition of further tariffs on imports could increase the cost to us of such merchandise (whether imported directly or indirect</w:t>
      </w:r>
      <w:r>
        <w:rPr>
          <w:rFonts w:ascii="Times New Roman" w:eastAsia="宋体" w:hAnsi="Times New Roman"/>
          <w:sz w:val="20"/>
          <w:szCs w:val="20"/>
        </w:rPr>
        <w:t>ly) and cause increases in the prices at which we sell such merchandise to our customers, which could materially adversely affect the financial performance of our U.S. operations and our business.</w:t>
      </w:r>
    </w:p>
    <w:p w14:paraId="42A10D7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We are subject to income taxes and other taxes in both the </w:t>
      </w:r>
      <w:r>
        <w:rPr>
          <w:rFonts w:ascii="Times New Roman" w:eastAsia="宋体" w:hAnsi="Times New Roman"/>
          <w:sz w:val="20"/>
          <w:szCs w:val="20"/>
        </w:rPr>
        <w:t>U.S. and the foreign jurisdictions in which we currently operate or have historically operated. The determination of our worldwide provision for income taxes and current and deferred tax assets and liabilities requires judgment and estimation. Our income t</w:t>
      </w:r>
      <w:r>
        <w:rPr>
          <w:rFonts w:ascii="Times New Roman" w:eastAsia="宋体" w:hAnsi="Times New Roman"/>
          <w:sz w:val="20"/>
          <w:szCs w:val="20"/>
        </w:rPr>
        <w:t xml:space="preserve">axes could be materially adversely affected by earnings being lower than anticipated in jurisdictions that have lower statutory tax rates and higher than anticipated in jurisdictions that have higher statutory tax rates, by changes in the valuation of our </w:t>
      </w:r>
      <w:r>
        <w:rPr>
          <w:rFonts w:ascii="Times New Roman" w:eastAsia="宋体" w:hAnsi="Times New Roman"/>
          <w:sz w:val="20"/>
          <w:szCs w:val="20"/>
        </w:rPr>
        <w:t>deferred tax assets and liabilities, or by changes in worldwide tax laws, tax rates, regulations or accounting principles.</w:t>
      </w:r>
    </w:p>
    <w:p w14:paraId="42A10D7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For example, in December 2019, India enacted a bill which significantly reduced the corporate income tax for certain companies with o</w:t>
      </w:r>
      <w:r>
        <w:rPr>
          <w:rFonts w:ascii="Times New Roman" w:eastAsia="宋体" w:hAnsi="Times New Roman"/>
          <w:sz w:val="20"/>
          <w:szCs w:val="20"/>
        </w:rPr>
        <w:t xml:space="preserve">perations in India. In the U.S., the Tax Cuts and Jobs Act of 2017 (the "Tax Act") significantly changed income tax laws that affect U.S. corporations with additional guidance from the U.S. tax authority still pending. As further guidance is issued by the </w:t>
      </w:r>
      <w:r>
        <w:rPr>
          <w:rFonts w:ascii="Times New Roman" w:eastAsia="宋体" w:hAnsi="Times New Roman"/>
          <w:sz w:val="20"/>
          <w:szCs w:val="20"/>
        </w:rPr>
        <w:t>U.S. Treasury Department, the IRS, and other standard-setting bodies, any resulting changes in our estimates will be treated in accordance with the relevant accounting guidance. Compliance with the Tax Act, including collecting information not regularly pr</w:t>
      </w:r>
      <w:r>
        <w:rPr>
          <w:rFonts w:ascii="Times New Roman" w:eastAsia="宋体" w:hAnsi="Times New Roman"/>
          <w:sz w:val="20"/>
          <w:szCs w:val="20"/>
        </w:rPr>
        <w:t>oduced by the Company or unexpected changes in our estimates, may require us to incur additional costs and could affect our results of operations.</w:t>
      </w:r>
    </w:p>
    <w:p w14:paraId="42A10D7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In addition, we are subject to regular review and audit by both domestic and foreign tax authorities as well </w:t>
      </w:r>
      <w:r>
        <w:rPr>
          <w:rFonts w:ascii="Times New Roman" w:eastAsia="宋体" w:hAnsi="Times New Roman"/>
          <w:sz w:val="20"/>
          <w:szCs w:val="20"/>
        </w:rPr>
        <w:t xml:space="preserve">as subject to the prospective and retrospective effects of changing tax regulations and legislation. </w:t>
      </w:r>
      <w:r>
        <w:rPr>
          <w:rFonts w:ascii="Times New Roman" w:eastAsia="宋体" w:hAnsi="Times New Roman"/>
          <w:sz w:val="20"/>
          <w:szCs w:val="20"/>
        </w:rPr>
        <w:lastRenderedPageBreak/>
        <w:t>Although we believe our tax estimates are reasonable, the ultimate tax outcome may materially differ from the tax amounts recorded in our consolidated fina</w:t>
      </w:r>
      <w:r>
        <w:rPr>
          <w:rFonts w:ascii="Times New Roman" w:eastAsia="宋体" w:hAnsi="Times New Roman"/>
          <w:sz w:val="20"/>
          <w:szCs w:val="20"/>
        </w:rPr>
        <w:t>ncial statements and may materially affect our income tax provision, net income, or cash flows in the period or periods for which such determination and settlement is made.</w:t>
      </w:r>
    </w:p>
    <w:p w14:paraId="42A10D75" w14:textId="77777777" w:rsidR="00BB68E1" w:rsidRDefault="00BB68E1">
      <w:pPr>
        <w:rPr>
          <w:rFonts w:ascii="Times New Roman" w:hAnsi="Times New Roman"/>
          <w:sz w:val="20"/>
          <w:szCs w:val="20"/>
        </w:rPr>
      </w:pPr>
    </w:p>
    <w:p w14:paraId="42A10D76"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21</w:t>
      </w:r>
    </w:p>
    <w:p w14:paraId="42A10D77" w14:textId="77777777" w:rsidR="00BB68E1" w:rsidRDefault="00BB68E1">
      <w:pPr>
        <w:spacing w:line="288" w:lineRule="auto"/>
        <w:jc w:val="center"/>
        <w:rPr>
          <w:rFonts w:ascii="Times New Roman" w:hAnsi="Times New Roman"/>
          <w:sz w:val="20"/>
          <w:szCs w:val="20"/>
        </w:rPr>
      </w:pPr>
    </w:p>
    <w:p w14:paraId="42A10D78" w14:textId="77777777" w:rsidR="00BB68E1" w:rsidRDefault="005D2D5E">
      <w:r>
        <w:rPr>
          <w:rFonts w:ascii="Times New Roman" w:hAnsi="Times New Roman"/>
          <w:sz w:val="20"/>
          <w:szCs w:val="20"/>
        </w:rPr>
        <w:pict w14:anchorId="42A1428A">
          <v:rect id="_x0000_i1045" style="width:415.3pt;height:1.5pt" o:hralign="center" o:hrstd="t" o:hr="t" fillcolor="#a0a0a0" stroked="f"/>
        </w:pict>
      </w:r>
    </w:p>
    <w:p w14:paraId="42A10D79" w14:textId="77777777" w:rsidR="00BB68E1" w:rsidRDefault="00BB68E1">
      <w:pPr>
        <w:rPr>
          <w:rFonts w:ascii="Times New Roman" w:hAnsi="Times New Roman"/>
          <w:sz w:val="20"/>
          <w:szCs w:val="20"/>
        </w:rPr>
      </w:pPr>
    </w:p>
    <w:p w14:paraId="42A10D7A"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Changes in and/or failure to comply with other laws and regulations specifi</w:t>
      </w:r>
      <w:r>
        <w:rPr>
          <w:rFonts w:ascii="Times New Roman" w:eastAsia="宋体" w:hAnsi="Times New Roman"/>
          <w:b/>
          <w:bCs/>
          <w:sz w:val="20"/>
          <w:szCs w:val="20"/>
        </w:rPr>
        <w:t>c to the environments in which we operate</w:t>
      </w:r>
      <w:r>
        <w:rPr>
          <w:rFonts w:ascii="Times New Roman" w:eastAsia="宋体" w:hAnsi="Times New Roman"/>
          <w:sz w:val="20"/>
          <w:szCs w:val="20"/>
        </w:rPr>
        <w:t xml:space="preserve"> </w:t>
      </w:r>
      <w:r>
        <w:rPr>
          <w:rFonts w:ascii="Times New Roman" w:eastAsia="宋体" w:hAnsi="Times New Roman"/>
          <w:b/>
          <w:bCs/>
          <w:sz w:val="20"/>
          <w:szCs w:val="20"/>
        </w:rPr>
        <w:t>could materially adversely affect our reputation, market position, or our business and financial performance.</w:t>
      </w:r>
    </w:p>
    <w:p w14:paraId="42A10D7B"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We operate in complex regulated environments in the U.S. and in the other countries in which we </w:t>
      </w:r>
      <w:r>
        <w:rPr>
          <w:rFonts w:ascii="Times New Roman" w:eastAsia="宋体" w:hAnsi="Times New Roman"/>
          <w:sz w:val="20"/>
          <w:szCs w:val="20"/>
        </w:rPr>
        <w:t>operate and could be adversely affected by changes to existing legal requirements including the related interpretations and enforcement practices, new legal requirements and/or any failure to comply with applicable regulations.</w:t>
      </w:r>
    </w:p>
    <w:p w14:paraId="42A10D7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Our pharmacy and other healt</w:t>
      </w:r>
      <w:r>
        <w:rPr>
          <w:rFonts w:ascii="Times New Roman" w:eastAsia="宋体" w:hAnsi="Times New Roman"/>
          <w:sz w:val="20"/>
          <w:szCs w:val="20"/>
        </w:rPr>
        <w:t xml:space="preserve">hcare operations in the U.S. are subject to numerous federal, state and local regulations including licensing and other requirements and reimbursement arrangements. The regulations to which we are subject include, but are not limited to: federal and state </w:t>
      </w:r>
      <w:r>
        <w:rPr>
          <w:rFonts w:ascii="Times New Roman" w:eastAsia="宋体" w:hAnsi="Times New Roman"/>
          <w:sz w:val="20"/>
          <w:szCs w:val="20"/>
        </w:rPr>
        <w:t>registration and regulation of pharmacies; dispensing and sale of controlled substances and products containing pseudoephedrine; applicable governmental payer regulations including Medicare and Medicaid; data privacy and security laws and regulations inclu</w:t>
      </w:r>
      <w:r>
        <w:rPr>
          <w:rFonts w:ascii="Times New Roman" w:eastAsia="宋体" w:hAnsi="Times New Roman"/>
          <w:sz w:val="20"/>
          <w:szCs w:val="20"/>
        </w:rPr>
        <w:t xml:space="preserve">ding the Health Insurance Portability and Accountability Act, the Affordable Care Act, laws and regulations relating to the protection of the environment and health and safety matters, including those governing exposure to, and the management and disposal </w:t>
      </w:r>
      <w:r>
        <w:rPr>
          <w:rFonts w:ascii="Times New Roman" w:eastAsia="宋体" w:hAnsi="Times New Roman"/>
          <w:sz w:val="20"/>
          <w:szCs w:val="20"/>
        </w:rPr>
        <w:t>of, hazardous substances; regulations regarding food and drug safety including those of the U.S. Food and Drug Administration (the "FDA") and the Drug Enforcement Administration (the "DEA"), trade regulations including those of the U.S. Federal Trade Commi</w:t>
      </w:r>
      <w:r>
        <w:rPr>
          <w:rFonts w:ascii="Times New Roman" w:eastAsia="宋体" w:hAnsi="Times New Roman"/>
          <w:sz w:val="20"/>
          <w:szCs w:val="20"/>
        </w:rPr>
        <w:t>ssion, and consumer protection and safety regulations including those of the Consumer Product Safety Commission, as well as state regulatory authorities, governing the availability, sale, advertisement and promotion of products we sell and the financial se</w:t>
      </w:r>
      <w:r>
        <w:rPr>
          <w:rFonts w:ascii="Times New Roman" w:eastAsia="宋体" w:hAnsi="Times New Roman"/>
          <w:sz w:val="20"/>
          <w:szCs w:val="20"/>
        </w:rPr>
        <w:t xml:space="preserve">rvices we offer; anti-kickback laws; false claims laws; and federal and state laws governing health care fraud and abuse and the practice of the professions of pharmacy, optical care and nurse practitioner services. </w:t>
      </w:r>
    </w:p>
    <w:p w14:paraId="42A10D7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For example, in the U.S. the DEA and va</w:t>
      </w:r>
      <w:r>
        <w:rPr>
          <w:rFonts w:ascii="Times New Roman" w:eastAsia="宋体" w:hAnsi="Times New Roman"/>
          <w:sz w:val="20"/>
          <w:szCs w:val="20"/>
        </w:rPr>
        <w:t xml:space="preserve">rious other regulatory authorities regulate the distribution and dispensing of pharmaceuticals and controlled substances. We are required to hold valid DEA and state-level licenses, meet various security and operating standards and comply with the federal </w:t>
      </w:r>
      <w:r>
        <w:rPr>
          <w:rFonts w:ascii="Times New Roman" w:eastAsia="宋体" w:hAnsi="Times New Roman"/>
          <w:sz w:val="20"/>
          <w:szCs w:val="20"/>
        </w:rPr>
        <w:t>and various state controlled substance acts and related regulations governing the sale, dispensing, disposal and holding of controlled substances. The DEA, the FDA and state regulatory authorities have broad enforcement powers, including the ability to sei</w:t>
      </w:r>
      <w:r>
        <w:rPr>
          <w:rFonts w:ascii="Times New Roman" w:eastAsia="宋体" w:hAnsi="Times New Roman"/>
          <w:sz w:val="20"/>
          <w:szCs w:val="20"/>
        </w:rPr>
        <w:t xml:space="preserve">ze or recall products and impose significant criminal, civil and administrative sanctions for violations of these laws and regulations. </w:t>
      </w:r>
    </w:p>
    <w:p w14:paraId="42A10D7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are also governed by foreign, national and state laws and regulations of general applicability, including laws and r</w:t>
      </w:r>
      <w:r>
        <w:rPr>
          <w:rFonts w:ascii="Times New Roman" w:eastAsia="宋体" w:hAnsi="Times New Roman"/>
          <w:sz w:val="20"/>
          <w:szCs w:val="20"/>
        </w:rPr>
        <w:t>egulations related to working conditions, health and safety, equal employment opportunity, employee benefit and other labor and employment matters, laws and regulations related to competition, and antitrust matters, and health and wellness related regulati</w:t>
      </w:r>
      <w:r>
        <w:rPr>
          <w:rFonts w:ascii="Times New Roman" w:eastAsia="宋体" w:hAnsi="Times New Roman"/>
          <w:sz w:val="20"/>
          <w:szCs w:val="20"/>
        </w:rPr>
        <w:t>ons for our pharmacy operations outside of the U.S. In addition, certain financial services we offer or make available, such as our money transfer agent services, are subject to legal and regulatory requirements, including those intended to help detect and</w:t>
      </w:r>
      <w:r>
        <w:rPr>
          <w:rFonts w:ascii="Times New Roman" w:eastAsia="宋体" w:hAnsi="Times New Roman"/>
          <w:sz w:val="20"/>
          <w:szCs w:val="20"/>
        </w:rPr>
        <w:t xml:space="preserve"> prevent money laundering, sanctions, fraud and other illicit activity as well as consumer financial protection. The impact of new laws, regulations and policies and the related interpretations, as well as changes in enforcement practices or regulatory scr</w:t>
      </w:r>
      <w:r>
        <w:rPr>
          <w:rFonts w:ascii="Times New Roman" w:eastAsia="宋体" w:hAnsi="Times New Roman"/>
          <w:sz w:val="20"/>
          <w:szCs w:val="20"/>
        </w:rPr>
        <w:t xml:space="preserve">utiny generally cannot be predicted, and changes in applicable laws, regulations and policies and the related interpretations and enforcement practices may require extensive system and operational changes, be difficult to implement, </w:t>
      </w:r>
      <w:r>
        <w:rPr>
          <w:rFonts w:ascii="Times New Roman" w:eastAsia="宋体" w:hAnsi="Times New Roman"/>
          <w:sz w:val="20"/>
          <w:szCs w:val="20"/>
        </w:rPr>
        <w:lastRenderedPageBreak/>
        <w:t xml:space="preserve">increase our operating </w:t>
      </w:r>
      <w:r>
        <w:rPr>
          <w:rFonts w:ascii="Times New Roman" w:eastAsia="宋体" w:hAnsi="Times New Roman"/>
          <w:sz w:val="20"/>
          <w:szCs w:val="20"/>
        </w:rPr>
        <w:t xml:space="preserve">costs, require significant capital expenditures, or adversely impact the cost or attractiveness of the products or services we offer. </w:t>
      </w:r>
    </w:p>
    <w:p w14:paraId="42A10D7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Untimely compliance or noncompliance with applicable laws and regulations could result in the imposition of civil and cri</w:t>
      </w:r>
      <w:r>
        <w:rPr>
          <w:rFonts w:ascii="Times New Roman" w:eastAsia="宋体" w:hAnsi="Times New Roman"/>
          <w:sz w:val="20"/>
          <w:szCs w:val="20"/>
        </w:rPr>
        <w:t>minal penalties that could adversely affect the continued operation of our businesses, including: suspension of payments from government programs; loss of required government certifications; loss of authorizations to participate in or exclusion from govern</w:t>
      </w:r>
      <w:r>
        <w:rPr>
          <w:rFonts w:ascii="Times New Roman" w:eastAsia="宋体" w:hAnsi="Times New Roman"/>
          <w:sz w:val="20"/>
          <w:szCs w:val="20"/>
        </w:rPr>
        <w:t xml:space="preserve">ment programs, including the Medicare and Medicaid programs in the U.S.; loss of licenses; and significant fines or monetary damages and/or penalties. In addition, failure to comply with applicable legal or regulatory requirements in the U.S. or in any of </w:t>
      </w:r>
      <w:r>
        <w:rPr>
          <w:rFonts w:ascii="Times New Roman" w:eastAsia="宋体" w:hAnsi="Times New Roman"/>
          <w:sz w:val="20"/>
          <w:szCs w:val="20"/>
        </w:rPr>
        <w:t>the countries in which we operate could result in significant legal and financial exposure, damage to our reputation, and have a material adverse effect on our business operations, financial condition and results of operations.</w:t>
      </w:r>
    </w:p>
    <w:p w14:paraId="42A10D80" w14:textId="77777777" w:rsidR="00BB68E1" w:rsidRDefault="00BB68E1">
      <w:pPr>
        <w:rPr>
          <w:rFonts w:ascii="Times New Roman" w:hAnsi="Times New Roman"/>
          <w:sz w:val="20"/>
          <w:szCs w:val="20"/>
        </w:rPr>
      </w:pPr>
    </w:p>
    <w:p w14:paraId="42A10D81"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22</w:t>
      </w:r>
    </w:p>
    <w:p w14:paraId="42A10D82" w14:textId="77777777" w:rsidR="00BB68E1" w:rsidRDefault="00BB68E1">
      <w:pPr>
        <w:spacing w:line="288" w:lineRule="auto"/>
        <w:jc w:val="center"/>
        <w:rPr>
          <w:rFonts w:ascii="Times New Roman" w:hAnsi="Times New Roman"/>
          <w:sz w:val="20"/>
          <w:szCs w:val="20"/>
        </w:rPr>
      </w:pPr>
    </w:p>
    <w:p w14:paraId="42A10D83" w14:textId="77777777" w:rsidR="00BB68E1" w:rsidRDefault="005D2D5E">
      <w:r>
        <w:rPr>
          <w:rFonts w:ascii="Times New Roman" w:hAnsi="Times New Roman"/>
          <w:sz w:val="20"/>
          <w:szCs w:val="20"/>
        </w:rPr>
        <w:pict w14:anchorId="42A1428B">
          <v:rect id="_x0000_i1046" style="width:415.3pt;height:1.5pt" o:hralign="center" o:hrstd="t" o:hr="t" fillcolor="#a0a0a0" stroked="f"/>
        </w:pict>
      </w:r>
    </w:p>
    <w:p w14:paraId="42A10D84" w14:textId="77777777" w:rsidR="00BB68E1" w:rsidRDefault="00BB68E1">
      <w:pPr>
        <w:rPr>
          <w:rFonts w:ascii="Times New Roman" w:hAnsi="Times New Roman"/>
          <w:sz w:val="20"/>
          <w:szCs w:val="20"/>
        </w:rPr>
      </w:pPr>
    </w:p>
    <w:p w14:paraId="42A10D85"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We are subject to ce</w:t>
      </w:r>
      <w:r>
        <w:rPr>
          <w:rFonts w:ascii="Times New Roman" w:eastAsia="宋体" w:hAnsi="Times New Roman"/>
          <w:b/>
          <w:bCs/>
          <w:sz w:val="20"/>
          <w:szCs w:val="20"/>
        </w:rPr>
        <w:t>rtain legal proceedings that may materially adversely affect our results of operations, financial condition and liquidity.</w:t>
      </w:r>
    </w:p>
    <w:p w14:paraId="42A10D8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are involved in a number of legal proceedings, which include consumer, employment, tort and other litigation. In particular, we ar</w:t>
      </w:r>
      <w:r>
        <w:rPr>
          <w:rFonts w:ascii="Times New Roman" w:eastAsia="宋体" w:hAnsi="Times New Roman"/>
          <w:sz w:val="20"/>
          <w:szCs w:val="20"/>
        </w:rPr>
        <w:t>e currently a defendant in a number of cases containing class-action allegations in which the plaintiffs have brought claims under federal and state wage and hour laws, as well as a number of cases containing class-action allegations in which the plaintiff</w:t>
      </w:r>
      <w:r>
        <w:rPr>
          <w:rFonts w:ascii="Times New Roman" w:eastAsia="宋体" w:hAnsi="Times New Roman"/>
          <w:sz w:val="20"/>
          <w:szCs w:val="20"/>
        </w:rPr>
        <w:t>s have brought claims under federal and state consumer laws.</w:t>
      </w:r>
    </w:p>
    <w:p w14:paraId="42A10D8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addition, ASDA Stores, Ltd. ("Asda"), a wholly-owned subsidiary of the Company, has been named as a defendant in numerous "equal value" claims pending in the Manchester Employment Tribunal (th</w:t>
      </w:r>
      <w:r>
        <w:rPr>
          <w:rFonts w:ascii="Times New Roman" w:eastAsia="宋体" w:hAnsi="Times New Roman"/>
          <w:sz w:val="20"/>
          <w:szCs w:val="20"/>
        </w:rPr>
        <w:t>e "Employment Tribunal") in the United Kingdom. The claimants, who are current and former Asda store employees, allege that the work performed by employees in Asda's retail stores is of equal value in terms of, among other things, the demands of their jobs</w:t>
      </w:r>
      <w:r>
        <w:rPr>
          <w:rFonts w:ascii="Times New Roman" w:eastAsia="宋体" w:hAnsi="Times New Roman"/>
          <w:sz w:val="20"/>
          <w:szCs w:val="20"/>
        </w:rPr>
        <w:t xml:space="preserve"> to that of employees working in Asda's warehouses and distribution facilities, and that the difference in pay between these job positions disparately impacts women because more women work in retail stores while more men work in warehouses and distribution</w:t>
      </w:r>
      <w:r>
        <w:rPr>
          <w:rFonts w:ascii="Times New Roman" w:eastAsia="宋体" w:hAnsi="Times New Roman"/>
          <w:sz w:val="20"/>
          <w:szCs w:val="20"/>
        </w:rPr>
        <w:t xml:space="preserve"> facilities, and that the pay difference is not objectively justified. The claimants are seeking differential back pay based on higher wage rates in the warehouses and distribution facilities and higher wage rates on a prospective basis. At present, we can</w:t>
      </w:r>
      <w:r>
        <w:rPr>
          <w:rFonts w:ascii="Times New Roman" w:eastAsia="宋体" w:hAnsi="Times New Roman"/>
          <w:sz w:val="20"/>
          <w:szCs w:val="20"/>
        </w:rPr>
        <w:t>not predict the number of such claims that may be filed, and cannot reasonably estimate any loss or range of loss that may arise from these matters.</w:t>
      </w:r>
    </w:p>
    <w:p w14:paraId="42A10D8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has been responding to subpoenas, information requests and investigations from governmental entities related to nationwide controlled substance dispensing and distribution practices involving opioids and is also a defendant in numerous litigati</w:t>
      </w:r>
      <w:r>
        <w:rPr>
          <w:rFonts w:ascii="Times New Roman" w:eastAsia="宋体" w:hAnsi="Times New Roman"/>
          <w:sz w:val="20"/>
          <w:szCs w:val="20"/>
        </w:rPr>
        <w:t xml:space="preserve">on proceedings related to opioids including the consolidated multidistrict litigation entitled </w:t>
      </w:r>
      <w:r>
        <w:rPr>
          <w:rFonts w:ascii="Times New Roman" w:eastAsia="宋体" w:hAnsi="Times New Roman"/>
          <w:i/>
          <w:iCs/>
          <w:sz w:val="20"/>
          <w:szCs w:val="20"/>
        </w:rPr>
        <w:t>In re National Prescription Opiate Litigation</w:t>
      </w:r>
      <w:r>
        <w:rPr>
          <w:rFonts w:ascii="Times New Roman" w:eastAsia="宋体" w:hAnsi="Times New Roman"/>
          <w:sz w:val="20"/>
          <w:szCs w:val="20"/>
        </w:rPr>
        <w:t xml:space="preserve"> </w:t>
      </w:r>
      <w:r>
        <w:rPr>
          <w:rFonts w:ascii="Times New Roman" w:eastAsia="宋体" w:hAnsi="Times New Roman"/>
          <w:i/>
          <w:iCs/>
          <w:sz w:val="20"/>
          <w:szCs w:val="20"/>
        </w:rPr>
        <w:t>(MDL No. 2804)</w:t>
      </w:r>
      <w:r>
        <w:rPr>
          <w:rFonts w:ascii="Times New Roman" w:eastAsia="宋体" w:hAnsi="Times New Roman"/>
          <w:sz w:val="20"/>
          <w:szCs w:val="20"/>
        </w:rPr>
        <w:t xml:space="preserve">, currently pending in the U.S. District Court for the Northern District of Ohio. Similar cases that </w:t>
      </w:r>
      <w:r>
        <w:rPr>
          <w:rFonts w:ascii="Times New Roman" w:eastAsia="宋体" w:hAnsi="Times New Roman"/>
          <w:sz w:val="20"/>
          <w:szCs w:val="20"/>
        </w:rPr>
        <w:t>name the Company have also been filed in state courts by state, local and tribal governments, health care providers and other plaintiffs. Plaintiffs are seeking compensatory and punitive damages, as well as injunctive relief including abatement. The Compan</w:t>
      </w:r>
      <w:r>
        <w:rPr>
          <w:rFonts w:ascii="Times New Roman" w:eastAsia="宋体" w:hAnsi="Times New Roman"/>
          <w:sz w:val="20"/>
          <w:szCs w:val="20"/>
        </w:rPr>
        <w:t xml:space="preserve">y cannot predict the number of such claims that may be filed, and cannot reasonably estimate any loss or range of loss that may arise from such claims and the related opioid matters. </w:t>
      </w:r>
    </w:p>
    <w:p w14:paraId="42A10D8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We discuss these cases and other litigation to which we are party below </w:t>
      </w:r>
      <w:r>
        <w:rPr>
          <w:rFonts w:ascii="Times New Roman" w:eastAsia="宋体" w:hAnsi="Times New Roman"/>
          <w:sz w:val="20"/>
          <w:szCs w:val="20"/>
        </w:rPr>
        <w:t>under the caption "</w:t>
      </w:r>
      <w:hyperlink r:id="rId79" w:anchor="s460CECD1575A533B86227C671AC5B38B" w:history="1">
        <w:r>
          <w:rPr>
            <w:rStyle w:val="a5"/>
            <w:rFonts w:ascii="Times New Roman" w:eastAsia="宋体" w:hAnsi="Times New Roman"/>
            <w:sz w:val="20"/>
            <w:szCs w:val="20"/>
          </w:rPr>
          <w:t>Item 3. Legal Proceedings</w:t>
        </w:r>
      </w:hyperlink>
      <w:r>
        <w:rPr>
          <w:rFonts w:ascii="Times New Roman" w:eastAsia="宋体" w:hAnsi="Times New Roman"/>
          <w:sz w:val="20"/>
          <w:szCs w:val="20"/>
        </w:rPr>
        <w:t xml:space="preserve">" and in </w:t>
      </w:r>
      <w:hyperlink r:id="rId80" w:anchor="s690E1B30602F5A19B538C0DDCD5CA9FB" w:history="1">
        <w:r>
          <w:rPr>
            <w:rStyle w:val="a5"/>
            <w:rFonts w:ascii="Times New Roman" w:eastAsia="宋体" w:hAnsi="Times New Roman"/>
            <w:sz w:val="20"/>
            <w:szCs w:val="20"/>
          </w:rPr>
          <w:t>Note 10</w:t>
        </w:r>
      </w:hyperlink>
      <w:r>
        <w:rPr>
          <w:rFonts w:ascii="Times New Roman" w:eastAsia="宋体" w:hAnsi="Times New Roman"/>
          <w:sz w:val="20"/>
          <w:szCs w:val="20"/>
        </w:rPr>
        <w:t xml:space="preserve"> in the "</w:t>
      </w:r>
      <w:hyperlink r:id="rId81" w:anchor="sA5E98BE962E35B089A50138DA2F89B85" w:history="1">
        <w:r>
          <w:rPr>
            <w:rStyle w:val="a5"/>
            <w:rFonts w:ascii="Times New Roman" w:eastAsia="宋体" w:hAnsi="Times New Roman"/>
            <w:sz w:val="20"/>
            <w:szCs w:val="20"/>
          </w:rPr>
          <w:t>Notes to our Consolidated Financial Statements</w:t>
        </w:r>
      </w:hyperlink>
      <w:r>
        <w:rPr>
          <w:rFonts w:ascii="Times New Roman" w:eastAsia="宋体" w:hAnsi="Times New Roman"/>
          <w:sz w:val="20"/>
          <w:szCs w:val="20"/>
        </w:rPr>
        <w:t>," which are part of this Annual Report on Form 10-K.</w:t>
      </w:r>
    </w:p>
    <w:p w14:paraId="42A10D8A"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Our amended and restated bylaws designate the Court of Chancery of the State of Delaware as the sole and exclusive forum for cer</w:t>
      </w:r>
      <w:r>
        <w:rPr>
          <w:rFonts w:ascii="Times New Roman" w:eastAsia="宋体" w:hAnsi="Times New Roman"/>
          <w:b/>
          <w:bCs/>
          <w:sz w:val="20"/>
          <w:szCs w:val="20"/>
        </w:rPr>
        <w:t xml:space="preserve">tain types of actions and proceedings that may be initiated by </w:t>
      </w:r>
      <w:r>
        <w:rPr>
          <w:rFonts w:ascii="Times New Roman" w:eastAsia="宋体" w:hAnsi="Times New Roman"/>
          <w:b/>
          <w:bCs/>
          <w:sz w:val="20"/>
          <w:szCs w:val="20"/>
        </w:rPr>
        <w:lastRenderedPageBreak/>
        <w:t>our shareholders, which could limit our shareholders’ ability to obtain a favorable judicial forum for disputes with us or our directors, officers, employees or shareholders in such capacity.</w:t>
      </w:r>
    </w:p>
    <w:p w14:paraId="42A10D8B"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w:t>
      </w:r>
      <w:r>
        <w:rPr>
          <w:rFonts w:ascii="Times New Roman" w:eastAsia="宋体" w:hAnsi="Times New Roman"/>
          <w:sz w:val="20"/>
          <w:szCs w:val="20"/>
        </w:rPr>
        <w:t>ur bylaws provide that, unless we consent in writing to the selection of an alternative forum, the Court of Chancery of the State of Delaware will, to the fullest extent permitted by law, be the sole and exclusive forum for claims, including derivative cla</w:t>
      </w:r>
      <w:r>
        <w:rPr>
          <w:rFonts w:ascii="Times New Roman" w:eastAsia="宋体" w:hAnsi="Times New Roman"/>
          <w:sz w:val="20"/>
          <w:szCs w:val="20"/>
        </w:rPr>
        <w:t>ims that are based upon a violation of a duty by a current or former director, officer, employee or shareholder in such capacity or as to which the Delaware General Corporation Law confers jurisdiction upon the Court of Chancery. This exclusive forum provi</w:t>
      </w:r>
      <w:r>
        <w:rPr>
          <w:rFonts w:ascii="Times New Roman" w:eastAsia="宋体" w:hAnsi="Times New Roman"/>
          <w:sz w:val="20"/>
          <w:szCs w:val="20"/>
        </w:rPr>
        <w:t xml:space="preserve">sion may limit a shareholder’s ability to bring a claim in a judicial forum that the shareholder finds favorable for disputes with us or our directors, officers, employees or shareholders in such capacity, which may discourage such lawsuits against us and </w:t>
      </w:r>
      <w:r>
        <w:rPr>
          <w:rFonts w:ascii="Times New Roman" w:eastAsia="宋体" w:hAnsi="Times New Roman"/>
          <w:sz w:val="20"/>
          <w:szCs w:val="20"/>
        </w:rPr>
        <w:t>such persons. Alternatively, if a court were to find these provisions of our bylaws inapplicable to, or unenforceable in respect of, the claims as to which they are intended to apply, then we may incur additional costs associated with resolving such matter</w:t>
      </w:r>
      <w:r>
        <w:rPr>
          <w:rFonts w:ascii="Times New Roman" w:eastAsia="宋体" w:hAnsi="Times New Roman"/>
          <w:sz w:val="20"/>
          <w:szCs w:val="20"/>
        </w:rPr>
        <w:t>s in other jurisdictions, which could adversely affect our business, financial condition or results of operations.</w:t>
      </w:r>
    </w:p>
    <w:tbl>
      <w:tblPr>
        <w:tblW w:w="4766" w:type="pct"/>
        <w:tblCellMar>
          <w:left w:w="0" w:type="dxa"/>
          <w:right w:w="0" w:type="dxa"/>
        </w:tblCellMar>
        <w:tblLook w:val="04A0" w:firstRow="1" w:lastRow="0" w:firstColumn="1" w:lastColumn="0" w:noHBand="0" w:noVBand="1"/>
      </w:tblPr>
      <w:tblGrid>
        <w:gridCol w:w="947"/>
        <w:gridCol w:w="6970"/>
      </w:tblGrid>
      <w:tr w:rsidR="00BB68E1" w14:paraId="42A10D8D" w14:textId="77777777">
        <w:tc>
          <w:tcPr>
            <w:tcW w:w="0" w:type="auto"/>
            <w:gridSpan w:val="2"/>
            <w:shd w:val="clear" w:color="auto" w:fill="auto"/>
            <w:vAlign w:val="center"/>
          </w:tcPr>
          <w:p w14:paraId="42A10D8C" w14:textId="77777777" w:rsidR="00BB68E1" w:rsidRDefault="00BB68E1">
            <w:pPr>
              <w:rPr>
                <w:rFonts w:ascii="Times New Roman" w:hAnsi="Times New Roman"/>
                <w:sz w:val="20"/>
                <w:szCs w:val="20"/>
              </w:rPr>
            </w:pPr>
          </w:p>
        </w:tc>
      </w:tr>
      <w:tr w:rsidR="00BB68E1" w14:paraId="42A10D90" w14:textId="77777777">
        <w:tc>
          <w:tcPr>
            <w:tcW w:w="550" w:type="pct"/>
            <w:shd w:val="clear" w:color="auto" w:fill="auto"/>
            <w:vAlign w:val="center"/>
          </w:tcPr>
          <w:p w14:paraId="42A10D8E" w14:textId="77777777" w:rsidR="00BB68E1" w:rsidRDefault="00BB68E1">
            <w:pPr>
              <w:rPr>
                <w:rFonts w:ascii="Times New Roman" w:hAnsi="Times New Roman"/>
                <w:sz w:val="20"/>
                <w:szCs w:val="20"/>
              </w:rPr>
            </w:pPr>
          </w:p>
        </w:tc>
        <w:tc>
          <w:tcPr>
            <w:tcW w:w="4450" w:type="pct"/>
            <w:shd w:val="clear" w:color="auto" w:fill="auto"/>
            <w:vAlign w:val="center"/>
          </w:tcPr>
          <w:p w14:paraId="42A10D8F" w14:textId="77777777" w:rsidR="00BB68E1" w:rsidRDefault="00BB68E1">
            <w:pPr>
              <w:rPr>
                <w:rFonts w:ascii="Times New Roman" w:hAnsi="Times New Roman"/>
                <w:sz w:val="20"/>
                <w:szCs w:val="20"/>
              </w:rPr>
            </w:pPr>
          </w:p>
        </w:tc>
      </w:tr>
      <w:tr w:rsidR="00BB68E1" w14:paraId="42A10D93" w14:textId="77777777">
        <w:tc>
          <w:tcPr>
            <w:tcW w:w="0" w:type="auto"/>
            <w:shd w:val="clear" w:color="auto" w:fill="auto"/>
            <w:tcMar>
              <w:top w:w="40" w:type="dxa"/>
              <w:left w:w="40" w:type="dxa"/>
              <w:bottom w:w="40" w:type="dxa"/>
              <w:right w:w="40" w:type="dxa"/>
            </w:tcMar>
          </w:tcPr>
          <w:p w14:paraId="42A10D91"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1B.</w:t>
            </w:r>
          </w:p>
        </w:tc>
        <w:tc>
          <w:tcPr>
            <w:tcW w:w="0" w:type="auto"/>
            <w:shd w:val="clear" w:color="auto" w:fill="auto"/>
            <w:tcMar>
              <w:top w:w="40" w:type="dxa"/>
              <w:left w:w="40" w:type="dxa"/>
              <w:bottom w:w="40" w:type="dxa"/>
              <w:right w:w="40" w:type="dxa"/>
            </w:tcMar>
          </w:tcPr>
          <w:p w14:paraId="42A10D92"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UNRESOLVED STAFF COMMENTS</w:t>
            </w:r>
          </w:p>
        </w:tc>
      </w:tr>
    </w:tbl>
    <w:p w14:paraId="42A10D9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None.</w:t>
      </w:r>
    </w:p>
    <w:p w14:paraId="42A10D95" w14:textId="77777777" w:rsidR="00BB68E1" w:rsidRDefault="00BB68E1">
      <w:pPr>
        <w:rPr>
          <w:rFonts w:ascii="Times New Roman" w:hAnsi="Times New Roman"/>
          <w:sz w:val="20"/>
          <w:szCs w:val="20"/>
        </w:rPr>
      </w:pPr>
    </w:p>
    <w:p w14:paraId="42A10D96"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23</w:t>
      </w:r>
    </w:p>
    <w:p w14:paraId="42A10D97" w14:textId="77777777" w:rsidR="00BB68E1" w:rsidRDefault="00BB68E1">
      <w:pPr>
        <w:spacing w:line="288" w:lineRule="auto"/>
        <w:jc w:val="center"/>
        <w:rPr>
          <w:rFonts w:ascii="Times New Roman" w:hAnsi="Times New Roman"/>
          <w:sz w:val="20"/>
          <w:szCs w:val="20"/>
        </w:rPr>
      </w:pPr>
    </w:p>
    <w:p w14:paraId="42A10D98" w14:textId="77777777" w:rsidR="00BB68E1" w:rsidRDefault="005D2D5E">
      <w:r>
        <w:rPr>
          <w:rFonts w:ascii="Times New Roman" w:hAnsi="Times New Roman"/>
          <w:sz w:val="20"/>
          <w:szCs w:val="20"/>
        </w:rPr>
        <w:pict w14:anchorId="42A1428C">
          <v:rect id="_x0000_i1047" style="width:415.3pt;height:1.5pt" o:hralign="center" o:hrstd="t" o:hr="t" fillcolor="#a0a0a0" stroked="f"/>
        </w:pict>
      </w:r>
    </w:p>
    <w:p w14:paraId="42A10D99" w14:textId="77777777" w:rsidR="00BB68E1" w:rsidRDefault="00BB68E1">
      <w:pPr>
        <w:rPr>
          <w:rFonts w:ascii="Times New Roman" w:hAnsi="Times New Roman"/>
          <w:sz w:val="20"/>
          <w:szCs w:val="20"/>
        </w:rPr>
      </w:pPr>
    </w:p>
    <w:tbl>
      <w:tblPr>
        <w:tblW w:w="1520" w:type="pct"/>
        <w:tblCellMar>
          <w:left w:w="0" w:type="dxa"/>
          <w:right w:w="0" w:type="dxa"/>
        </w:tblCellMar>
        <w:tblLook w:val="04A0" w:firstRow="1" w:lastRow="0" w:firstColumn="1" w:lastColumn="0" w:noHBand="0" w:noVBand="1"/>
      </w:tblPr>
      <w:tblGrid>
        <w:gridCol w:w="909"/>
        <w:gridCol w:w="1616"/>
      </w:tblGrid>
      <w:tr w:rsidR="00BB68E1" w14:paraId="42A10D9B" w14:textId="77777777">
        <w:tc>
          <w:tcPr>
            <w:tcW w:w="0" w:type="auto"/>
            <w:gridSpan w:val="2"/>
            <w:shd w:val="clear" w:color="auto" w:fill="auto"/>
            <w:vAlign w:val="center"/>
          </w:tcPr>
          <w:p w14:paraId="42A10D9A" w14:textId="77777777" w:rsidR="00BB68E1" w:rsidRDefault="00BB68E1">
            <w:pPr>
              <w:rPr>
                <w:rFonts w:ascii="Times New Roman" w:hAnsi="Times New Roman"/>
                <w:sz w:val="20"/>
                <w:szCs w:val="20"/>
              </w:rPr>
            </w:pPr>
          </w:p>
        </w:tc>
      </w:tr>
      <w:tr w:rsidR="00BB68E1" w14:paraId="42A10D9E" w14:textId="77777777">
        <w:tc>
          <w:tcPr>
            <w:tcW w:w="1800" w:type="pct"/>
            <w:shd w:val="clear" w:color="auto" w:fill="auto"/>
            <w:vAlign w:val="center"/>
          </w:tcPr>
          <w:p w14:paraId="42A10D9C" w14:textId="77777777" w:rsidR="00BB68E1" w:rsidRDefault="00BB68E1">
            <w:pPr>
              <w:rPr>
                <w:rFonts w:ascii="Times New Roman" w:hAnsi="Times New Roman"/>
                <w:sz w:val="20"/>
                <w:szCs w:val="20"/>
              </w:rPr>
            </w:pPr>
          </w:p>
        </w:tc>
        <w:tc>
          <w:tcPr>
            <w:tcW w:w="3200" w:type="pct"/>
            <w:shd w:val="clear" w:color="auto" w:fill="auto"/>
            <w:vAlign w:val="center"/>
          </w:tcPr>
          <w:p w14:paraId="42A10D9D" w14:textId="77777777" w:rsidR="00BB68E1" w:rsidRDefault="00BB68E1">
            <w:pPr>
              <w:rPr>
                <w:rFonts w:ascii="Times New Roman" w:hAnsi="Times New Roman"/>
                <w:sz w:val="20"/>
                <w:szCs w:val="20"/>
              </w:rPr>
            </w:pPr>
          </w:p>
        </w:tc>
      </w:tr>
      <w:tr w:rsidR="00BB68E1" w14:paraId="42A10DA1" w14:textId="77777777">
        <w:tc>
          <w:tcPr>
            <w:tcW w:w="0" w:type="auto"/>
            <w:shd w:val="clear" w:color="auto" w:fill="auto"/>
            <w:tcMar>
              <w:top w:w="40" w:type="dxa"/>
              <w:left w:w="40" w:type="dxa"/>
              <w:bottom w:w="40" w:type="dxa"/>
              <w:right w:w="40" w:type="dxa"/>
            </w:tcMar>
          </w:tcPr>
          <w:p w14:paraId="42A10D9F"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2.</w:t>
            </w:r>
          </w:p>
        </w:tc>
        <w:tc>
          <w:tcPr>
            <w:tcW w:w="0" w:type="auto"/>
            <w:shd w:val="clear" w:color="auto" w:fill="auto"/>
            <w:tcMar>
              <w:top w:w="40" w:type="dxa"/>
              <w:left w:w="40" w:type="dxa"/>
              <w:bottom w:w="40" w:type="dxa"/>
              <w:right w:w="40" w:type="dxa"/>
            </w:tcMar>
          </w:tcPr>
          <w:p w14:paraId="42A10DA0"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PROPERTIES</w:t>
            </w:r>
          </w:p>
        </w:tc>
      </w:tr>
    </w:tbl>
    <w:p w14:paraId="42A10DA2"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United States</w:t>
      </w:r>
    </w:p>
    <w:p w14:paraId="42A10DA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Walmart U.S. and Sam's Club </w:t>
      </w:r>
      <w:r>
        <w:rPr>
          <w:rFonts w:ascii="Times New Roman" w:eastAsia="宋体" w:hAnsi="Times New Roman"/>
          <w:sz w:val="20"/>
          <w:szCs w:val="20"/>
        </w:rPr>
        <w:t>segments comprise the Company's operations in the U.S. As of January 31, 2020, unit counts for Walmart U.S. and Sam's Club are summarized by format for each state and territory as follows:</w:t>
      </w:r>
    </w:p>
    <w:tbl>
      <w:tblPr>
        <w:tblW w:w="5000" w:type="pct"/>
        <w:tblCellMar>
          <w:left w:w="0" w:type="dxa"/>
          <w:right w:w="0" w:type="dxa"/>
        </w:tblCellMar>
        <w:tblLook w:val="04A0" w:firstRow="1" w:lastRow="0" w:firstColumn="1" w:lastColumn="0" w:noHBand="0" w:noVBand="1"/>
      </w:tblPr>
      <w:tblGrid>
        <w:gridCol w:w="2814"/>
        <w:gridCol w:w="130"/>
        <w:gridCol w:w="897"/>
        <w:gridCol w:w="81"/>
        <w:gridCol w:w="130"/>
        <w:gridCol w:w="1056"/>
        <w:gridCol w:w="96"/>
        <w:gridCol w:w="130"/>
        <w:gridCol w:w="970"/>
        <w:gridCol w:w="88"/>
        <w:gridCol w:w="130"/>
        <w:gridCol w:w="710"/>
        <w:gridCol w:w="6"/>
        <w:gridCol w:w="130"/>
        <w:gridCol w:w="860"/>
        <w:gridCol w:w="78"/>
      </w:tblGrid>
      <w:tr w:rsidR="00BB68E1" w14:paraId="42A10DA5" w14:textId="77777777">
        <w:tc>
          <w:tcPr>
            <w:tcW w:w="0" w:type="auto"/>
            <w:gridSpan w:val="16"/>
            <w:shd w:val="clear" w:color="auto" w:fill="auto"/>
            <w:vAlign w:val="center"/>
          </w:tcPr>
          <w:p w14:paraId="42A10DA4" w14:textId="77777777" w:rsidR="00BB68E1" w:rsidRDefault="00BB68E1">
            <w:pPr>
              <w:rPr>
                <w:rFonts w:ascii="Times New Roman" w:hAnsi="Times New Roman"/>
                <w:sz w:val="20"/>
                <w:szCs w:val="20"/>
              </w:rPr>
            </w:pPr>
          </w:p>
        </w:tc>
      </w:tr>
      <w:tr w:rsidR="00BB68E1" w14:paraId="42A10DB6" w14:textId="77777777">
        <w:tc>
          <w:tcPr>
            <w:tcW w:w="1750" w:type="pct"/>
            <w:shd w:val="clear" w:color="auto" w:fill="auto"/>
            <w:vAlign w:val="center"/>
          </w:tcPr>
          <w:p w14:paraId="42A10DA6" w14:textId="77777777" w:rsidR="00BB68E1" w:rsidRDefault="00BB68E1">
            <w:pPr>
              <w:rPr>
                <w:rFonts w:ascii="Times New Roman" w:hAnsi="Times New Roman"/>
                <w:sz w:val="20"/>
                <w:szCs w:val="20"/>
              </w:rPr>
            </w:pPr>
          </w:p>
        </w:tc>
        <w:tc>
          <w:tcPr>
            <w:tcW w:w="50" w:type="pct"/>
            <w:shd w:val="clear" w:color="auto" w:fill="auto"/>
            <w:vAlign w:val="center"/>
          </w:tcPr>
          <w:p w14:paraId="42A10DA7" w14:textId="77777777" w:rsidR="00BB68E1" w:rsidRDefault="00BB68E1">
            <w:pPr>
              <w:rPr>
                <w:rFonts w:ascii="Times New Roman" w:hAnsi="Times New Roman"/>
                <w:sz w:val="20"/>
                <w:szCs w:val="20"/>
              </w:rPr>
            </w:pPr>
          </w:p>
        </w:tc>
        <w:tc>
          <w:tcPr>
            <w:tcW w:w="550" w:type="pct"/>
            <w:shd w:val="clear" w:color="auto" w:fill="auto"/>
            <w:vAlign w:val="center"/>
          </w:tcPr>
          <w:p w14:paraId="42A10DA8" w14:textId="77777777" w:rsidR="00BB68E1" w:rsidRDefault="00BB68E1">
            <w:pPr>
              <w:rPr>
                <w:rFonts w:ascii="Times New Roman" w:hAnsi="Times New Roman"/>
                <w:sz w:val="20"/>
                <w:szCs w:val="20"/>
              </w:rPr>
            </w:pPr>
          </w:p>
        </w:tc>
        <w:tc>
          <w:tcPr>
            <w:tcW w:w="50" w:type="pct"/>
            <w:shd w:val="clear" w:color="auto" w:fill="auto"/>
            <w:vAlign w:val="center"/>
          </w:tcPr>
          <w:p w14:paraId="42A10DA9" w14:textId="77777777" w:rsidR="00BB68E1" w:rsidRDefault="00BB68E1">
            <w:pPr>
              <w:rPr>
                <w:rFonts w:ascii="Times New Roman" w:hAnsi="Times New Roman"/>
                <w:sz w:val="20"/>
                <w:szCs w:val="20"/>
              </w:rPr>
            </w:pPr>
          </w:p>
        </w:tc>
        <w:tc>
          <w:tcPr>
            <w:tcW w:w="50" w:type="pct"/>
            <w:shd w:val="clear" w:color="auto" w:fill="auto"/>
            <w:vAlign w:val="center"/>
          </w:tcPr>
          <w:p w14:paraId="42A10DAA" w14:textId="77777777" w:rsidR="00BB68E1" w:rsidRDefault="00BB68E1">
            <w:pPr>
              <w:rPr>
                <w:rFonts w:ascii="Times New Roman" w:hAnsi="Times New Roman"/>
                <w:sz w:val="20"/>
                <w:szCs w:val="20"/>
              </w:rPr>
            </w:pPr>
          </w:p>
        </w:tc>
        <w:tc>
          <w:tcPr>
            <w:tcW w:w="550" w:type="pct"/>
            <w:shd w:val="clear" w:color="auto" w:fill="auto"/>
            <w:vAlign w:val="center"/>
          </w:tcPr>
          <w:p w14:paraId="42A10DAB" w14:textId="77777777" w:rsidR="00BB68E1" w:rsidRDefault="00BB68E1">
            <w:pPr>
              <w:rPr>
                <w:rFonts w:ascii="Times New Roman" w:hAnsi="Times New Roman"/>
                <w:sz w:val="20"/>
                <w:szCs w:val="20"/>
              </w:rPr>
            </w:pPr>
          </w:p>
        </w:tc>
        <w:tc>
          <w:tcPr>
            <w:tcW w:w="50" w:type="pct"/>
            <w:shd w:val="clear" w:color="auto" w:fill="auto"/>
            <w:vAlign w:val="center"/>
          </w:tcPr>
          <w:p w14:paraId="42A10DAC" w14:textId="77777777" w:rsidR="00BB68E1" w:rsidRDefault="00BB68E1">
            <w:pPr>
              <w:rPr>
                <w:rFonts w:ascii="Times New Roman" w:hAnsi="Times New Roman"/>
                <w:sz w:val="20"/>
                <w:szCs w:val="20"/>
              </w:rPr>
            </w:pPr>
          </w:p>
        </w:tc>
        <w:tc>
          <w:tcPr>
            <w:tcW w:w="50" w:type="pct"/>
            <w:shd w:val="clear" w:color="auto" w:fill="auto"/>
            <w:vAlign w:val="center"/>
          </w:tcPr>
          <w:p w14:paraId="42A10DAD" w14:textId="77777777" w:rsidR="00BB68E1" w:rsidRDefault="00BB68E1">
            <w:pPr>
              <w:rPr>
                <w:rFonts w:ascii="Times New Roman" w:hAnsi="Times New Roman"/>
                <w:sz w:val="20"/>
                <w:szCs w:val="20"/>
              </w:rPr>
            </w:pPr>
          </w:p>
        </w:tc>
        <w:tc>
          <w:tcPr>
            <w:tcW w:w="550" w:type="pct"/>
            <w:shd w:val="clear" w:color="auto" w:fill="auto"/>
            <w:vAlign w:val="center"/>
          </w:tcPr>
          <w:p w14:paraId="42A10DAE" w14:textId="77777777" w:rsidR="00BB68E1" w:rsidRDefault="00BB68E1">
            <w:pPr>
              <w:rPr>
                <w:rFonts w:ascii="Times New Roman" w:hAnsi="Times New Roman"/>
                <w:sz w:val="20"/>
                <w:szCs w:val="20"/>
              </w:rPr>
            </w:pPr>
          </w:p>
        </w:tc>
        <w:tc>
          <w:tcPr>
            <w:tcW w:w="50" w:type="pct"/>
            <w:shd w:val="clear" w:color="auto" w:fill="auto"/>
            <w:vAlign w:val="center"/>
          </w:tcPr>
          <w:p w14:paraId="42A10DAF" w14:textId="77777777" w:rsidR="00BB68E1" w:rsidRDefault="00BB68E1">
            <w:pPr>
              <w:rPr>
                <w:rFonts w:ascii="Times New Roman" w:hAnsi="Times New Roman"/>
                <w:sz w:val="20"/>
                <w:szCs w:val="20"/>
              </w:rPr>
            </w:pPr>
          </w:p>
        </w:tc>
        <w:tc>
          <w:tcPr>
            <w:tcW w:w="50" w:type="pct"/>
            <w:shd w:val="clear" w:color="auto" w:fill="auto"/>
            <w:vAlign w:val="center"/>
          </w:tcPr>
          <w:p w14:paraId="42A10DB0" w14:textId="77777777" w:rsidR="00BB68E1" w:rsidRDefault="00BB68E1">
            <w:pPr>
              <w:rPr>
                <w:rFonts w:ascii="Times New Roman" w:hAnsi="Times New Roman"/>
                <w:sz w:val="20"/>
                <w:szCs w:val="20"/>
              </w:rPr>
            </w:pPr>
          </w:p>
        </w:tc>
        <w:tc>
          <w:tcPr>
            <w:tcW w:w="550" w:type="pct"/>
            <w:shd w:val="clear" w:color="auto" w:fill="auto"/>
            <w:vAlign w:val="center"/>
          </w:tcPr>
          <w:p w14:paraId="42A10DB1" w14:textId="77777777" w:rsidR="00BB68E1" w:rsidRDefault="00BB68E1">
            <w:pPr>
              <w:rPr>
                <w:rFonts w:ascii="Times New Roman" w:hAnsi="Times New Roman"/>
                <w:sz w:val="20"/>
                <w:szCs w:val="20"/>
              </w:rPr>
            </w:pPr>
          </w:p>
        </w:tc>
        <w:tc>
          <w:tcPr>
            <w:tcW w:w="50" w:type="pct"/>
            <w:shd w:val="clear" w:color="auto" w:fill="auto"/>
            <w:vAlign w:val="center"/>
          </w:tcPr>
          <w:p w14:paraId="42A10DB2" w14:textId="77777777" w:rsidR="00BB68E1" w:rsidRDefault="00BB68E1">
            <w:pPr>
              <w:rPr>
                <w:rFonts w:ascii="Times New Roman" w:hAnsi="Times New Roman"/>
                <w:sz w:val="20"/>
                <w:szCs w:val="20"/>
              </w:rPr>
            </w:pPr>
          </w:p>
        </w:tc>
        <w:tc>
          <w:tcPr>
            <w:tcW w:w="50" w:type="pct"/>
            <w:shd w:val="clear" w:color="auto" w:fill="auto"/>
            <w:vAlign w:val="center"/>
          </w:tcPr>
          <w:p w14:paraId="42A10DB3" w14:textId="77777777" w:rsidR="00BB68E1" w:rsidRDefault="00BB68E1">
            <w:pPr>
              <w:rPr>
                <w:rFonts w:ascii="Times New Roman" w:hAnsi="Times New Roman"/>
                <w:sz w:val="20"/>
                <w:szCs w:val="20"/>
              </w:rPr>
            </w:pPr>
          </w:p>
        </w:tc>
        <w:tc>
          <w:tcPr>
            <w:tcW w:w="550" w:type="pct"/>
            <w:shd w:val="clear" w:color="auto" w:fill="auto"/>
            <w:vAlign w:val="center"/>
          </w:tcPr>
          <w:p w14:paraId="42A10DB4" w14:textId="77777777" w:rsidR="00BB68E1" w:rsidRDefault="00BB68E1">
            <w:pPr>
              <w:rPr>
                <w:rFonts w:ascii="Times New Roman" w:hAnsi="Times New Roman"/>
                <w:sz w:val="20"/>
                <w:szCs w:val="20"/>
              </w:rPr>
            </w:pPr>
          </w:p>
        </w:tc>
        <w:tc>
          <w:tcPr>
            <w:tcW w:w="50" w:type="pct"/>
            <w:shd w:val="clear" w:color="auto" w:fill="auto"/>
            <w:vAlign w:val="center"/>
          </w:tcPr>
          <w:p w14:paraId="42A10DB5" w14:textId="77777777" w:rsidR="00BB68E1" w:rsidRDefault="00BB68E1">
            <w:pPr>
              <w:rPr>
                <w:rFonts w:ascii="Times New Roman" w:hAnsi="Times New Roman"/>
                <w:sz w:val="20"/>
                <w:szCs w:val="20"/>
              </w:rPr>
            </w:pPr>
          </w:p>
        </w:tc>
      </w:tr>
      <w:tr w:rsidR="00BB68E1" w14:paraId="42A10DBE" w14:textId="77777777">
        <w:tc>
          <w:tcPr>
            <w:tcW w:w="0" w:type="auto"/>
            <w:shd w:val="clear" w:color="auto" w:fill="auto"/>
            <w:tcMar>
              <w:top w:w="40" w:type="dxa"/>
              <w:left w:w="40" w:type="dxa"/>
              <w:bottom w:w="40" w:type="dxa"/>
              <w:right w:w="40" w:type="dxa"/>
            </w:tcMar>
            <w:vAlign w:val="bottom"/>
          </w:tcPr>
          <w:p w14:paraId="42A10DB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0DB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42A10DB9"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Walmart U.S.</w:t>
            </w:r>
          </w:p>
        </w:tc>
        <w:tc>
          <w:tcPr>
            <w:tcW w:w="0" w:type="auto"/>
            <w:shd w:val="clear" w:color="auto" w:fill="auto"/>
            <w:tcMar>
              <w:top w:w="40" w:type="dxa"/>
              <w:left w:w="40" w:type="dxa"/>
              <w:bottom w:w="40" w:type="dxa"/>
              <w:right w:w="40" w:type="dxa"/>
            </w:tcMar>
            <w:vAlign w:val="bottom"/>
          </w:tcPr>
          <w:p w14:paraId="42A10DB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0DB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Sam's Club</w:t>
            </w:r>
          </w:p>
        </w:tc>
        <w:tc>
          <w:tcPr>
            <w:tcW w:w="0" w:type="auto"/>
            <w:shd w:val="clear" w:color="auto" w:fill="auto"/>
            <w:tcMar>
              <w:top w:w="40" w:type="dxa"/>
              <w:left w:w="40" w:type="dxa"/>
              <w:bottom w:w="40" w:type="dxa"/>
              <w:right w:w="40" w:type="dxa"/>
            </w:tcMar>
            <w:vAlign w:val="bottom"/>
          </w:tcPr>
          <w:p w14:paraId="42A10DB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0DB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0DC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42A10DBF"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 xml:space="preserve">State or </w:t>
            </w:r>
            <w:r>
              <w:rPr>
                <w:rFonts w:ascii="Times New Roman" w:eastAsia="宋体" w:hAnsi="Times New Roman"/>
                <w:b/>
                <w:bCs/>
                <w:sz w:val="16"/>
                <w:szCs w:val="16"/>
              </w:rPr>
              <w:t>Territory</w:t>
            </w:r>
          </w:p>
        </w:tc>
        <w:tc>
          <w:tcPr>
            <w:tcW w:w="0" w:type="auto"/>
            <w:shd w:val="clear" w:color="auto" w:fill="auto"/>
            <w:tcMar>
              <w:top w:w="40" w:type="dxa"/>
              <w:left w:w="40" w:type="dxa"/>
              <w:bottom w:w="40" w:type="dxa"/>
              <w:right w:w="40" w:type="dxa"/>
            </w:tcMar>
            <w:vAlign w:val="bottom"/>
          </w:tcPr>
          <w:p w14:paraId="42A10D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0DC1"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Supercenters</w:t>
            </w:r>
          </w:p>
        </w:tc>
        <w:tc>
          <w:tcPr>
            <w:tcW w:w="0" w:type="auto"/>
            <w:shd w:val="clear" w:color="auto" w:fill="auto"/>
            <w:tcMar>
              <w:top w:w="40" w:type="dxa"/>
              <w:left w:w="40" w:type="dxa"/>
              <w:bottom w:w="40" w:type="dxa"/>
              <w:right w:w="40" w:type="dxa"/>
            </w:tcMar>
            <w:vAlign w:val="bottom"/>
          </w:tcPr>
          <w:p w14:paraId="42A10D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0DC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Discount Stores</w:t>
            </w:r>
          </w:p>
        </w:tc>
        <w:tc>
          <w:tcPr>
            <w:tcW w:w="0" w:type="auto"/>
            <w:shd w:val="clear" w:color="auto" w:fill="auto"/>
            <w:tcMar>
              <w:top w:w="40" w:type="dxa"/>
              <w:left w:w="40" w:type="dxa"/>
              <w:bottom w:w="40" w:type="dxa"/>
              <w:right w:w="40" w:type="dxa"/>
            </w:tcMar>
            <w:vAlign w:val="bottom"/>
          </w:tcPr>
          <w:p w14:paraId="42A10DC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0DC5"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Neighborhood Markets and other small formats</w:t>
            </w:r>
          </w:p>
        </w:tc>
        <w:tc>
          <w:tcPr>
            <w:tcW w:w="0" w:type="auto"/>
            <w:shd w:val="clear" w:color="auto" w:fill="auto"/>
            <w:tcMar>
              <w:top w:w="40" w:type="dxa"/>
              <w:left w:w="40" w:type="dxa"/>
              <w:bottom w:w="40" w:type="dxa"/>
              <w:right w:w="40" w:type="dxa"/>
            </w:tcMar>
            <w:vAlign w:val="bottom"/>
          </w:tcPr>
          <w:p w14:paraId="42A10D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0DC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Clubs</w:t>
            </w:r>
          </w:p>
        </w:tc>
        <w:tc>
          <w:tcPr>
            <w:tcW w:w="0" w:type="auto"/>
            <w:shd w:val="clear" w:color="auto" w:fill="auto"/>
            <w:tcMar>
              <w:top w:w="40" w:type="dxa"/>
              <w:left w:w="40" w:type="dxa"/>
              <w:bottom w:w="40" w:type="dxa"/>
              <w:right w:w="40" w:type="dxa"/>
            </w:tcMar>
            <w:vAlign w:val="bottom"/>
          </w:tcPr>
          <w:p w14:paraId="42A10D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0DC9"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Grand Total</w:t>
            </w:r>
          </w:p>
        </w:tc>
      </w:tr>
      <w:tr w:rsidR="00BB68E1" w14:paraId="42A10DDB" w14:textId="77777777">
        <w:tc>
          <w:tcPr>
            <w:tcW w:w="0" w:type="auto"/>
            <w:shd w:val="clear" w:color="auto" w:fill="CCEEFF"/>
            <w:tcMar>
              <w:top w:w="40" w:type="dxa"/>
              <w:left w:w="40" w:type="dxa"/>
              <w:bottom w:w="40" w:type="dxa"/>
              <w:right w:w="40" w:type="dxa"/>
            </w:tcMar>
            <w:vAlign w:val="center"/>
          </w:tcPr>
          <w:p w14:paraId="42A10DC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Alabama</w:t>
            </w:r>
          </w:p>
        </w:tc>
        <w:tc>
          <w:tcPr>
            <w:tcW w:w="0" w:type="auto"/>
            <w:shd w:val="clear" w:color="auto" w:fill="CCEEFF"/>
            <w:tcMar>
              <w:top w:w="40" w:type="dxa"/>
              <w:left w:w="40" w:type="dxa"/>
              <w:bottom w:w="40" w:type="dxa"/>
              <w:right w:w="40" w:type="dxa"/>
            </w:tcMar>
            <w:vAlign w:val="bottom"/>
          </w:tcPr>
          <w:p w14:paraId="42A10DC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0DC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101</w:t>
            </w:r>
          </w:p>
        </w:tc>
        <w:tc>
          <w:tcPr>
            <w:tcW w:w="0" w:type="auto"/>
            <w:tcBorders>
              <w:top w:val="single" w:sz="8" w:space="0" w:color="000000"/>
            </w:tcBorders>
            <w:shd w:val="clear" w:color="auto" w:fill="CCEEFF"/>
            <w:vAlign w:val="bottom"/>
          </w:tcPr>
          <w:p w14:paraId="42A10DC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DC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0DD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tcBorders>
              <w:top w:val="single" w:sz="8" w:space="0" w:color="000000"/>
            </w:tcBorders>
            <w:shd w:val="clear" w:color="auto" w:fill="CCEEFF"/>
            <w:vAlign w:val="bottom"/>
          </w:tcPr>
          <w:p w14:paraId="42A10DD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DD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0DD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w:t>
            </w:r>
          </w:p>
        </w:tc>
        <w:tc>
          <w:tcPr>
            <w:tcW w:w="0" w:type="auto"/>
            <w:tcBorders>
              <w:top w:val="single" w:sz="8" w:space="0" w:color="000000"/>
            </w:tcBorders>
            <w:shd w:val="clear" w:color="auto" w:fill="CCEEFF"/>
            <w:vAlign w:val="bottom"/>
          </w:tcPr>
          <w:p w14:paraId="42A10DD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DD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0DD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w:t>
            </w:r>
          </w:p>
        </w:tc>
        <w:tc>
          <w:tcPr>
            <w:tcW w:w="0" w:type="auto"/>
            <w:tcBorders>
              <w:top w:val="single" w:sz="8" w:space="0" w:color="000000"/>
            </w:tcBorders>
            <w:shd w:val="clear" w:color="auto" w:fill="CCEEFF"/>
            <w:vAlign w:val="bottom"/>
          </w:tcPr>
          <w:p w14:paraId="42A10DD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DD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0DD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144</w:t>
            </w:r>
          </w:p>
        </w:tc>
        <w:tc>
          <w:tcPr>
            <w:tcW w:w="0" w:type="auto"/>
            <w:tcBorders>
              <w:top w:val="single" w:sz="8" w:space="0" w:color="000000"/>
            </w:tcBorders>
            <w:shd w:val="clear" w:color="auto" w:fill="CCEEFF"/>
            <w:vAlign w:val="bottom"/>
          </w:tcPr>
          <w:p w14:paraId="42A10DDA" w14:textId="77777777" w:rsidR="00BB68E1" w:rsidRDefault="00BB68E1">
            <w:pPr>
              <w:textAlignment w:val="bottom"/>
              <w:rPr>
                <w:rFonts w:ascii="Times New Roman" w:hAnsi="Times New Roman"/>
                <w:sz w:val="20"/>
                <w:szCs w:val="20"/>
              </w:rPr>
            </w:pPr>
          </w:p>
        </w:tc>
      </w:tr>
      <w:tr w:rsidR="00BB68E1" w14:paraId="42A10DEC" w14:textId="77777777">
        <w:tc>
          <w:tcPr>
            <w:tcW w:w="0" w:type="auto"/>
            <w:shd w:val="clear" w:color="auto" w:fill="auto"/>
            <w:tcMar>
              <w:top w:w="40" w:type="dxa"/>
              <w:left w:w="40" w:type="dxa"/>
              <w:bottom w:w="40" w:type="dxa"/>
              <w:right w:w="40" w:type="dxa"/>
            </w:tcMar>
            <w:vAlign w:val="center"/>
          </w:tcPr>
          <w:p w14:paraId="42A10DD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Alaska</w:t>
            </w:r>
          </w:p>
        </w:tc>
        <w:tc>
          <w:tcPr>
            <w:tcW w:w="0" w:type="auto"/>
            <w:shd w:val="clear" w:color="auto" w:fill="auto"/>
            <w:tcMar>
              <w:top w:w="40" w:type="dxa"/>
              <w:left w:w="40" w:type="dxa"/>
              <w:bottom w:w="40" w:type="dxa"/>
              <w:right w:w="40" w:type="dxa"/>
            </w:tcMar>
            <w:vAlign w:val="bottom"/>
          </w:tcPr>
          <w:p w14:paraId="42A10DD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DD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w:t>
            </w:r>
          </w:p>
        </w:tc>
        <w:tc>
          <w:tcPr>
            <w:tcW w:w="0" w:type="auto"/>
            <w:shd w:val="clear" w:color="auto" w:fill="auto"/>
            <w:vAlign w:val="bottom"/>
          </w:tcPr>
          <w:p w14:paraId="42A10DD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DE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DE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auto"/>
            <w:vAlign w:val="bottom"/>
          </w:tcPr>
          <w:p w14:paraId="42A10DE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DE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DE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0DE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DE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DE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0DE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DE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DE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w:t>
            </w:r>
          </w:p>
        </w:tc>
        <w:tc>
          <w:tcPr>
            <w:tcW w:w="0" w:type="auto"/>
            <w:shd w:val="clear" w:color="auto" w:fill="auto"/>
            <w:vAlign w:val="bottom"/>
          </w:tcPr>
          <w:p w14:paraId="42A10DEB" w14:textId="77777777" w:rsidR="00BB68E1" w:rsidRDefault="00BB68E1">
            <w:pPr>
              <w:textAlignment w:val="bottom"/>
              <w:rPr>
                <w:rFonts w:ascii="Times New Roman" w:hAnsi="Times New Roman"/>
                <w:sz w:val="20"/>
                <w:szCs w:val="20"/>
              </w:rPr>
            </w:pPr>
          </w:p>
        </w:tc>
      </w:tr>
      <w:tr w:rsidR="00BB68E1" w14:paraId="42A10DFD" w14:textId="77777777">
        <w:tc>
          <w:tcPr>
            <w:tcW w:w="0" w:type="auto"/>
            <w:shd w:val="clear" w:color="auto" w:fill="CCEEFF"/>
            <w:tcMar>
              <w:top w:w="40" w:type="dxa"/>
              <w:left w:w="40" w:type="dxa"/>
              <w:bottom w:w="40" w:type="dxa"/>
              <w:right w:w="40" w:type="dxa"/>
            </w:tcMar>
            <w:vAlign w:val="center"/>
          </w:tcPr>
          <w:p w14:paraId="42A10DE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Arizona</w:t>
            </w:r>
          </w:p>
        </w:tc>
        <w:tc>
          <w:tcPr>
            <w:tcW w:w="0" w:type="auto"/>
            <w:shd w:val="clear" w:color="auto" w:fill="CCEEFF"/>
            <w:tcMar>
              <w:top w:w="40" w:type="dxa"/>
              <w:left w:w="40" w:type="dxa"/>
              <w:bottom w:w="40" w:type="dxa"/>
              <w:right w:w="40" w:type="dxa"/>
            </w:tcMar>
            <w:vAlign w:val="bottom"/>
          </w:tcPr>
          <w:p w14:paraId="42A10DE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DE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83</w:t>
            </w:r>
          </w:p>
        </w:tc>
        <w:tc>
          <w:tcPr>
            <w:tcW w:w="0" w:type="auto"/>
            <w:shd w:val="clear" w:color="auto" w:fill="CCEEFF"/>
            <w:vAlign w:val="bottom"/>
          </w:tcPr>
          <w:p w14:paraId="42A10DF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DF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DF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CCEEFF"/>
            <w:vAlign w:val="bottom"/>
          </w:tcPr>
          <w:p w14:paraId="42A10DF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DF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DF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CCEEFF"/>
            <w:vAlign w:val="bottom"/>
          </w:tcPr>
          <w:p w14:paraId="42A10DF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DF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DF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w:t>
            </w:r>
          </w:p>
        </w:tc>
        <w:tc>
          <w:tcPr>
            <w:tcW w:w="0" w:type="auto"/>
            <w:shd w:val="clear" w:color="auto" w:fill="CCEEFF"/>
            <w:vAlign w:val="bottom"/>
          </w:tcPr>
          <w:p w14:paraId="42A10DF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DF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DF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125</w:t>
            </w:r>
          </w:p>
        </w:tc>
        <w:tc>
          <w:tcPr>
            <w:tcW w:w="0" w:type="auto"/>
            <w:shd w:val="clear" w:color="auto" w:fill="CCEEFF"/>
            <w:vAlign w:val="bottom"/>
          </w:tcPr>
          <w:p w14:paraId="42A10DFC" w14:textId="77777777" w:rsidR="00BB68E1" w:rsidRDefault="00BB68E1">
            <w:pPr>
              <w:textAlignment w:val="bottom"/>
              <w:rPr>
                <w:rFonts w:ascii="Times New Roman" w:hAnsi="Times New Roman"/>
                <w:sz w:val="20"/>
                <w:szCs w:val="20"/>
              </w:rPr>
            </w:pPr>
          </w:p>
        </w:tc>
      </w:tr>
      <w:tr w:rsidR="00BB68E1" w14:paraId="42A10E0E" w14:textId="77777777">
        <w:tc>
          <w:tcPr>
            <w:tcW w:w="0" w:type="auto"/>
            <w:shd w:val="clear" w:color="auto" w:fill="auto"/>
            <w:tcMar>
              <w:top w:w="40" w:type="dxa"/>
              <w:left w:w="40" w:type="dxa"/>
              <w:bottom w:w="40" w:type="dxa"/>
              <w:right w:w="40" w:type="dxa"/>
            </w:tcMar>
            <w:vAlign w:val="center"/>
          </w:tcPr>
          <w:p w14:paraId="42A10DF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Arkansas</w:t>
            </w:r>
          </w:p>
        </w:tc>
        <w:tc>
          <w:tcPr>
            <w:tcW w:w="0" w:type="auto"/>
            <w:shd w:val="clear" w:color="auto" w:fill="auto"/>
            <w:tcMar>
              <w:top w:w="40" w:type="dxa"/>
              <w:left w:w="40" w:type="dxa"/>
              <w:bottom w:w="40" w:type="dxa"/>
              <w:right w:w="40" w:type="dxa"/>
            </w:tcMar>
            <w:vAlign w:val="bottom"/>
          </w:tcPr>
          <w:p w14:paraId="42A10DF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0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76</w:t>
            </w:r>
          </w:p>
        </w:tc>
        <w:tc>
          <w:tcPr>
            <w:tcW w:w="0" w:type="auto"/>
            <w:shd w:val="clear" w:color="auto" w:fill="auto"/>
            <w:vAlign w:val="bottom"/>
          </w:tcPr>
          <w:p w14:paraId="42A10E0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0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0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w:t>
            </w:r>
          </w:p>
        </w:tc>
        <w:tc>
          <w:tcPr>
            <w:tcW w:w="0" w:type="auto"/>
            <w:shd w:val="clear" w:color="auto" w:fill="auto"/>
            <w:vAlign w:val="bottom"/>
          </w:tcPr>
          <w:p w14:paraId="42A10E0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0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0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37</w:t>
            </w:r>
          </w:p>
        </w:tc>
        <w:tc>
          <w:tcPr>
            <w:tcW w:w="0" w:type="auto"/>
            <w:shd w:val="clear" w:color="auto" w:fill="auto"/>
            <w:vAlign w:val="bottom"/>
          </w:tcPr>
          <w:p w14:paraId="42A10E0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0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0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w:t>
            </w:r>
          </w:p>
        </w:tc>
        <w:tc>
          <w:tcPr>
            <w:tcW w:w="0" w:type="auto"/>
            <w:shd w:val="clear" w:color="auto" w:fill="auto"/>
            <w:vAlign w:val="bottom"/>
          </w:tcPr>
          <w:p w14:paraId="42A10E0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0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0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127</w:t>
            </w:r>
          </w:p>
        </w:tc>
        <w:tc>
          <w:tcPr>
            <w:tcW w:w="0" w:type="auto"/>
            <w:shd w:val="clear" w:color="auto" w:fill="auto"/>
            <w:vAlign w:val="bottom"/>
          </w:tcPr>
          <w:p w14:paraId="42A10E0D" w14:textId="77777777" w:rsidR="00BB68E1" w:rsidRDefault="00BB68E1">
            <w:pPr>
              <w:textAlignment w:val="bottom"/>
              <w:rPr>
                <w:rFonts w:ascii="Times New Roman" w:hAnsi="Times New Roman"/>
                <w:sz w:val="20"/>
                <w:szCs w:val="20"/>
              </w:rPr>
            </w:pPr>
          </w:p>
        </w:tc>
      </w:tr>
      <w:tr w:rsidR="00BB68E1" w14:paraId="42A10E1F" w14:textId="77777777">
        <w:tc>
          <w:tcPr>
            <w:tcW w:w="0" w:type="auto"/>
            <w:shd w:val="clear" w:color="auto" w:fill="CCEEFF"/>
            <w:tcMar>
              <w:top w:w="40" w:type="dxa"/>
              <w:left w:w="40" w:type="dxa"/>
              <w:bottom w:w="40" w:type="dxa"/>
              <w:right w:w="40" w:type="dxa"/>
            </w:tcMar>
            <w:vAlign w:val="center"/>
          </w:tcPr>
          <w:p w14:paraId="42A10E0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California</w:t>
            </w:r>
          </w:p>
        </w:tc>
        <w:tc>
          <w:tcPr>
            <w:tcW w:w="0" w:type="auto"/>
            <w:shd w:val="clear" w:color="auto" w:fill="CCEEFF"/>
            <w:tcMar>
              <w:top w:w="40" w:type="dxa"/>
              <w:left w:w="40" w:type="dxa"/>
              <w:bottom w:w="40" w:type="dxa"/>
              <w:right w:w="40" w:type="dxa"/>
            </w:tcMar>
            <w:vAlign w:val="bottom"/>
          </w:tcPr>
          <w:p w14:paraId="42A10E1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1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142</w:t>
            </w:r>
          </w:p>
        </w:tc>
        <w:tc>
          <w:tcPr>
            <w:tcW w:w="0" w:type="auto"/>
            <w:shd w:val="clear" w:color="auto" w:fill="CCEEFF"/>
            <w:vAlign w:val="bottom"/>
          </w:tcPr>
          <w:p w14:paraId="42A10E1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1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1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71</w:t>
            </w:r>
          </w:p>
        </w:tc>
        <w:tc>
          <w:tcPr>
            <w:tcW w:w="0" w:type="auto"/>
            <w:shd w:val="clear" w:color="auto" w:fill="CCEEFF"/>
            <w:vAlign w:val="bottom"/>
          </w:tcPr>
          <w:p w14:paraId="42A10E1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1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1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78</w:t>
            </w:r>
          </w:p>
        </w:tc>
        <w:tc>
          <w:tcPr>
            <w:tcW w:w="0" w:type="auto"/>
            <w:shd w:val="clear" w:color="auto" w:fill="CCEEFF"/>
            <w:vAlign w:val="bottom"/>
          </w:tcPr>
          <w:p w14:paraId="42A10E1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1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1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w:t>
            </w:r>
          </w:p>
        </w:tc>
        <w:tc>
          <w:tcPr>
            <w:tcW w:w="0" w:type="auto"/>
            <w:shd w:val="clear" w:color="auto" w:fill="CCEEFF"/>
            <w:vAlign w:val="bottom"/>
          </w:tcPr>
          <w:p w14:paraId="42A10E1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1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1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320</w:t>
            </w:r>
          </w:p>
        </w:tc>
        <w:tc>
          <w:tcPr>
            <w:tcW w:w="0" w:type="auto"/>
            <w:shd w:val="clear" w:color="auto" w:fill="CCEEFF"/>
            <w:vAlign w:val="bottom"/>
          </w:tcPr>
          <w:p w14:paraId="42A10E1E" w14:textId="77777777" w:rsidR="00BB68E1" w:rsidRDefault="00BB68E1">
            <w:pPr>
              <w:textAlignment w:val="bottom"/>
              <w:rPr>
                <w:rFonts w:ascii="Times New Roman" w:hAnsi="Times New Roman"/>
                <w:sz w:val="20"/>
                <w:szCs w:val="20"/>
              </w:rPr>
            </w:pPr>
          </w:p>
        </w:tc>
      </w:tr>
      <w:tr w:rsidR="00BB68E1" w14:paraId="42A10E30" w14:textId="77777777">
        <w:tc>
          <w:tcPr>
            <w:tcW w:w="0" w:type="auto"/>
            <w:shd w:val="clear" w:color="auto" w:fill="auto"/>
            <w:tcMar>
              <w:top w:w="40" w:type="dxa"/>
              <w:left w:w="40" w:type="dxa"/>
              <w:bottom w:w="40" w:type="dxa"/>
              <w:right w:w="40" w:type="dxa"/>
            </w:tcMar>
            <w:vAlign w:val="center"/>
          </w:tcPr>
          <w:p w14:paraId="42A10E2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Colorado</w:t>
            </w:r>
          </w:p>
        </w:tc>
        <w:tc>
          <w:tcPr>
            <w:tcW w:w="0" w:type="auto"/>
            <w:shd w:val="clear" w:color="auto" w:fill="auto"/>
            <w:tcMar>
              <w:top w:w="40" w:type="dxa"/>
              <w:left w:w="40" w:type="dxa"/>
              <w:bottom w:w="40" w:type="dxa"/>
              <w:right w:w="40" w:type="dxa"/>
            </w:tcMar>
            <w:vAlign w:val="bottom"/>
          </w:tcPr>
          <w:p w14:paraId="42A10E2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2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70</w:t>
            </w:r>
          </w:p>
        </w:tc>
        <w:tc>
          <w:tcPr>
            <w:tcW w:w="0" w:type="auto"/>
            <w:shd w:val="clear" w:color="auto" w:fill="auto"/>
            <w:vAlign w:val="bottom"/>
          </w:tcPr>
          <w:p w14:paraId="42A10E2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2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2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w:t>
            </w:r>
          </w:p>
        </w:tc>
        <w:tc>
          <w:tcPr>
            <w:tcW w:w="0" w:type="auto"/>
            <w:shd w:val="clear" w:color="auto" w:fill="auto"/>
            <w:vAlign w:val="bottom"/>
          </w:tcPr>
          <w:p w14:paraId="42A10E2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2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2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w:t>
            </w:r>
          </w:p>
        </w:tc>
        <w:tc>
          <w:tcPr>
            <w:tcW w:w="0" w:type="auto"/>
            <w:shd w:val="clear" w:color="auto" w:fill="auto"/>
            <w:vAlign w:val="bottom"/>
          </w:tcPr>
          <w:p w14:paraId="42A10E2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2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2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w:t>
            </w:r>
          </w:p>
        </w:tc>
        <w:tc>
          <w:tcPr>
            <w:tcW w:w="0" w:type="auto"/>
            <w:shd w:val="clear" w:color="auto" w:fill="auto"/>
            <w:vAlign w:val="bottom"/>
          </w:tcPr>
          <w:p w14:paraId="42A10E2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2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2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109</w:t>
            </w:r>
          </w:p>
        </w:tc>
        <w:tc>
          <w:tcPr>
            <w:tcW w:w="0" w:type="auto"/>
            <w:shd w:val="clear" w:color="auto" w:fill="auto"/>
            <w:vAlign w:val="bottom"/>
          </w:tcPr>
          <w:p w14:paraId="42A10E2F" w14:textId="77777777" w:rsidR="00BB68E1" w:rsidRDefault="00BB68E1">
            <w:pPr>
              <w:textAlignment w:val="bottom"/>
              <w:rPr>
                <w:rFonts w:ascii="Times New Roman" w:hAnsi="Times New Roman"/>
                <w:sz w:val="20"/>
                <w:szCs w:val="20"/>
              </w:rPr>
            </w:pPr>
          </w:p>
        </w:tc>
      </w:tr>
      <w:tr w:rsidR="00BB68E1" w14:paraId="42A10E41" w14:textId="77777777">
        <w:tc>
          <w:tcPr>
            <w:tcW w:w="0" w:type="auto"/>
            <w:shd w:val="clear" w:color="auto" w:fill="CCEEFF"/>
            <w:tcMar>
              <w:top w:w="40" w:type="dxa"/>
              <w:left w:w="40" w:type="dxa"/>
              <w:bottom w:w="40" w:type="dxa"/>
              <w:right w:w="40" w:type="dxa"/>
            </w:tcMar>
            <w:vAlign w:val="center"/>
          </w:tcPr>
          <w:p w14:paraId="42A10E3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Connecticut</w:t>
            </w:r>
          </w:p>
        </w:tc>
        <w:tc>
          <w:tcPr>
            <w:tcW w:w="0" w:type="auto"/>
            <w:shd w:val="clear" w:color="auto" w:fill="CCEEFF"/>
            <w:tcMar>
              <w:top w:w="40" w:type="dxa"/>
              <w:left w:w="40" w:type="dxa"/>
              <w:bottom w:w="40" w:type="dxa"/>
              <w:right w:w="40" w:type="dxa"/>
            </w:tcMar>
            <w:vAlign w:val="bottom"/>
          </w:tcPr>
          <w:p w14:paraId="42A10E3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3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w:t>
            </w:r>
          </w:p>
        </w:tc>
        <w:tc>
          <w:tcPr>
            <w:tcW w:w="0" w:type="auto"/>
            <w:shd w:val="clear" w:color="auto" w:fill="CCEEFF"/>
            <w:vAlign w:val="bottom"/>
          </w:tcPr>
          <w:p w14:paraId="42A10E3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3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3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w:t>
            </w:r>
          </w:p>
        </w:tc>
        <w:tc>
          <w:tcPr>
            <w:tcW w:w="0" w:type="auto"/>
            <w:shd w:val="clear" w:color="auto" w:fill="CCEEFF"/>
            <w:vAlign w:val="bottom"/>
          </w:tcPr>
          <w:p w14:paraId="42A10E3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3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3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shd w:val="clear" w:color="auto" w:fill="CCEEFF"/>
            <w:vAlign w:val="bottom"/>
          </w:tcPr>
          <w:p w14:paraId="42A10E3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3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shd w:val="clear" w:color="auto" w:fill="CCEEFF"/>
            <w:vAlign w:val="bottom"/>
          </w:tcPr>
          <w:p w14:paraId="42A10E3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3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3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35</w:t>
            </w:r>
          </w:p>
        </w:tc>
        <w:tc>
          <w:tcPr>
            <w:tcW w:w="0" w:type="auto"/>
            <w:shd w:val="clear" w:color="auto" w:fill="CCEEFF"/>
            <w:vAlign w:val="bottom"/>
          </w:tcPr>
          <w:p w14:paraId="42A10E40" w14:textId="77777777" w:rsidR="00BB68E1" w:rsidRDefault="00BB68E1">
            <w:pPr>
              <w:textAlignment w:val="bottom"/>
              <w:rPr>
                <w:rFonts w:ascii="Times New Roman" w:hAnsi="Times New Roman"/>
                <w:sz w:val="20"/>
                <w:szCs w:val="20"/>
              </w:rPr>
            </w:pPr>
          </w:p>
        </w:tc>
      </w:tr>
      <w:tr w:rsidR="00BB68E1" w14:paraId="42A10E52" w14:textId="77777777">
        <w:tc>
          <w:tcPr>
            <w:tcW w:w="0" w:type="auto"/>
            <w:shd w:val="clear" w:color="auto" w:fill="auto"/>
            <w:tcMar>
              <w:top w:w="40" w:type="dxa"/>
              <w:left w:w="40" w:type="dxa"/>
              <w:bottom w:w="40" w:type="dxa"/>
              <w:right w:w="40" w:type="dxa"/>
            </w:tcMar>
            <w:vAlign w:val="center"/>
          </w:tcPr>
          <w:p w14:paraId="42A10E4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Delaware</w:t>
            </w:r>
          </w:p>
        </w:tc>
        <w:tc>
          <w:tcPr>
            <w:tcW w:w="0" w:type="auto"/>
            <w:shd w:val="clear" w:color="auto" w:fill="auto"/>
            <w:tcMar>
              <w:top w:w="40" w:type="dxa"/>
              <w:left w:w="40" w:type="dxa"/>
              <w:bottom w:w="40" w:type="dxa"/>
              <w:right w:w="40" w:type="dxa"/>
            </w:tcMar>
            <w:vAlign w:val="bottom"/>
          </w:tcPr>
          <w:p w14:paraId="42A10E4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4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w:t>
            </w:r>
          </w:p>
        </w:tc>
        <w:tc>
          <w:tcPr>
            <w:tcW w:w="0" w:type="auto"/>
            <w:shd w:val="clear" w:color="auto" w:fill="auto"/>
            <w:vAlign w:val="bottom"/>
          </w:tcPr>
          <w:p w14:paraId="42A10E4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4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4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w:t>
            </w:r>
          </w:p>
        </w:tc>
        <w:tc>
          <w:tcPr>
            <w:tcW w:w="0" w:type="auto"/>
            <w:shd w:val="clear" w:color="auto" w:fill="auto"/>
            <w:vAlign w:val="bottom"/>
          </w:tcPr>
          <w:p w14:paraId="42A10E4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4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4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0E4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4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4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shd w:val="clear" w:color="auto" w:fill="auto"/>
            <w:vAlign w:val="bottom"/>
          </w:tcPr>
          <w:p w14:paraId="42A10E4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4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5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w:t>
            </w:r>
          </w:p>
        </w:tc>
        <w:tc>
          <w:tcPr>
            <w:tcW w:w="0" w:type="auto"/>
            <w:shd w:val="clear" w:color="auto" w:fill="auto"/>
            <w:vAlign w:val="bottom"/>
          </w:tcPr>
          <w:p w14:paraId="42A10E51" w14:textId="77777777" w:rsidR="00BB68E1" w:rsidRDefault="00BB68E1">
            <w:pPr>
              <w:textAlignment w:val="bottom"/>
              <w:rPr>
                <w:rFonts w:ascii="Times New Roman" w:hAnsi="Times New Roman"/>
                <w:sz w:val="20"/>
                <w:szCs w:val="20"/>
              </w:rPr>
            </w:pPr>
          </w:p>
        </w:tc>
      </w:tr>
      <w:tr w:rsidR="00BB68E1" w14:paraId="42A10E63" w14:textId="77777777">
        <w:tc>
          <w:tcPr>
            <w:tcW w:w="0" w:type="auto"/>
            <w:shd w:val="clear" w:color="auto" w:fill="CCEEFF"/>
            <w:tcMar>
              <w:top w:w="40" w:type="dxa"/>
              <w:left w:w="40" w:type="dxa"/>
              <w:bottom w:w="40" w:type="dxa"/>
              <w:right w:w="40" w:type="dxa"/>
            </w:tcMar>
            <w:vAlign w:val="center"/>
          </w:tcPr>
          <w:p w14:paraId="42A10E5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Florida</w:t>
            </w:r>
          </w:p>
        </w:tc>
        <w:tc>
          <w:tcPr>
            <w:tcW w:w="0" w:type="auto"/>
            <w:shd w:val="clear" w:color="auto" w:fill="CCEEFF"/>
            <w:tcMar>
              <w:top w:w="40" w:type="dxa"/>
              <w:left w:w="40" w:type="dxa"/>
              <w:bottom w:w="40" w:type="dxa"/>
              <w:right w:w="40" w:type="dxa"/>
            </w:tcMar>
            <w:vAlign w:val="bottom"/>
          </w:tcPr>
          <w:p w14:paraId="42A10E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5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232</w:t>
            </w:r>
          </w:p>
        </w:tc>
        <w:tc>
          <w:tcPr>
            <w:tcW w:w="0" w:type="auto"/>
            <w:shd w:val="clear" w:color="auto" w:fill="CCEEFF"/>
            <w:vAlign w:val="bottom"/>
          </w:tcPr>
          <w:p w14:paraId="42A10E5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5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5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w:t>
            </w:r>
          </w:p>
        </w:tc>
        <w:tc>
          <w:tcPr>
            <w:tcW w:w="0" w:type="auto"/>
            <w:shd w:val="clear" w:color="auto" w:fill="CCEEFF"/>
            <w:vAlign w:val="bottom"/>
          </w:tcPr>
          <w:p w14:paraId="42A10E5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5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5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99</w:t>
            </w:r>
          </w:p>
        </w:tc>
        <w:tc>
          <w:tcPr>
            <w:tcW w:w="0" w:type="auto"/>
            <w:shd w:val="clear" w:color="auto" w:fill="CCEEFF"/>
            <w:vAlign w:val="bottom"/>
          </w:tcPr>
          <w:p w14:paraId="42A10E5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5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5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46</w:t>
            </w:r>
          </w:p>
        </w:tc>
        <w:tc>
          <w:tcPr>
            <w:tcW w:w="0" w:type="auto"/>
            <w:shd w:val="clear" w:color="auto" w:fill="CCEEFF"/>
            <w:vAlign w:val="bottom"/>
          </w:tcPr>
          <w:p w14:paraId="42A10E5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6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6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386</w:t>
            </w:r>
          </w:p>
        </w:tc>
        <w:tc>
          <w:tcPr>
            <w:tcW w:w="0" w:type="auto"/>
            <w:shd w:val="clear" w:color="auto" w:fill="CCEEFF"/>
            <w:vAlign w:val="bottom"/>
          </w:tcPr>
          <w:p w14:paraId="42A10E62" w14:textId="77777777" w:rsidR="00BB68E1" w:rsidRDefault="00BB68E1">
            <w:pPr>
              <w:textAlignment w:val="bottom"/>
              <w:rPr>
                <w:rFonts w:ascii="Times New Roman" w:hAnsi="Times New Roman"/>
                <w:sz w:val="20"/>
                <w:szCs w:val="20"/>
              </w:rPr>
            </w:pPr>
          </w:p>
        </w:tc>
      </w:tr>
      <w:tr w:rsidR="00BB68E1" w14:paraId="42A10E74" w14:textId="77777777">
        <w:tc>
          <w:tcPr>
            <w:tcW w:w="0" w:type="auto"/>
            <w:shd w:val="clear" w:color="auto" w:fill="auto"/>
            <w:tcMar>
              <w:top w:w="40" w:type="dxa"/>
              <w:left w:w="40" w:type="dxa"/>
              <w:bottom w:w="40" w:type="dxa"/>
              <w:right w:w="40" w:type="dxa"/>
            </w:tcMar>
            <w:vAlign w:val="center"/>
          </w:tcPr>
          <w:p w14:paraId="42A10E6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Georgia</w:t>
            </w:r>
          </w:p>
        </w:tc>
        <w:tc>
          <w:tcPr>
            <w:tcW w:w="0" w:type="auto"/>
            <w:shd w:val="clear" w:color="auto" w:fill="auto"/>
            <w:tcMar>
              <w:top w:w="40" w:type="dxa"/>
              <w:left w:w="40" w:type="dxa"/>
              <w:bottom w:w="40" w:type="dxa"/>
              <w:right w:w="40" w:type="dxa"/>
            </w:tcMar>
            <w:vAlign w:val="bottom"/>
          </w:tcPr>
          <w:p w14:paraId="42A10E6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6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154</w:t>
            </w:r>
          </w:p>
        </w:tc>
        <w:tc>
          <w:tcPr>
            <w:tcW w:w="0" w:type="auto"/>
            <w:shd w:val="clear" w:color="auto" w:fill="auto"/>
            <w:vAlign w:val="bottom"/>
          </w:tcPr>
          <w:p w14:paraId="42A10E6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6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6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auto"/>
            <w:vAlign w:val="bottom"/>
          </w:tcPr>
          <w:p w14:paraId="42A10E6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6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6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36</w:t>
            </w:r>
          </w:p>
        </w:tc>
        <w:tc>
          <w:tcPr>
            <w:tcW w:w="0" w:type="auto"/>
            <w:shd w:val="clear" w:color="auto" w:fill="auto"/>
            <w:vAlign w:val="bottom"/>
          </w:tcPr>
          <w:p w14:paraId="42A10E6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6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w:t>
            </w:r>
          </w:p>
        </w:tc>
        <w:tc>
          <w:tcPr>
            <w:tcW w:w="0" w:type="auto"/>
            <w:shd w:val="clear" w:color="auto" w:fill="auto"/>
            <w:vAlign w:val="bottom"/>
          </w:tcPr>
          <w:p w14:paraId="42A10E7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7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7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216</w:t>
            </w:r>
          </w:p>
        </w:tc>
        <w:tc>
          <w:tcPr>
            <w:tcW w:w="0" w:type="auto"/>
            <w:shd w:val="clear" w:color="auto" w:fill="auto"/>
            <w:vAlign w:val="bottom"/>
          </w:tcPr>
          <w:p w14:paraId="42A10E73" w14:textId="77777777" w:rsidR="00BB68E1" w:rsidRDefault="00BB68E1">
            <w:pPr>
              <w:textAlignment w:val="bottom"/>
              <w:rPr>
                <w:rFonts w:ascii="Times New Roman" w:hAnsi="Times New Roman"/>
                <w:sz w:val="20"/>
                <w:szCs w:val="20"/>
              </w:rPr>
            </w:pPr>
          </w:p>
        </w:tc>
      </w:tr>
      <w:tr w:rsidR="00BB68E1" w14:paraId="42A10E85" w14:textId="77777777">
        <w:tc>
          <w:tcPr>
            <w:tcW w:w="0" w:type="auto"/>
            <w:shd w:val="clear" w:color="auto" w:fill="CCEEFF"/>
            <w:tcMar>
              <w:top w:w="40" w:type="dxa"/>
              <w:left w:w="40" w:type="dxa"/>
              <w:bottom w:w="40" w:type="dxa"/>
              <w:right w:w="40" w:type="dxa"/>
            </w:tcMar>
            <w:vAlign w:val="center"/>
          </w:tcPr>
          <w:p w14:paraId="42A10E7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Hawaii</w:t>
            </w:r>
          </w:p>
        </w:tc>
        <w:tc>
          <w:tcPr>
            <w:tcW w:w="0" w:type="auto"/>
            <w:shd w:val="clear" w:color="auto" w:fill="CCEEFF"/>
            <w:tcMar>
              <w:top w:w="40" w:type="dxa"/>
              <w:left w:w="40" w:type="dxa"/>
              <w:bottom w:w="40" w:type="dxa"/>
              <w:right w:w="40" w:type="dxa"/>
            </w:tcMar>
            <w:vAlign w:val="bottom"/>
          </w:tcPr>
          <w:p w14:paraId="42A10E7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7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0E7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7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7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w:t>
            </w:r>
          </w:p>
        </w:tc>
        <w:tc>
          <w:tcPr>
            <w:tcW w:w="0" w:type="auto"/>
            <w:shd w:val="clear" w:color="auto" w:fill="CCEEFF"/>
            <w:vAlign w:val="bottom"/>
          </w:tcPr>
          <w:p w14:paraId="42A10E7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7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0E7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7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8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CCEEFF"/>
            <w:vAlign w:val="bottom"/>
          </w:tcPr>
          <w:p w14:paraId="42A10E8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8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8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w:t>
            </w:r>
          </w:p>
        </w:tc>
        <w:tc>
          <w:tcPr>
            <w:tcW w:w="0" w:type="auto"/>
            <w:shd w:val="clear" w:color="auto" w:fill="CCEEFF"/>
            <w:vAlign w:val="bottom"/>
          </w:tcPr>
          <w:p w14:paraId="42A10E84" w14:textId="77777777" w:rsidR="00BB68E1" w:rsidRDefault="00BB68E1">
            <w:pPr>
              <w:textAlignment w:val="bottom"/>
              <w:rPr>
                <w:rFonts w:ascii="Times New Roman" w:hAnsi="Times New Roman"/>
                <w:sz w:val="20"/>
                <w:szCs w:val="20"/>
              </w:rPr>
            </w:pPr>
          </w:p>
        </w:tc>
      </w:tr>
      <w:tr w:rsidR="00BB68E1" w14:paraId="42A10E96" w14:textId="77777777">
        <w:tc>
          <w:tcPr>
            <w:tcW w:w="0" w:type="auto"/>
            <w:shd w:val="clear" w:color="auto" w:fill="auto"/>
            <w:tcMar>
              <w:top w:w="40" w:type="dxa"/>
              <w:left w:w="40" w:type="dxa"/>
              <w:bottom w:w="40" w:type="dxa"/>
              <w:right w:w="40" w:type="dxa"/>
            </w:tcMar>
            <w:vAlign w:val="center"/>
          </w:tcPr>
          <w:p w14:paraId="42A10E8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Idaho</w:t>
            </w:r>
          </w:p>
        </w:tc>
        <w:tc>
          <w:tcPr>
            <w:tcW w:w="0" w:type="auto"/>
            <w:shd w:val="clear" w:color="auto" w:fill="auto"/>
            <w:tcMar>
              <w:top w:w="40" w:type="dxa"/>
              <w:left w:w="40" w:type="dxa"/>
              <w:bottom w:w="40" w:type="dxa"/>
              <w:right w:w="40" w:type="dxa"/>
            </w:tcMar>
            <w:vAlign w:val="bottom"/>
          </w:tcPr>
          <w:p w14:paraId="42A10E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8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w:t>
            </w:r>
          </w:p>
        </w:tc>
        <w:tc>
          <w:tcPr>
            <w:tcW w:w="0" w:type="auto"/>
            <w:shd w:val="clear" w:color="auto" w:fill="auto"/>
            <w:vAlign w:val="bottom"/>
          </w:tcPr>
          <w:p w14:paraId="42A10E8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8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8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0E8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8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8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w:t>
            </w:r>
          </w:p>
        </w:tc>
        <w:tc>
          <w:tcPr>
            <w:tcW w:w="0" w:type="auto"/>
            <w:shd w:val="clear" w:color="auto" w:fill="auto"/>
            <w:vAlign w:val="bottom"/>
          </w:tcPr>
          <w:p w14:paraId="42A10E8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9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9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shd w:val="clear" w:color="auto" w:fill="auto"/>
            <w:vAlign w:val="bottom"/>
          </w:tcPr>
          <w:p w14:paraId="42A10E9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9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9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w:t>
            </w:r>
          </w:p>
        </w:tc>
        <w:tc>
          <w:tcPr>
            <w:tcW w:w="0" w:type="auto"/>
            <w:shd w:val="clear" w:color="auto" w:fill="auto"/>
            <w:vAlign w:val="bottom"/>
          </w:tcPr>
          <w:p w14:paraId="42A10E95" w14:textId="77777777" w:rsidR="00BB68E1" w:rsidRDefault="00BB68E1">
            <w:pPr>
              <w:textAlignment w:val="bottom"/>
              <w:rPr>
                <w:rFonts w:ascii="Times New Roman" w:hAnsi="Times New Roman"/>
                <w:sz w:val="20"/>
                <w:szCs w:val="20"/>
              </w:rPr>
            </w:pPr>
          </w:p>
        </w:tc>
      </w:tr>
      <w:tr w:rsidR="00BB68E1" w14:paraId="42A10EA7" w14:textId="77777777">
        <w:tc>
          <w:tcPr>
            <w:tcW w:w="0" w:type="auto"/>
            <w:shd w:val="clear" w:color="auto" w:fill="CCEEFF"/>
            <w:tcMar>
              <w:top w:w="40" w:type="dxa"/>
              <w:left w:w="40" w:type="dxa"/>
              <w:bottom w:w="40" w:type="dxa"/>
              <w:right w:w="40" w:type="dxa"/>
            </w:tcMar>
            <w:vAlign w:val="center"/>
          </w:tcPr>
          <w:p w14:paraId="42A10E9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Illinois</w:t>
            </w:r>
          </w:p>
        </w:tc>
        <w:tc>
          <w:tcPr>
            <w:tcW w:w="0" w:type="auto"/>
            <w:shd w:val="clear" w:color="auto" w:fill="CCEEFF"/>
            <w:tcMar>
              <w:top w:w="40" w:type="dxa"/>
              <w:left w:w="40" w:type="dxa"/>
              <w:bottom w:w="40" w:type="dxa"/>
              <w:right w:w="40" w:type="dxa"/>
            </w:tcMar>
            <w:vAlign w:val="bottom"/>
          </w:tcPr>
          <w:p w14:paraId="42A10E9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9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139</w:t>
            </w:r>
          </w:p>
        </w:tc>
        <w:tc>
          <w:tcPr>
            <w:tcW w:w="0" w:type="auto"/>
            <w:shd w:val="clear" w:color="auto" w:fill="CCEEFF"/>
            <w:vAlign w:val="bottom"/>
          </w:tcPr>
          <w:p w14:paraId="42A10E9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9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9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shd w:val="clear" w:color="auto" w:fill="CCEEFF"/>
            <w:vAlign w:val="bottom"/>
          </w:tcPr>
          <w:p w14:paraId="42A10E9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9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9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w:t>
            </w:r>
          </w:p>
        </w:tc>
        <w:tc>
          <w:tcPr>
            <w:tcW w:w="0" w:type="auto"/>
            <w:shd w:val="clear" w:color="auto" w:fill="CCEEFF"/>
            <w:vAlign w:val="bottom"/>
          </w:tcPr>
          <w:p w14:paraId="42A10EA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A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A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w:t>
            </w:r>
          </w:p>
        </w:tc>
        <w:tc>
          <w:tcPr>
            <w:tcW w:w="0" w:type="auto"/>
            <w:shd w:val="clear" w:color="auto" w:fill="CCEEFF"/>
            <w:vAlign w:val="bottom"/>
          </w:tcPr>
          <w:p w14:paraId="42A10EA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A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A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191</w:t>
            </w:r>
          </w:p>
        </w:tc>
        <w:tc>
          <w:tcPr>
            <w:tcW w:w="0" w:type="auto"/>
            <w:shd w:val="clear" w:color="auto" w:fill="CCEEFF"/>
            <w:vAlign w:val="bottom"/>
          </w:tcPr>
          <w:p w14:paraId="42A10EA6" w14:textId="77777777" w:rsidR="00BB68E1" w:rsidRDefault="00BB68E1">
            <w:pPr>
              <w:textAlignment w:val="bottom"/>
              <w:rPr>
                <w:rFonts w:ascii="Times New Roman" w:hAnsi="Times New Roman"/>
                <w:sz w:val="20"/>
                <w:szCs w:val="20"/>
              </w:rPr>
            </w:pPr>
          </w:p>
        </w:tc>
      </w:tr>
      <w:tr w:rsidR="00BB68E1" w14:paraId="42A10EB8" w14:textId="77777777">
        <w:tc>
          <w:tcPr>
            <w:tcW w:w="0" w:type="auto"/>
            <w:shd w:val="clear" w:color="auto" w:fill="auto"/>
            <w:tcMar>
              <w:top w:w="40" w:type="dxa"/>
              <w:left w:w="40" w:type="dxa"/>
              <w:bottom w:w="40" w:type="dxa"/>
              <w:right w:w="40" w:type="dxa"/>
            </w:tcMar>
            <w:vAlign w:val="center"/>
          </w:tcPr>
          <w:p w14:paraId="42A10EA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lastRenderedPageBreak/>
              <w:t>Indiana</w:t>
            </w:r>
          </w:p>
        </w:tc>
        <w:tc>
          <w:tcPr>
            <w:tcW w:w="0" w:type="auto"/>
            <w:shd w:val="clear" w:color="auto" w:fill="auto"/>
            <w:tcMar>
              <w:top w:w="40" w:type="dxa"/>
              <w:left w:w="40" w:type="dxa"/>
              <w:bottom w:w="40" w:type="dxa"/>
              <w:right w:w="40" w:type="dxa"/>
            </w:tcMar>
            <w:vAlign w:val="bottom"/>
          </w:tcPr>
          <w:p w14:paraId="42A10EA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A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97</w:t>
            </w:r>
          </w:p>
        </w:tc>
        <w:tc>
          <w:tcPr>
            <w:tcW w:w="0" w:type="auto"/>
            <w:shd w:val="clear" w:color="auto" w:fill="auto"/>
            <w:vAlign w:val="bottom"/>
          </w:tcPr>
          <w:p w14:paraId="42A10EA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A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A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w:t>
            </w:r>
          </w:p>
        </w:tc>
        <w:tc>
          <w:tcPr>
            <w:tcW w:w="0" w:type="auto"/>
            <w:shd w:val="clear" w:color="auto" w:fill="auto"/>
            <w:vAlign w:val="bottom"/>
          </w:tcPr>
          <w:p w14:paraId="42A10EA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A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B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w:t>
            </w:r>
          </w:p>
        </w:tc>
        <w:tc>
          <w:tcPr>
            <w:tcW w:w="0" w:type="auto"/>
            <w:shd w:val="clear" w:color="auto" w:fill="auto"/>
            <w:vAlign w:val="bottom"/>
          </w:tcPr>
          <w:p w14:paraId="42A10EB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B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B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w:t>
            </w:r>
          </w:p>
        </w:tc>
        <w:tc>
          <w:tcPr>
            <w:tcW w:w="0" w:type="auto"/>
            <w:shd w:val="clear" w:color="auto" w:fill="auto"/>
            <w:vAlign w:val="bottom"/>
          </w:tcPr>
          <w:p w14:paraId="42A10EB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B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B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127</w:t>
            </w:r>
          </w:p>
        </w:tc>
        <w:tc>
          <w:tcPr>
            <w:tcW w:w="0" w:type="auto"/>
            <w:shd w:val="clear" w:color="auto" w:fill="auto"/>
            <w:vAlign w:val="bottom"/>
          </w:tcPr>
          <w:p w14:paraId="42A10EB7" w14:textId="77777777" w:rsidR="00BB68E1" w:rsidRDefault="00BB68E1">
            <w:pPr>
              <w:textAlignment w:val="bottom"/>
              <w:rPr>
                <w:rFonts w:ascii="Times New Roman" w:hAnsi="Times New Roman"/>
                <w:sz w:val="20"/>
                <w:szCs w:val="20"/>
              </w:rPr>
            </w:pPr>
          </w:p>
        </w:tc>
      </w:tr>
      <w:tr w:rsidR="00BB68E1" w14:paraId="42A10EC9" w14:textId="77777777">
        <w:tc>
          <w:tcPr>
            <w:tcW w:w="0" w:type="auto"/>
            <w:shd w:val="clear" w:color="auto" w:fill="CCEEFF"/>
            <w:tcMar>
              <w:top w:w="40" w:type="dxa"/>
              <w:left w:w="40" w:type="dxa"/>
              <w:bottom w:w="40" w:type="dxa"/>
              <w:right w:w="40" w:type="dxa"/>
            </w:tcMar>
            <w:vAlign w:val="center"/>
          </w:tcPr>
          <w:p w14:paraId="42A10EB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Iowa</w:t>
            </w:r>
          </w:p>
        </w:tc>
        <w:tc>
          <w:tcPr>
            <w:tcW w:w="0" w:type="auto"/>
            <w:shd w:val="clear" w:color="auto" w:fill="CCEEFF"/>
            <w:tcMar>
              <w:top w:w="40" w:type="dxa"/>
              <w:left w:w="40" w:type="dxa"/>
              <w:bottom w:w="40" w:type="dxa"/>
              <w:right w:w="40" w:type="dxa"/>
            </w:tcMar>
            <w:vAlign w:val="bottom"/>
          </w:tcPr>
          <w:p w14:paraId="42A10EB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B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58</w:t>
            </w:r>
          </w:p>
        </w:tc>
        <w:tc>
          <w:tcPr>
            <w:tcW w:w="0" w:type="auto"/>
            <w:shd w:val="clear" w:color="auto" w:fill="CCEEFF"/>
            <w:vAlign w:val="bottom"/>
          </w:tcPr>
          <w:p w14:paraId="42A10EB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B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B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CCEEFF"/>
            <w:vAlign w:val="bottom"/>
          </w:tcPr>
          <w:p w14:paraId="42A10EB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C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0EC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C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C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w:t>
            </w:r>
          </w:p>
        </w:tc>
        <w:tc>
          <w:tcPr>
            <w:tcW w:w="0" w:type="auto"/>
            <w:shd w:val="clear" w:color="auto" w:fill="CCEEFF"/>
            <w:vAlign w:val="bottom"/>
          </w:tcPr>
          <w:p w14:paraId="42A10EC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C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69</w:t>
            </w:r>
          </w:p>
        </w:tc>
        <w:tc>
          <w:tcPr>
            <w:tcW w:w="0" w:type="auto"/>
            <w:shd w:val="clear" w:color="auto" w:fill="CCEEFF"/>
            <w:vAlign w:val="bottom"/>
          </w:tcPr>
          <w:p w14:paraId="42A10EC8" w14:textId="77777777" w:rsidR="00BB68E1" w:rsidRDefault="00BB68E1">
            <w:pPr>
              <w:textAlignment w:val="bottom"/>
              <w:rPr>
                <w:rFonts w:ascii="Times New Roman" w:hAnsi="Times New Roman"/>
                <w:sz w:val="20"/>
                <w:szCs w:val="20"/>
              </w:rPr>
            </w:pPr>
          </w:p>
        </w:tc>
      </w:tr>
      <w:tr w:rsidR="00BB68E1" w14:paraId="42A10EDA" w14:textId="77777777">
        <w:tc>
          <w:tcPr>
            <w:tcW w:w="0" w:type="auto"/>
            <w:shd w:val="clear" w:color="auto" w:fill="auto"/>
            <w:tcMar>
              <w:top w:w="40" w:type="dxa"/>
              <w:left w:w="40" w:type="dxa"/>
              <w:bottom w:w="40" w:type="dxa"/>
              <w:right w:w="40" w:type="dxa"/>
            </w:tcMar>
            <w:vAlign w:val="center"/>
          </w:tcPr>
          <w:p w14:paraId="42A10EC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Kansas</w:t>
            </w:r>
          </w:p>
        </w:tc>
        <w:tc>
          <w:tcPr>
            <w:tcW w:w="0" w:type="auto"/>
            <w:shd w:val="clear" w:color="auto" w:fill="auto"/>
            <w:tcMar>
              <w:top w:w="40" w:type="dxa"/>
              <w:left w:w="40" w:type="dxa"/>
              <w:bottom w:w="40" w:type="dxa"/>
              <w:right w:w="40" w:type="dxa"/>
            </w:tcMar>
            <w:vAlign w:val="bottom"/>
          </w:tcPr>
          <w:p w14:paraId="42A10EC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C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58</w:t>
            </w:r>
          </w:p>
        </w:tc>
        <w:tc>
          <w:tcPr>
            <w:tcW w:w="0" w:type="auto"/>
            <w:shd w:val="clear" w:color="auto" w:fill="auto"/>
            <w:vAlign w:val="bottom"/>
          </w:tcPr>
          <w:p w14:paraId="42A10EC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C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C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auto"/>
            <w:vAlign w:val="bottom"/>
          </w:tcPr>
          <w:p w14:paraId="42A10ED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D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D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shd w:val="clear" w:color="auto" w:fill="auto"/>
            <w:vAlign w:val="bottom"/>
          </w:tcPr>
          <w:p w14:paraId="42A10ED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D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D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w:t>
            </w:r>
          </w:p>
        </w:tc>
        <w:tc>
          <w:tcPr>
            <w:tcW w:w="0" w:type="auto"/>
            <w:shd w:val="clear" w:color="auto" w:fill="auto"/>
            <w:vAlign w:val="bottom"/>
          </w:tcPr>
          <w:p w14:paraId="42A10ED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D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D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84</w:t>
            </w:r>
          </w:p>
        </w:tc>
        <w:tc>
          <w:tcPr>
            <w:tcW w:w="0" w:type="auto"/>
            <w:shd w:val="clear" w:color="auto" w:fill="auto"/>
            <w:vAlign w:val="bottom"/>
          </w:tcPr>
          <w:p w14:paraId="42A10ED9" w14:textId="77777777" w:rsidR="00BB68E1" w:rsidRDefault="00BB68E1">
            <w:pPr>
              <w:textAlignment w:val="bottom"/>
              <w:rPr>
                <w:rFonts w:ascii="Times New Roman" w:hAnsi="Times New Roman"/>
                <w:sz w:val="20"/>
                <w:szCs w:val="20"/>
              </w:rPr>
            </w:pPr>
          </w:p>
        </w:tc>
      </w:tr>
      <w:tr w:rsidR="00BB68E1" w14:paraId="42A10EEB" w14:textId="77777777">
        <w:tc>
          <w:tcPr>
            <w:tcW w:w="0" w:type="auto"/>
            <w:shd w:val="clear" w:color="auto" w:fill="CCEEFF"/>
            <w:tcMar>
              <w:top w:w="40" w:type="dxa"/>
              <w:left w:w="40" w:type="dxa"/>
              <w:bottom w:w="40" w:type="dxa"/>
              <w:right w:w="40" w:type="dxa"/>
            </w:tcMar>
            <w:vAlign w:val="center"/>
          </w:tcPr>
          <w:p w14:paraId="42A10ED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Kentucky</w:t>
            </w:r>
          </w:p>
        </w:tc>
        <w:tc>
          <w:tcPr>
            <w:tcW w:w="0" w:type="auto"/>
            <w:shd w:val="clear" w:color="auto" w:fill="CCEEFF"/>
            <w:tcMar>
              <w:top w:w="40" w:type="dxa"/>
              <w:left w:w="40" w:type="dxa"/>
              <w:bottom w:w="40" w:type="dxa"/>
              <w:right w:w="40" w:type="dxa"/>
            </w:tcMar>
            <w:vAlign w:val="bottom"/>
          </w:tcPr>
          <w:p w14:paraId="42A10ED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D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78</w:t>
            </w:r>
          </w:p>
        </w:tc>
        <w:tc>
          <w:tcPr>
            <w:tcW w:w="0" w:type="auto"/>
            <w:shd w:val="clear" w:color="auto" w:fill="CCEEFF"/>
            <w:vAlign w:val="bottom"/>
          </w:tcPr>
          <w:p w14:paraId="42A10ED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D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E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w:t>
            </w:r>
          </w:p>
        </w:tc>
        <w:tc>
          <w:tcPr>
            <w:tcW w:w="0" w:type="auto"/>
            <w:shd w:val="clear" w:color="auto" w:fill="CCEEFF"/>
            <w:vAlign w:val="bottom"/>
          </w:tcPr>
          <w:p w14:paraId="42A10EE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E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E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w:t>
            </w:r>
          </w:p>
        </w:tc>
        <w:tc>
          <w:tcPr>
            <w:tcW w:w="0" w:type="auto"/>
            <w:shd w:val="clear" w:color="auto" w:fill="CCEEFF"/>
            <w:vAlign w:val="bottom"/>
          </w:tcPr>
          <w:p w14:paraId="42A10EE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E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E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w:t>
            </w:r>
          </w:p>
        </w:tc>
        <w:tc>
          <w:tcPr>
            <w:tcW w:w="0" w:type="auto"/>
            <w:shd w:val="clear" w:color="auto" w:fill="CCEEFF"/>
            <w:vAlign w:val="bottom"/>
          </w:tcPr>
          <w:p w14:paraId="42A10EE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EE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E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103</w:t>
            </w:r>
          </w:p>
        </w:tc>
        <w:tc>
          <w:tcPr>
            <w:tcW w:w="0" w:type="auto"/>
            <w:shd w:val="clear" w:color="auto" w:fill="CCEEFF"/>
            <w:vAlign w:val="bottom"/>
          </w:tcPr>
          <w:p w14:paraId="42A10EEA" w14:textId="77777777" w:rsidR="00BB68E1" w:rsidRDefault="00BB68E1">
            <w:pPr>
              <w:textAlignment w:val="bottom"/>
              <w:rPr>
                <w:rFonts w:ascii="Times New Roman" w:hAnsi="Times New Roman"/>
                <w:sz w:val="20"/>
                <w:szCs w:val="20"/>
              </w:rPr>
            </w:pPr>
          </w:p>
        </w:tc>
      </w:tr>
      <w:tr w:rsidR="00BB68E1" w14:paraId="42A10EFC" w14:textId="77777777">
        <w:tc>
          <w:tcPr>
            <w:tcW w:w="0" w:type="auto"/>
            <w:shd w:val="clear" w:color="auto" w:fill="auto"/>
            <w:tcMar>
              <w:top w:w="40" w:type="dxa"/>
              <w:left w:w="40" w:type="dxa"/>
              <w:bottom w:w="40" w:type="dxa"/>
              <w:right w:w="40" w:type="dxa"/>
            </w:tcMar>
            <w:vAlign w:val="center"/>
          </w:tcPr>
          <w:p w14:paraId="42A10EE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Louisiana</w:t>
            </w:r>
          </w:p>
        </w:tc>
        <w:tc>
          <w:tcPr>
            <w:tcW w:w="0" w:type="auto"/>
            <w:shd w:val="clear" w:color="auto" w:fill="auto"/>
            <w:tcMar>
              <w:top w:w="40" w:type="dxa"/>
              <w:left w:w="40" w:type="dxa"/>
              <w:bottom w:w="40" w:type="dxa"/>
              <w:right w:w="40" w:type="dxa"/>
            </w:tcMar>
            <w:vAlign w:val="bottom"/>
          </w:tcPr>
          <w:p w14:paraId="42A10EE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E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88</w:t>
            </w:r>
          </w:p>
        </w:tc>
        <w:tc>
          <w:tcPr>
            <w:tcW w:w="0" w:type="auto"/>
            <w:shd w:val="clear" w:color="auto" w:fill="auto"/>
            <w:vAlign w:val="bottom"/>
          </w:tcPr>
          <w:p w14:paraId="42A10EE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F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F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auto"/>
            <w:vAlign w:val="bottom"/>
          </w:tcPr>
          <w:p w14:paraId="42A10EF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F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F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34</w:t>
            </w:r>
          </w:p>
        </w:tc>
        <w:tc>
          <w:tcPr>
            <w:tcW w:w="0" w:type="auto"/>
            <w:shd w:val="clear" w:color="auto" w:fill="auto"/>
            <w:vAlign w:val="bottom"/>
          </w:tcPr>
          <w:p w14:paraId="42A10EF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F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F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w:t>
            </w:r>
          </w:p>
        </w:tc>
        <w:tc>
          <w:tcPr>
            <w:tcW w:w="0" w:type="auto"/>
            <w:shd w:val="clear" w:color="auto" w:fill="auto"/>
            <w:vAlign w:val="bottom"/>
          </w:tcPr>
          <w:p w14:paraId="42A10EF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EF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EF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138</w:t>
            </w:r>
          </w:p>
        </w:tc>
        <w:tc>
          <w:tcPr>
            <w:tcW w:w="0" w:type="auto"/>
            <w:shd w:val="clear" w:color="auto" w:fill="auto"/>
            <w:vAlign w:val="bottom"/>
          </w:tcPr>
          <w:p w14:paraId="42A10EFB" w14:textId="77777777" w:rsidR="00BB68E1" w:rsidRDefault="00BB68E1">
            <w:pPr>
              <w:textAlignment w:val="bottom"/>
              <w:rPr>
                <w:rFonts w:ascii="Times New Roman" w:hAnsi="Times New Roman"/>
                <w:sz w:val="20"/>
                <w:szCs w:val="20"/>
              </w:rPr>
            </w:pPr>
          </w:p>
        </w:tc>
      </w:tr>
      <w:tr w:rsidR="00BB68E1" w14:paraId="42A10F0D" w14:textId="77777777">
        <w:tc>
          <w:tcPr>
            <w:tcW w:w="0" w:type="auto"/>
            <w:shd w:val="clear" w:color="auto" w:fill="CCEEFF"/>
            <w:tcMar>
              <w:top w:w="40" w:type="dxa"/>
              <w:left w:w="40" w:type="dxa"/>
              <w:bottom w:w="40" w:type="dxa"/>
              <w:right w:w="40" w:type="dxa"/>
            </w:tcMar>
            <w:vAlign w:val="center"/>
          </w:tcPr>
          <w:p w14:paraId="42A10EF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Maine</w:t>
            </w:r>
          </w:p>
        </w:tc>
        <w:tc>
          <w:tcPr>
            <w:tcW w:w="0" w:type="auto"/>
            <w:shd w:val="clear" w:color="auto" w:fill="CCEEFF"/>
            <w:tcMar>
              <w:top w:w="40" w:type="dxa"/>
              <w:left w:w="40" w:type="dxa"/>
              <w:bottom w:w="40" w:type="dxa"/>
              <w:right w:w="40" w:type="dxa"/>
            </w:tcMar>
            <w:vAlign w:val="bottom"/>
          </w:tcPr>
          <w:p w14:paraId="42A10EF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EF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w:t>
            </w:r>
          </w:p>
        </w:tc>
        <w:tc>
          <w:tcPr>
            <w:tcW w:w="0" w:type="auto"/>
            <w:shd w:val="clear" w:color="auto" w:fill="CCEEFF"/>
            <w:vAlign w:val="bottom"/>
          </w:tcPr>
          <w:p w14:paraId="42A10F0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0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0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w:t>
            </w:r>
          </w:p>
        </w:tc>
        <w:tc>
          <w:tcPr>
            <w:tcW w:w="0" w:type="auto"/>
            <w:shd w:val="clear" w:color="auto" w:fill="CCEEFF"/>
            <w:vAlign w:val="bottom"/>
          </w:tcPr>
          <w:p w14:paraId="42A10F0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0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0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0F0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0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0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w:t>
            </w:r>
          </w:p>
        </w:tc>
        <w:tc>
          <w:tcPr>
            <w:tcW w:w="0" w:type="auto"/>
            <w:shd w:val="clear" w:color="auto" w:fill="CCEEFF"/>
            <w:vAlign w:val="bottom"/>
          </w:tcPr>
          <w:p w14:paraId="42A10F0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0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0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w:t>
            </w:r>
          </w:p>
        </w:tc>
        <w:tc>
          <w:tcPr>
            <w:tcW w:w="0" w:type="auto"/>
            <w:shd w:val="clear" w:color="auto" w:fill="CCEEFF"/>
            <w:vAlign w:val="bottom"/>
          </w:tcPr>
          <w:p w14:paraId="42A10F0C" w14:textId="77777777" w:rsidR="00BB68E1" w:rsidRDefault="00BB68E1">
            <w:pPr>
              <w:textAlignment w:val="bottom"/>
              <w:rPr>
                <w:rFonts w:ascii="Times New Roman" w:hAnsi="Times New Roman"/>
                <w:sz w:val="20"/>
                <w:szCs w:val="20"/>
              </w:rPr>
            </w:pPr>
          </w:p>
        </w:tc>
      </w:tr>
      <w:tr w:rsidR="00BB68E1" w14:paraId="42A10F1E" w14:textId="77777777">
        <w:tc>
          <w:tcPr>
            <w:tcW w:w="0" w:type="auto"/>
            <w:shd w:val="clear" w:color="auto" w:fill="auto"/>
            <w:tcMar>
              <w:top w:w="40" w:type="dxa"/>
              <w:left w:w="40" w:type="dxa"/>
              <w:bottom w:w="40" w:type="dxa"/>
              <w:right w:w="40" w:type="dxa"/>
            </w:tcMar>
            <w:vAlign w:val="center"/>
          </w:tcPr>
          <w:p w14:paraId="42A10F0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Maryland</w:t>
            </w:r>
          </w:p>
        </w:tc>
        <w:tc>
          <w:tcPr>
            <w:tcW w:w="0" w:type="auto"/>
            <w:shd w:val="clear" w:color="auto" w:fill="auto"/>
            <w:tcMar>
              <w:top w:w="40" w:type="dxa"/>
              <w:left w:w="40" w:type="dxa"/>
              <w:bottom w:w="40" w:type="dxa"/>
              <w:right w:w="40" w:type="dxa"/>
            </w:tcMar>
            <w:vAlign w:val="bottom"/>
          </w:tcPr>
          <w:p w14:paraId="42A10F0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1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w:t>
            </w:r>
          </w:p>
        </w:tc>
        <w:tc>
          <w:tcPr>
            <w:tcW w:w="0" w:type="auto"/>
            <w:shd w:val="clear" w:color="auto" w:fill="auto"/>
            <w:vAlign w:val="bottom"/>
          </w:tcPr>
          <w:p w14:paraId="42A10F1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1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w:t>
            </w:r>
          </w:p>
        </w:tc>
        <w:tc>
          <w:tcPr>
            <w:tcW w:w="0" w:type="auto"/>
            <w:shd w:val="clear" w:color="auto" w:fill="auto"/>
            <w:vAlign w:val="bottom"/>
          </w:tcPr>
          <w:p w14:paraId="42A10F1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1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1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w:t>
            </w:r>
          </w:p>
        </w:tc>
        <w:tc>
          <w:tcPr>
            <w:tcW w:w="0" w:type="auto"/>
            <w:shd w:val="clear" w:color="auto" w:fill="auto"/>
            <w:vAlign w:val="bottom"/>
          </w:tcPr>
          <w:p w14:paraId="42A10F1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1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1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w:t>
            </w:r>
          </w:p>
        </w:tc>
        <w:tc>
          <w:tcPr>
            <w:tcW w:w="0" w:type="auto"/>
            <w:shd w:val="clear" w:color="auto" w:fill="auto"/>
            <w:vAlign w:val="bottom"/>
          </w:tcPr>
          <w:p w14:paraId="42A10F1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1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1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62</w:t>
            </w:r>
          </w:p>
        </w:tc>
        <w:tc>
          <w:tcPr>
            <w:tcW w:w="0" w:type="auto"/>
            <w:shd w:val="clear" w:color="auto" w:fill="auto"/>
            <w:vAlign w:val="bottom"/>
          </w:tcPr>
          <w:p w14:paraId="42A10F1D" w14:textId="77777777" w:rsidR="00BB68E1" w:rsidRDefault="00BB68E1">
            <w:pPr>
              <w:textAlignment w:val="bottom"/>
              <w:rPr>
                <w:rFonts w:ascii="Times New Roman" w:hAnsi="Times New Roman"/>
                <w:sz w:val="20"/>
                <w:szCs w:val="20"/>
              </w:rPr>
            </w:pPr>
          </w:p>
        </w:tc>
      </w:tr>
      <w:tr w:rsidR="00BB68E1" w14:paraId="42A10F2F" w14:textId="77777777">
        <w:tc>
          <w:tcPr>
            <w:tcW w:w="0" w:type="auto"/>
            <w:shd w:val="clear" w:color="auto" w:fill="CCEEFF"/>
            <w:tcMar>
              <w:top w:w="40" w:type="dxa"/>
              <w:left w:w="40" w:type="dxa"/>
              <w:bottom w:w="40" w:type="dxa"/>
              <w:right w:w="40" w:type="dxa"/>
            </w:tcMar>
            <w:vAlign w:val="center"/>
          </w:tcPr>
          <w:p w14:paraId="42A10F1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Massachusetts</w:t>
            </w:r>
          </w:p>
        </w:tc>
        <w:tc>
          <w:tcPr>
            <w:tcW w:w="0" w:type="auto"/>
            <w:shd w:val="clear" w:color="auto" w:fill="CCEEFF"/>
            <w:tcMar>
              <w:top w:w="40" w:type="dxa"/>
              <w:left w:w="40" w:type="dxa"/>
              <w:bottom w:w="40" w:type="dxa"/>
              <w:right w:w="40" w:type="dxa"/>
            </w:tcMar>
            <w:vAlign w:val="bottom"/>
          </w:tcPr>
          <w:p w14:paraId="42A10F2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2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w:t>
            </w:r>
          </w:p>
        </w:tc>
        <w:tc>
          <w:tcPr>
            <w:tcW w:w="0" w:type="auto"/>
            <w:shd w:val="clear" w:color="auto" w:fill="CCEEFF"/>
            <w:vAlign w:val="bottom"/>
          </w:tcPr>
          <w:p w14:paraId="42A10F2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2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2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w:t>
            </w:r>
          </w:p>
        </w:tc>
        <w:tc>
          <w:tcPr>
            <w:tcW w:w="0" w:type="auto"/>
            <w:shd w:val="clear" w:color="auto" w:fill="CCEEFF"/>
            <w:vAlign w:val="bottom"/>
          </w:tcPr>
          <w:p w14:paraId="42A10F2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2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2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w:t>
            </w:r>
          </w:p>
        </w:tc>
        <w:tc>
          <w:tcPr>
            <w:tcW w:w="0" w:type="auto"/>
            <w:shd w:val="clear" w:color="auto" w:fill="CCEEFF"/>
            <w:vAlign w:val="bottom"/>
          </w:tcPr>
          <w:p w14:paraId="42A10F2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2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2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0F2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2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2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52</w:t>
            </w:r>
          </w:p>
        </w:tc>
        <w:tc>
          <w:tcPr>
            <w:tcW w:w="0" w:type="auto"/>
            <w:shd w:val="clear" w:color="auto" w:fill="CCEEFF"/>
            <w:vAlign w:val="bottom"/>
          </w:tcPr>
          <w:p w14:paraId="42A10F2E" w14:textId="77777777" w:rsidR="00BB68E1" w:rsidRDefault="00BB68E1">
            <w:pPr>
              <w:textAlignment w:val="bottom"/>
              <w:rPr>
                <w:rFonts w:ascii="Times New Roman" w:hAnsi="Times New Roman"/>
                <w:sz w:val="20"/>
                <w:szCs w:val="20"/>
              </w:rPr>
            </w:pPr>
          </w:p>
        </w:tc>
      </w:tr>
      <w:tr w:rsidR="00BB68E1" w14:paraId="42A10F40" w14:textId="77777777">
        <w:tc>
          <w:tcPr>
            <w:tcW w:w="0" w:type="auto"/>
            <w:shd w:val="clear" w:color="auto" w:fill="auto"/>
            <w:tcMar>
              <w:top w:w="40" w:type="dxa"/>
              <w:left w:w="40" w:type="dxa"/>
              <w:bottom w:w="40" w:type="dxa"/>
              <w:right w:w="40" w:type="dxa"/>
            </w:tcMar>
            <w:vAlign w:val="center"/>
          </w:tcPr>
          <w:p w14:paraId="42A10F3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Michigan</w:t>
            </w:r>
          </w:p>
        </w:tc>
        <w:tc>
          <w:tcPr>
            <w:tcW w:w="0" w:type="auto"/>
            <w:shd w:val="clear" w:color="auto" w:fill="auto"/>
            <w:tcMar>
              <w:top w:w="40" w:type="dxa"/>
              <w:left w:w="40" w:type="dxa"/>
              <w:bottom w:w="40" w:type="dxa"/>
              <w:right w:w="40" w:type="dxa"/>
            </w:tcMar>
            <w:vAlign w:val="bottom"/>
          </w:tcPr>
          <w:p w14:paraId="42A10F3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3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91</w:t>
            </w:r>
          </w:p>
        </w:tc>
        <w:tc>
          <w:tcPr>
            <w:tcW w:w="0" w:type="auto"/>
            <w:shd w:val="clear" w:color="auto" w:fill="auto"/>
            <w:vAlign w:val="bottom"/>
          </w:tcPr>
          <w:p w14:paraId="42A10F3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3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3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w:t>
            </w:r>
          </w:p>
        </w:tc>
        <w:tc>
          <w:tcPr>
            <w:tcW w:w="0" w:type="auto"/>
            <w:shd w:val="clear" w:color="auto" w:fill="auto"/>
            <w:vAlign w:val="bottom"/>
          </w:tcPr>
          <w:p w14:paraId="42A10F3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3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3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w:t>
            </w:r>
          </w:p>
        </w:tc>
        <w:tc>
          <w:tcPr>
            <w:tcW w:w="0" w:type="auto"/>
            <w:shd w:val="clear" w:color="auto" w:fill="auto"/>
            <w:vAlign w:val="bottom"/>
          </w:tcPr>
          <w:p w14:paraId="42A10F3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3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3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w:t>
            </w:r>
          </w:p>
        </w:tc>
        <w:tc>
          <w:tcPr>
            <w:tcW w:w="0" w:type="auto"/>
            <w:shd w:val="clear" w:color="auto" w:fill="auto"/>
            <w:vAlign w:val="bottom"/>
          </w:tcPr>
          <w:p w14:paraId="42A10F3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3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3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128</w:t>
            </w:r>
          </w:p>
        </w:tc>
        <w:tc>
          <w:tcPr>
            <w:tcW w:w="0" w:type="auto"/>
            <w:shd w:val="clear" w:color="auto" w:fill="auto"/>
            <w:vAlign w:val="bottom"/>
          </w:tcPr>
          <w:p w14:paraId="42A10F3F" w14:textId="77777777" w:rsidR="00BB68E1" w:rsidRDefault="00BB68E1">
            <w:pPr>
              <w:textAlignment w:val="bottom"/>
              <w:rPr>
                <w:rFonts w:ascii="Times New Roman" w:hAnsi="Times New Roman"/>
                <w:sz w:val="20"/>
                <w:szCs w:val="20"/>
              </w:rPr>
            </w:pPr>
          </w:p>
        </w:tc>
      </w:tr>
      <w:tr w:rsidR="00BB68E1" w14:paraId="42A10F51" w14:textId="77777777">
        <w:tc>
          <w:tcPr>
            <w:tcW w:w="0" w:type="auto"/>
            <w:shd w:val="clear" w:color="auto" w:fill="CCEEFF"/>
            <w:tcMar>
              <w:top w:w="40" w:type="dxa"/>
              <w:left w:w="40" w:type="dxa"/>
              <w:bottom w:w="40" w:type="dxa"/>
              <w:right w:w="40" w:type="dxa"/>
            </w:tcMar>
            <w:vAlign w:val="center"/>
          </w:tcPr>
          <w:p w14:paraId="42A10F4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Minnesota</w:t>
            </w:r>
          </w:p>
        </w:tc>
        <w:tc>
          <w:tcPr>
            <w:tcW w:w="0" w:type="auto"/>
            <w:shd w:val="clear" w:color="auto" w:fill="CCEEFF"/>
            <w:tcMar>
              <w:top w:w="40" w:type="dxa"/>
              <w:left w:w="40" w:type="dxa"/>
              <w:bottom w:w="40" w:type="dxa"/>
              <w:right w:w="40" w:type="dxa"/>
            </w:tcMar>
            <w:vAlign w:val="bottom"/>
          </w:tcPr>
          <w:p w14:paraId="42A10F4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4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65</w:t>
            </w:r>
          </w:p>
        </w:tc>
        <w:tc>
          <w:tcPr>
            <w:tcW w:w="0" w:type="auto"/>
            <w:shd w:val="clear" w:color="auto" w:fill="CCEEFF"/>
            <w:vAlign w:val="bottom"/>
          </w:tcPr>
          <w:p w14:paraId="42A10F4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4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4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w:t>
            </w:r>
          </w:p>
        </w:tc>
        <w:tc>
          <w:tcPr>
            <w:tcW w:w="0" w:type="auto"/>
            <w:shd w:val="clear" w:color="auto" w:fill="CCEEFF"/>
            <w:vAlign w:val="bottom"/>
          </w:tcPr>
          <w:p w14:paraId="42A10F4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4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4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shd w:val="clear" w:color="auto" w:fill="CCEEFF"/>
            <w:vAlign w:val="bottom"/>
          </w:tcPr>
          <w:p w14:paraId="42A10F4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4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4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w:t>
            </w:r>
          </w:p>
        </w:tc>
        <w:tc>
          <w:tcPr>
            <w:tcW w:w="0" w:type="auto"/>
            <w:shd w:val="clear" w:color="auto" w:fill="CCEEFF"/>
            <w:vAlign w:val="bottom"/>
          </w:tcPr>
          <w:p w14:paraId="42A10F4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4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4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81</w:t>
            </w:r>
          </w:p>
        </w:tc>
        <w:tc>
          <w:tcPr>
            <w:tcW w:w="0" w:type="auto"/>
            <w:shd w:val="clear" w:color="auto" w:fill="CCEEFF"/>
            <w:vAlign w:val="bottom"/>
          </w:tcPr>
          <w:p w14:paraId="42A10F50" w14:textId="77777777" w:rsidR="00BB68E1" w:rsidRDefault="00BB68E1">
            <w:pPr>
              <w:textAlignment w:val="bottom"/>
              <w:rPr>
                <w:rFonts w:ascii="Times New Roman" w:hAnsi="Times New Roman"/>
                <w:sz w:val="20"/>
                <w:szCs w:val="20"/>
              </w:rPr>
            </w:pPr>
          </w:p>
        </w:tc>
      </w:tr>
      <w:tr w:rsidR="00BB68E1" w14:paraId="42A10F62" w14:textId="77777777">
        <w:tc>
          <w:tcPr>
            <w:tcW w:w="0" w:type="auto"/>
            <w:shd w:val="clear" w:color="auto" w:fill="auto"/>
            <w:tcMar>
              <w:top w:w="40" w:type="dxa"/>
              <w:left w:w="40" w:type="dxa"/>
              <w:bottom w:w="40" w:type="dxa"/>
              <w:right w:w="40" w:type="dxa"/>
            </w:tcMar>
            <w:vAlign w:val="center"/>
          </w:tcPr>
          <w:p w14:paraId="42A10F5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Mississippi</w:t>
            </w:r>
          </w:p>
        </w:tc>
        <w:tc>
          <w:tcPr>
            <w:tcW w:w="0" w:type="auto"/>
            <w:shd w:val="clear" w:color="auto" w:fill="auto"/>
            <w:tcMar>
              <w:top w:w="40" w:type="dxa"/>
              <w:left w:w="40" w:type="dxa"/>
              <w:bottom w:w="40" w:type="dxa"/>
              <w:right w:w="40" w:type="dxa"/>
            </w:tcMar>
            <w:vAlign w:val="bottom"/>
          </w:tcPr>
          <w:p w14:paraId="42A10F5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5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65</w:t>
            </w:r>
          </w:p>
        </w:tc>
        <w:tc>
          <w:tcPr>
            <w:tcW w:w="0" w:type="auto"/>
            <w:shd w:val="clear" w:color="auto" w:fill="auto"/>
            <w:vAlign w:val="bottom"/>
          </w:tcPr>
          <w:p w14:paraId="42A10F5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5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5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w:t>
            </w:r>
          </w:p>
        </w:tc>
        <w:tc>
          <w:tcPr>
            <w:tcW w:w="0" w:type="auto"/>
            <w:shd w:val="clear" w:color="auto" w:fill="auto"/>
            <w:vAlign w:val="bottom"/>
          </w:tcPr>
          <w:p w14:paraId="42A10F5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5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5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w:t>
            </w:r>
          </w:p>
        </w:tc>
        <w:tc>
          <w:tcPr>
            <w:tcW w:w="0" w:type="auto"/>
            <w:shd w:val="clear" w:color="auto" w:fill="auto"/>
            <w:vAlign w:val="bottom"/>
          </w:tcPr>
          <w:p w14:paraId="42A10F5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5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5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w:t>
            </w:r>
          </w:p>
        </w:tc>
        <w:tc>
          <w:tcPr>
            <w:tcW w:w="0" w:type="auto"/>
            <w:shd w:val="clear" w:color="auto" w:fill="auto"/>
            <w:vAlign w:val="bottom"/>
          </w:tcPr>
          <w:p w14:paraId="42A10F5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5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6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86</w:t>
            </w:r>
          </w:p>
        </w:tc>
        <w:tc>
          <w:tcPr>
            <w:tcW w:w="0" w:type="auto"/>
            <w:shd w:val="clear" w:color="auto" w:fill="auto"/>
            <w:vAlign w:val="bottom"/>
          </w:tcPr>
          <w:p w14:paraId="42A10F61" w14:textId="77777777" w:rsidR="00BB68E1" w:rsidRDefault="00BB68E1">
            <w:pPr>
              <w:textAlignment w:val="bottom"/>
              <w:rPr>
                <w:rFonts w:ascii="Times New Roman" w:hAnsi="Times New Roman"/>
                <w:sz w:val="20"/>
                <w:szCs w:val="20"/>
              </w:rPr>
            </w:pPr>
          </w:p>
        </w:tc>
      </w:tr>
      <w:tr w:rsidR="00BB68E1" w14:paraId="42A10F73" w14:textId="77777777">
        <w:tc>
          <w:tcPr>
            <w:tcW w:w="0" w:type="auto"/>
            <w:shd w:val="clear" w:color="auto" w:fill="CCEEFF"/>
            <w:tcMar>
              <w:top w:w="40" w:type="dxa"/>
              <w:left w:w="40" w:type="dxa"/>
              <w:bottom w:w="40" w:type="dxa"/>
              <w:right w:w="40" w:type="dxa"/>
            </w:tcMar>
            <w:vAlign w:val="center"/>
          </w:tcPr>
          <w:p w14:paraId="42A10F6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Missouri</w:t>
            </w:r>
          </w:p>
        </w:tc>
        <w:tc>
          <w:tcPr>
            <w:tcW w:w="0" w:type="auto"/>
            <w:shd w:val="clear" w:color="auto" w:fill="CCEEFF"/>
            <w:tcMar>
              <w:top w:w="40" w:type="dxa"/>
              <w:left w:w="40" w:type="dxa"/>
              <w:bottom w:w="40" w:type="dxa"/>
              <w:right w:w="40" w:type="dxa"/>
            </w:tcMar>
            <w:vAlign w:val="bottom"/>
          </w:tcPr>
          <w:p w14:paraId="42A10F6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6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112</w:t>
            </w:r>
          </w:p>
        </w:tc>
        <w:tc>
          <w:tcPr>
            <w:tcW w:w="0" w:type="auto"/>
            <w:shd w:val="clear" w:color="auto" w:fill="CCEEFF"/>
            <w:vAlign w:val="bottom"/>
          </w:tcPr>
          <w:p w14:paraId="42A10F6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6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6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w:t>
            </w:r>
          </w:p>
        </w:tc>
        <w:tc>
          <w:tcPr>
            <w:tcW w:w="0" w:type="auto"/>
            <w:shd w:val="clear" w:color="auto" w:fill="CCEEFF"/>
            <w:vAlign w:val="bottom"/>
          </w:tcPr>
          <w:p w14:paraId="42A10F6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6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6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w:t>
            </w:r>
          </w:p>
        </w:tc>
        <w:tc>
          <w:tcPr>
            <w:tcW w:w="0" w:type="auto"/>
            <w:shd w:val="clear" w:color="auto" w:fill="CCEEFF"/>
            <w:vAlign w:val="bottom"/>
          </w:tcPr>
          <w:p w14:paraId="42A10F6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6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6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w:t>
            </w:r>
          </w:p>
        </w:tc>
        <w:tc>
          <w:tcPr>
            <w:tcW w:w="0" w:type="auto"/>
            <w:shd w:val="clear" w:color="auto" w:fill="CCEEFF"/>
            <w:vAlign w:val="bottom"/>
          </w:tcPr>
          <w:p w14:paraId="42A10F6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7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7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158</w:t>
            </w:r>
          </w:p>
        </w:tc>
        <w:tc>
          <w:tcPr>
            <w:tcW w:w="0" w:type="auto"/>
            <w:shd w:val="clear" w:color="auto" w:fill="CCEEFF"/>
            <w:vAlign w:val="bottom"/>
          </w:tcPr>
          <w:p w14:paraId="42A10F72" w14:textId="77777777" w:rsidR="00BB68E1" w:rsidRDefault="00BB68E1">
            <w:pPr>
              <w:textAlignment w:val="bottom"/>
              <w:rPr>
                <w:rFonts w:ascii="Times New Roman" w:hAnsi="Times New Roman"/>
                <w:sz w:val="20"/>
                <w:szCs w:val="20"/>
              </w:rPr>
            </w:pPr>
          </w:p>
        </w:tc>
      </w:tr>
      <w:tr w:rsidR="00BB68E1" w14:paraId="42A10F84" w14:textId="77777777">
        <w:tc>
          <w:tcPr>
            <w:tcW w:w="0" w:type="auto"/>
            <w:shd w:val="clear" w:color="auto" w:fill="auto"/>
            <w:tcMar>
              <w:top w:w="40" w:type="dxa"/>
              <w:left w:w="40" w:type="dxa"/>
              <w:bottom w:w="40" w:type="dxa"/>
              <w:right w:w="40" w:type="dxa"/>
            </w:tcMar>
            <w:vAlign w:val="center"/>
          </w:tcPr>
          <w:p w14:paraId="42A10F7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Montana</w:t>
            </w:r>
          </w:p>
        </w:tc>
        <w:tc>
          <w:tcPr>
            <w:tcW w:w="0" w:type="auto"/>
            <w:shd w:val="clear" w:color="auto" w:fill="auto"/>
            <w:tcMar>
              <w:top w:w="40" w:type="dxa"/>
              <w:left w:w="40" w:type="dxa"/>
              <w:bottom w:w="40" w:type="dxa"/>
              <w:right w:w="40" w:type="dxa"/>
            </w:tcMar>
            <w:vAlign w:val="bottom"/>
          </w:tcPr>
          <w:p w14:paraId="42A10F7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7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w:t>
            </w:r>
          </w:p>
        </w:tc>
        <w:tc>
          <w:tcPr>
            <w:tcW w:w="0" w:type="auto"/>
            <w:shd w:val="clear" w:color="auto" w:fill="auto"/>
            <w:vAlign w:val="bottom"/>
          </w:tcPr>
          <w:p w14:paraId="42A10F7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7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7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0F7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7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7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0F7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7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7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auto"/>
            <w:vAlign w:val="bottom"/>
          </w:tcPr>
          <w:p w14:paraId="42A10F8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8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shd w:val="clear" w:color="auto" w:fill="auto"/>
            <w:vAlign w:val="bottom"/>
          </w:tcPr>
          <w:p w14:paraId="42A10F83" w14:textId="77777777" w:rsidR="00BB68E1" w:rsidRDefault="00BB68E1">
            <w:pPr>
              <w:textAlignment w:val="bottom"/>
              <w:rPr>
                <w:rFonts w:ascii="Times New Roman" w:hAnsi="Times New Roman"/>
                <w:sz w:val="20"/>
                <w:szCs w:val="20"/>
              </w:rPr>
            </w:pPr>
          </w:p>
        </w:tc>
      </w:tr>
      <w:tr w:rsidR="00BB68E1" w14:paraId="42A10F95" w14:textId="77777777">
        <w:tc>
          <w:tcPr>
            <w:tcW w:w="0" w:type="auto"/>
            <w:shd w:val="clear" w:color="auto" w:fill="CCEEFF"/>
            <w:tcMar>
              <w:top w:w="40" w:type="dxa"/>
              <w:left w:w="40" w:type="dxa"/>
              <w:bottom w:w="40" w:type="dxa"/>
              <w:right w:w="40" w:type="dxa"/>
            </w:tcMar>
            <w:vAlign w:val="center"/>
          </w:tcPr>
          <w:p w14:paraId="42A10F8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Nebraska</w:t>
            </w:r>
          </w:p>
        </w:tc>
        <w:tc>
          <w:tcPr>
            <w:tcW w:w="0" w:type="auto"/>
            <w:shd w:val="clear" w:color="auto" w:fill="CCEEFF"/>
            <w:tcMar>
              <w:top w:w="40" w:type="dxa"/>
              <w:left w:w="40" w:type="dxa"/>
              <w:bottom w:w="40" w:type="dxa"/>
              <w:right w:w="40" w:type="dxa"/>
            </w:tcMar>
            <w:vAlign w:val="bottom"/>
          </w:tcPr>
          <w:p w14:paraId="42A10F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8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35</w:t>
            </w:r>
          </w:p>
        </w:tc>
        <w:tc>
          <w:tcPr>
            <w:tcW w:w="0" w:type="auto"/>
            <w:shd w:val="clear" w:color="auto" w:fill="CCEEFF"/>
            <w:vAlign w:val="bottom"/>
          </w:tcPr>
          <w:p w14:paraId="42A10F8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8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8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0F8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8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8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w:t>
            </w:r>
          </w:p>
        </w:tc>
        <w:tc>
          <w:tcPr>
            <w:tcW w:w="0" w:type="auto"/>
            <w:shd w:val="clear" w:color="auto" w:fill="CCEEFF"/>
            <w:vAlign w:val="bottom"/>
          </w:tcPr>
          <w:p w14:paraId="42A10F8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8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9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w:t>
            </w:r>
          </w:p>
        </w:tc>
        <w:tc>
          <w:tcPr>
            <w:tcW w:w="0" w:type="auto"/>
            <w:shd w:val="clear" w:color="auto" w:fill="CCEEFF"/>
            <w:vAlign w:val="bottom"/>
          </w:tcPr>
          <w:p w14:paraId="42A10F9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9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9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w:t>
            </w:r>
          </w:p>
        </w:tc>
        <w:tc>
          <w:tcPr>
            <w:tcW w:w="0" w:type="auto"/>
            <w:shd w:val="clear" w:color="auto" w:fill="CCEEFF"/>
            <w:vAlign w:val="bottom"/>
          </w:tcPr>
          <w:p w14:paraId="42A10F94" w14:textId="77777777" w:rsidR="00BB68E1" w:rsidRDefault="00BB68E1">
            <w:pPr>
              <w:textAlignment w:val="bottom"/>
              <w:rPr>
                <w:rFonts w:ascii="Times New Roman" w:hAnsi="Times New Roman"/>
                <w:sz w:val="20"/>
                <w:szCs w:val="20"/>
              </w:rPr>
            </w:pPr>
          </w:p>
        </w:tc>
      </w:tr>
      <w:tr w:rsidR="00BB68E1" w14:paraId="42A10FA6" w14:textId="77777777">
        <w:tc>
          <w:tcPr>
            <w:tcW w:w="0" w:type="auto"/>
            <w:shd w:val="clear" w:color="auto" w:fill="auto"/>
            <w:tcMar>
              <w:top w:w="40" w:type="dxa"/>
              <w:left w:w="40" w:type="dxa"/>
              <w:bottom w:w="40" w:type="dxa"/>
              <w:right w:w="40" w:type="dxa"/>
            </w:tcMar>
            <w:vAlign w:val="center"/>
          </w:tcPr>
          <w:p w14:paraId="42A10F9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Nevada</w:t>
            </w:r>
          </w:p>
        </w:tc>
        <w:tc>
          <w:tcPr>
            <w:tcW w:w="0" w:type="auto"/>
            <w:shd w:val="clear" w:color="auto" w:fill="auto"/>
            <w:tcMar>
              <w:top w:w="40" w:type="dxa"/>
              <w:left w:w="40" w:type="dxa"/>
              <w:bottom w:w="40" w:type="dxa"/>
              <w:right w:w="40" w:type="dxa"/>
            </w:tcMar>
            <w:vAlign w:val="bottom"/>
          </w:tcPr>
          <w:p w14:paraId="42A10F9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9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w:t>
            </w:r>
          </w:p>
        </w:tc>
        <w:tc>
          <w:tcPr>
            <w:tcW w:w="0" w:type="auto"/>
            <w:shd w:val="clear" w:color="auto" w:fill="auto"/>
            <w:vAlign w:val="bottom"/>
          </w:tcPr>
          <w:p w14:paraId="42A10F9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9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9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auto"/>
            <w:vAlign w:val="bottom"/>
          </w:tcPr>
          <w:p w14:paraId="42A10F9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9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9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w:t>
            </w:r>
          </w:p>
        </w:tc>
        <w:tc>
          <w:tcPr>
            <w:tcW w:w="0" w:type="auto"/>
            <w:shd w:val="clear" w:color="auto" w:fill="auto"/>
            <w:vAlign w:val="bottom"/>
          </w:tcPr>
          <w:p w14:paraId="42A10F9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A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A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w:t>
            </w:r>
          </w:p>
        </w:tc>
        <w:tc>
          <w:tcPr>
            <w:tcW w:w="0" w:type="auto"/>
            <w:shd w:val="clear" w:color="auto" w:fill="auto"/>
            <w:vAlign w:val="bottom"/>
          </w:tcPr>
          <w:p w14:paraId="42A10FA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A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A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50</w:t>
            </w:r>
          </w:p>
        </w:tc>
        <w:tc>
          <w:tcPr>
            <w:tcW w:w="0" w:type="auto"/>
            <w:shd w:val="clear" w:color="auto" w:fill="auto"/>
            <w:vAlign w:val="bottom"/>
          </w:tcPr>
          <w:p w14:paraId="42A10FA5" w14:textId="77777777" w:rsidR="00BB68E1" w:rsidRDefault="00BB68E1">
            <w:pPr>
              <w:textAlignment w:val="bottom"/>
              <w:rPr>
                <w:rFonts w:ascii="Times New Roman" w:hAnsi="Times New Roman"/>
                <w:sz w:val="20"/>
                <w:szCs w:val="20"/>
              </w:rPr>
            </w:pPr>
          </w:p>
        </w:tc>
      </w:tr>
      <w:tr w:rsidR="00BB68E1" w14:paraId="42A10FB7" w14:textId="77777777">
        <w:tc>
          <w:tcPr>
            <w:tcW w:w="0" w:type="auto"/>
            <w:shd w:val="clear" w:color="auto" w:fill="CCEEFF"/>
            <w:tcMar>
              <w:top w:w="40" w:type="dxa"/>
              <w:left w:w="40" w:type="dxa"/>
              <w:bottom w:w="40" w:type="dxa"/>
              <w:right w:w="40" w:type="dxa"/>
            </w:tcMar>
            <w:vAlign w:val="center"/>
          </w:tcPr>
          <w:p w14:paraId="42A10FA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New Hampshire</w:t>
            </w:r>
          </w:p>
        </w:tc>
        <w:tc>
          <w:tcPr>
            <w:tcW w:w="0" w:type="auto"/>
            <w:shd w:val="clear" w:color="auto" w:fill="CCEEFF"/>
            <w:tcMar>
              <w:top w:w="40" w:type="dxa"/>
              <w:left w:w="40" w:type="dxa"/>
              <w:bottom w:w="40" w:type="dxa"/>
              <w:right w:w="40" w:type="dxa"/>
            </w:tcMar>
            <w:vAlign w:val="bottom"/>
          </w:tcPr>
          <w:p w14:paraId="42A10FA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A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w:t>
            </w:r>
          </w:p>
        </w:tc>
        <w:tc>
          <w:tcPr>
            <w:tcW w:w="0" w:type="auto"/>
            <w:shd w:val="clear" w:color="auto" w:fill="CCEEFF"/>
            <w:vAlign w:val="bottom"/>
          </w:tcPr>
          <w:p w14:paraId="42A10FA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A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A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w:t>
            </w:r>
          </w:p>
        </w:tc>
        <w:tc>
          <w:tcPr>
            <w:tcW w:w="0" w:type="auto"/>
            <w:shd w:val="clear" w:color="auto" w:fill="CCEEFF"/>
            <w:vAlign w:val="bottom"/>
          </w:tcPr>
          <w:p w14:paraId="42A10FA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A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A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0FB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B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B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CCEEFF"/>
            <w:vAlign w:val="bottom"/>
          </w:tcPr>
          <w:p w14:paraId="42A10FB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B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CCEEFF"/>
            <w:vAlign w:val="bottom"/>
          </w:tcPr>
          <w:p w14:paraId="42A10FB6" w14:textId="77777777" w:rsidR="00BB68E1" w:rsidRDefault="00BB68E1">
            <w:pPr>
              <w:textAlignment w:val="bottom"/>
              <w:rPr>
                <w:rFonts w:ascii="Times New Roman" w:hAnsi="Times New Roman"/>
                <w:sz w:val="20"/>
                <w:szCs w:val="20"/>
              </w:rPr>
            </w:pPr>
          </w:p>
        </w:tc>
      </w:tr>
      <w:tr w:rsidR="00BB68E1" w14:paraId="42A10FC8" w14:textId="77777777">
        <w:tc>
          <w:tcPr>
            <w:tcW w:w="0" w:type="auto"/>
            <w:shd w:val="clear" w:color="auto" w:fill="auto"/>
            <w:tcMar>
              <w:top w:w="40" w:type="dxa"/>
              <w:left w:w="40" w:type="dxa"/>
              <w:bottom w:w="40" w:type="dxa"/>
              <w:right w:w="40" w:type="dxa"/>
            </w:tcMar>
            <w:vAlign w:val="center"/>
          </w:tcPr>
          <w:p w14:paraId="42A10FB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New Jersey</w:t>
            </w:r>
          </w:p>
        </w:tc>
        <w:tc>
          <w:tcPr>
            <w:tcW w:w="0" w:type="auto"/>
            <w:shd w:val="clear" w:color="auto" w:fill="auto"/>
            <w:tcMar>
              <w:top w:w="40" w:type="dxa"/>
              <w:left w:w="40" w:type="dxa"/>
              <w:bottom w:w="40" w:type="dxa"/>
              <w:right w:w="40" w:type="dxa"/>
            </w:tcMar>
            <w:vAlign w:val="bottom"/>
          </w:tcPr>
          <w:p w14:paraId="42A10FB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B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34</w:t>
            </w:r>
          </w:p>
        </w:tc>
        <w:tc>
          <w:tcPr>
            <w:tcW w:w="0" w:type="auto"/>
            <w:shd w:val="clear" w:color="auto" w:fill="auto"/>
            <w:vAlign w:val="bottom"/>
          </w:tcPr>
          <w:p w14:paraId="42A10FB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B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B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auto"/>
            <w:vAlign w:val="bottom"/>
          </w:tcPr>
          <w:p w14:paraId="42A10FB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C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shd w:val="clear" w:color="auto" w:fill="auto"/>
            <w:vAlign w:val="bottom"/>
          </w:tcPr>
          <w:p w14:paraId="42A10FC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C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w:t>
            </w:r>
          </w:p>
        </w:tc>
        <w:tc>
          <w:tcPr>
            <w:tcW w:w="0" w:type="auto"/>
            <w:shd w:val="clear" w:color="auto" w:fill="auto"/>
            <w:vAlign w:val="bottom"/>
          </w:tcPr>
          <w:p w14:paraId="42A10FC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C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C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71</w:t>
            </w:r>
          </w:p>
        </w:tc>
        <w:tc>
          <w:tcPr>
            <w:tcW w:w="0" w:type="auto"/>
            <w:shd w:val="clear" w:color="auto" w:fill="auto"/>
            <w:vAlign w:val="bottom"/>
          </w:tcPr>
          <w:p w14:paraId="42A10FC7" w14:textId="77777777" w:rsidR="00BB68E1" w:rsidRDefault="00BB68E1">
            <w:pPr>
              <w:textAlignment w:val="bottom"/>
              <w:rPr>
                <w:rFonts w:ascii="Times New Roman" w:hAnsi="Times New Roman"/>
                <w:sz w:val="20"/>
                <w:szCs w:val="20"/>
              </w:rPr>
            </w:pPr>
          </w:p>
        </w:tc>
      </w:tr>
      <w:tr w:rsidR="00BB68E1" w14:paraId="42A10FD9" w14:textId="77777777">
        <w:tc>
          <w:tcPr>
            <w:tcW w:w="0" w:type="auto"/>
            <w:shd w:val="clear" w:color="auto" w:fill="CCEEFF"/>
            <w:tcMar>
              <w:top w:w="40" w:type="dxa"/>
              <w:left w:w="40" w:type="dxa"/>
              <w:bottom w:w="40" w:type="dxa"/>
              <w:right w:w="40" w:type="dxa"/>
            </w:tcMar>
            <w:vAlign w:val="center"/>
          </w:tcPr>
          <w:p w14:paraId="42A10FC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New Mexico</w:t>
            </w:r>
          </w:p>
        </w:tc>
        <w:tc>
          <w:tcPr>
            <w:tcW w:w="0" w:type="auto"/>
            <w:shd w:val="clear" w:color="auto" w:fill="CCEEFF"/>
            <w:tcMar>
              <w:top w:w="40" w:type="dxa"/>
              <w:left w:w="40" w:type="dxa"/>
              <w:bottom w:w="40" w:type="dxa"/>
              <w:right w:w="40" w:type="dxa"/>
            </w:tcMar>
            <w:vAlign w:val="bottom"/>
          </w:tcPr>
          <w:p w14:paraId="42A10FC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C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35</w:t>
            </w:r>
          </w:p>
        </w:tc>
        <w:tc>
          <w:tcPr>
            <w:tcW w:w="0" w:type="auto"/>
            <w:shd w:val="clear" w:color="auto" w:fill="CCEEFF"/>
            <w:vAlign w:val="bottom"/>
          </w:tcPr>
          <w:p w14:paraId="42A10FC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C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CCEEFF"/>
            <w:vAlign w:val="bottom"/>
          </w:tcPr>
          <w:p w14:paraId="42A10FC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D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D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w:t>
            </w:r>
          </w:p>
        </w:tc>
        <w:tc>
          <w:tcPr>
            <w:tcW w:w="0" w:type="auto"/>
            <w:shd w:val="clear" w:color="auto" w:fill="CCEEFF"/>
            <w:vAlign w:val="bottom"/>
          </w:tcPr>
          <w:p w14:paraId="42A10FD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D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w:t>
            </w:r>
          </w:p>
        </w:tc>
        <w:tc>
          <w:tcPr>
            <w:tcW w:w="0" w:type="auto"/>
            <w:shd w:val="clear" w:color="auto" w:fill="CCEEFF"/>
            <w:vAlign w:val="bottom"/>
          </w:tcPr>
          <w:p w14:paraId="42A10FD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D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53</w:t>
            </w:r>
          </w:p>
        </w:tc>
        <w:tc>
          <w:tcPr>
            <w:tcW w:w="0" w:type="auto"/>
            <w:shd w:val="clear" w:color="auto" w:fill="CCEEFF"/>
            <w:vAlign w:val="bottom"/>
          </w:tcPr>
          <w:p w14:paraId="42A10FD8" w14:textId="77777777" w:rsidR="00BB68E1" w:rsidRDefault="00BB68E1">
            <w:pPr>
              <w:textAlignment w:val="bottom"/>
              <w:rPr>
                <w:rFonts w:ascii="Times New Roman" w:hAnsi="Times New Roman"/>
                <w:sz w:val="20"/>
                <w:szCs w:val="20"/>
              </w:rPr>
            </w:pPr>
          </w:p>
        </w:tc>
      </w:tr>
      <w:tr w:rsidR="00BB68E1" w14:paraId="42A10FEA" w14:textId="77777777">
        <w:tc>
          <w:tcPr>
            <w:tcW w:w="0" w:type="auto"/>
            <w:shd w:val="clear" w:color="auto" w:fill="auto"/>
            <w:tcMar>
              <w:top w:w="40" w:type="dxa"/>
              <w:left w:w="40" w:type="dxa"/>
              <w:bottom w:w="40" w:type="dxa"/>
              <w:right w:w="40" w:type="dxa"/>
            </w:tcMar>
            <w:vAlign w:val="center"/>
          </w:tcPr>
          <w:p w14:paraId="42A10FD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New York</w:t>
            </w:r>
          </w:p>
        </w:tc>
        <w:tc>
          <w:tcPr>
            <w:tcW w:w="0" w:type="auto"/>
            <w:shd w:val="clear" w:color="auto" w:fill="auto"/>
            <w:tcMar>
              <w:top w:w="40" w:type="dxa"/>
              <w:left w:w="40" w:type="dxa"/>
              <w:bottom w:w="40" w:type="dxa"/>
              <w:right w:w="40" w:type="dxa"/>
            </w:tcMar>
            <w:vAlign w:val="bottom"/>
          </w:tcPr>
          <w:p w14:paraId="42A10FD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D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80</w:t>
            </w:r>
          </w:p>
        </w:tc>
        <w:tc>
          <w:tcPr>
            <w:tcW w:w="0" w:type="auto"/>
            <w:shd w:val="clear" w:color="auto" w:fill="auto"/>
            <w:vAlign w:val="bottom"/>
          </w:tcPr>
          <w:p w14:paraId="42A10FD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D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D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w:t>
            </w:r>
          </w:p>
        </w:tc>
        <w:tc>
          <w:tcPr>
            <w:tcW w:w="0" w:type="auto"/>
            <w:shd w:val="clear" w:color="auto" w:fill="auto"/>
            <w:vAlign w:val="bottom"/>
          </w:tcPr>
          <w:p w14:paraId="42A10FE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E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E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w:t>
            </w:r>
          </w:p>
        </w:tc>
        <w:tc>
          <w:tcPr>
            <w:tcW w:w="0" w:type="auto"/>
            <w:shd w:val="clear" w:color="auto" w:fill="auto"/>
            <w:vAlign w:val="bottom"/>
          </w:tcPr>
          <w:p w14:paraId="42A10FE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E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E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w:t>
            </w:r>
          </w:p>
        </w:tc>
        <w:tc>
          <w:tcPr>
            <w:tcW w:w="0" w:type="auto"/>
            <w:shd w:val="clear" w:color="auto" w:fill="auto"/>
            <w:vAlign w:val="bottom"/>
          </w:tcPr>
          <w:p w14:paraId="42A10FE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0FE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E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119</w:t>
            </w:r>
          </w:p>
        </w:tc>
        <w:tc>
          <w:tcPr>
            <w:tcW w:w="0" w:type="auto"/>
            <w:shd w:val="clear" w:color="auto" w:fill="auto"/>
            <w:vAlign w:val="bottom"/>
          </w:tcPr>
          <w:p w14:paraId="42A10FE9" w14:textId="77777777" w:rsidR="00BB68E1" w:rsidRDefault="00BB68E1">
            <w:pPr>
              <w:textAlignment w:val="bottom"/>
              <w:rPr>
                <w:rFonts w:ascii="Times New Roman" w:hAnsi="Times New Roman"/>
                <w:sz w:val="20"/>
                <w:szCs w:val="20"/>
              </w:rPr>
            </w:pPr>
          </w:p>
        </w:tc>
      </w:tr>
      <w:tr w:rsidR="00BB68E1" w14:paraId="42A10FFB" w14:textId="77777777">
        <w:tc>
          <w:tcPr>
            <w:tcW w:w="0" w:type="auto"/>
            <w:shd w:val="clear" w:color="auto" w:fill="CCEEFF"/>
            <w:tcMar>
              <w:top w:w="40" w:type="dxa"/>
              <w:left w:w="40" w:type="dxa"/>
              <w:bottom w:w="40" w:type="dxa"/>
              <w:right w:w="40" w:type="dxa"/>
            </w:tcMar>
            <w:vAlign w:val="center"/>
          </w:tcPr>
          <w:p w14:paraId="42A10FE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North Carolina</w:t>
            </w:r>
          </w:p>
        </w:tc>
        <w:tc>
          <w:tcPr>
            <w:tcW w:w="0" w:type="auto"/>
            <w:shd w:val="clear" w:color="auto" w:fill="CCEEFF"/>
            <w:tcMar>
              <w:top w:w="40" w:type="dxa"/>
              <w:left w:w="40" w:type="dxa"/>
              <w:bottom w:w="40" w:type="dxa"/>
              <w:right w:w="40" w:type="dxa"/>
            </w:tcMar>
            <w:vAlign w:val="bottom"/>
          </w:tcPr>
          <w:p w14:paraId="42A10FE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E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144</w:t>
            </w:r>
          </w:p>
        </w:tc>
        <w:tc>
          <w:tcPr>
            <w:tcW w:w="0" w:type="auto"/>
            <w:shd w:val="clear" w:color="auto" w:fill="CCEEFF"/>
            <w:vAlign w:val="bottom"/>
          </w:tcPr>
          <w:p w14:paraId="42A10FE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E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F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w:t>
            </w:r>
          </w:p>
        </w:tc>
        <w:tc>
          <w:tcPr>
            <w:tcW w:w="0" w:type="auto"/>
            <w:shd w:val="clear" w:color="auto" w:fill="CCEEFF"/>
            <w:vAlign w:val="bottom"/>
          </w:tcPr>
          <w:p w14:paraId="42A10FF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F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F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46</w:t>
            </w:r>
          </w:p>
        </w:tc>
        <w:tc>
          <w:tcPr>
            <w:tcW w:w="0" w:type="auto"/>
            <w:shd w:val="clear" w:color="auto" w:fill="CCEEFF"/>
            <w:vAlign w:val="bottom"/>
          </w:tcPr>
          <w:p w14:paraId="42A10FF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F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F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w:t>
            </w:r>
          </w:p>
        </w:tc>
        <w:tc>
          <w:tcPr>
            <w:tcW w:w="0" w:type="auto"/>
            <w:shd w:val="clear" w:color="auto" w:fill="CCEEFF"/>
            <w:vAlign w:val="bottom"/>
          </w:tcPr>
          <w:p w14:paraId="42A10FF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0FF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0FF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218</w:t>
            </w:r>
          </w:p>
        </w:tc>
        <w:tc>
          <w:tcPr>
            <w:tcW w:w="0" w:type="auto"/>
            <w:shd w:val="clear" w:color="auto" w:fill="CCEEFF"/>
            <w:vAlign w:val="bottom"/>
          </w:tcPr>
          <w:p w14:paraId="42A10FFA" w14:textId="77777777" w:rsidR="00BB68E1" w:rsidRDefault="00BB68E1">
            <w:pPr>
              <w:textAlignment w:val="bottom"/>
              <w:rPr>
                <w:rFonts w:ascii="Times New Roman" w:hAnsi="Times New Roman"/>
                <w:sz w:val="20"/>
                <w:szCs w:val="20"/>
              </w:rPr>
            </w:pPr>
          </w:p>
        </w:tc>
      </w:tr>
      <w:tr w:rsidR="00BB68E1" w14:paraId="42A1100C" w14:textId="77777777">
        <w:tc>
          <w:tcPr>
            <w:tcW w:w="0" w:type="auto"/>
            <w:shd w:val="clear" w:color="auto" w:fill="auto"/>
            <w:tcMar>
              <w:top w:w="40" w:type="dxa"/>
              <w:left w:w="40" w:type="dxa"/>
              <w:bottom w:w="40" w:type="dxa"/>
              <w:right w:w="40" w:type="dxa"/>
            </w:tcMar>
            <w:vAlign w:val="center"/>
          </w:tcPr>
          <w:p w14:paraId="42A10FF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North Dakota</w:t>
            </w:r>
          </w:p>
        </w:tc>
        <w:tc>
          <w:tcPr>
            <w:tcW w:w="0" w:type="auto"/>
            <w:shd w:val="clear" w:color="auto" w:fill="auto"/>
            <w:tcMar>
              <w:top w:w="40" w:type="dxa"/>
              <w:left w:w="40" w:type="dxa"/>
              <w:bottom w:w="40" w:type="dxa"/>
              <w:right w:w="40" w:type="dxa"/>
            </w:tcMar>
            <w:vAlign w:val="bottom"/>
          </w:tcPr>
          <w:p w14:paraId="42A10FF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0FF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w:t>
            </w:r>
          </w:p>
        </w:tc>
        <w:tc>
          <w:tcPr>
            <w:tcW w:w="0" w:type="auto"/>
            <w:shd w:val="clear" w:color="auto" w:fill="auto"/>
            <w:vAlign w:val="bottom"/>
          </w:tcPr>
          <w:p w14:paraId="42A10FF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0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0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00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0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0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00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0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0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w:t>
            </w:r>
          </w:p>
        </w:tc>
        <w:tc>
          <w:tcPr>
            <w:tcW w:w="0" w:type="auto"/>
            <w:shd w:val="clear" w:color="auto" w:fill="auto"/>
            <w:vAlign w:val="bottom"/>
          </w:tcPr>
          <w:p w14:paraId="42A1100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0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0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w:t>
            </w:r>
          </w:p>
        </w:tc>
        <w:tc>
          <w:tcPr>
            <w:tcW w:w="0" w:type="auto"/>
            <w:shd w:val="clear" w:color="auto" w:fill="auto"/>
            <w:vAlign w:val="bottom"/>
          </w:tcPr>
          <w:p w14:paraId="42A1100B" w14:textId="77777777" w:rsidR="00BB68E1" w:rsidRDefault="00BB68E1">
            <w:pPr>
              <w:textAlignment w:val="bottom"/>
              <w:rPr>
                <w:rFonts w:ascii="Times New Roman" w:hAnsi="Times New Roman"/>
                <w:sz w:val="20"/>
                <w:szCs w:val="20"/>
              </w:rPr>
            </w:pPr>
          </w:p>
        </w:tc>
      </w:tr>
      <w:tr w:rsidR="00BB68E1" w14:paraId="42A1101D" w14:textId="77777777">
        <w:tc>
          <w:tcPr>
            <w:tcW w:w="0" w:type="auto"/>
            <w:shd w:val="clear" w:color="auto" w:fill="CCEEFF"/>
            <w:tcMar>
              <w:top w:w="40" w:type="dxa"/>
              <w:left w:w="40" w:type="dxa"/>
              <w:bottom w:w="40" w:type="dxa"/>
              <w:right w:w="40" w:type="dxa"/>
            </w:tcMar>
            <w:vAlign w:val="center"/>
          </w:tcPr>
          <w:p w14:paraId="42A1100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Ohio</w:t>
            </w:r>
          </w:p>
        </w:tc>
        <w:tc>
          <w:tcPr>
            <w:tcW w:w="0" w:type="auto"/>
            <w:shd w:val="clear" w:color="auto" w:fill="CCEEFF"/>
            <w:tcMar>
              <w:top w:w="40" w:type="dxa"/>
              <w:left w:w="40" w:type="dxa"/>
              <w:bottom w:w="40" w:type="dxa"/>
              <w:right w:w="40" w:type="dxa"/>
            </w:tcMar>
            <w:vAlign w:val="bottom"/>
          </w:tcPr>
          <w:p w14:paraId="42A110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0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139</w:t>
            </w:r>
          </w:p>
        </w:tc>
        <w:tc>
          <w:tcPr>
            <w:tcW w:w="0" w:type="auto"/>
            <w:shd w:val="clear" w:color="auto" w:fill="CCEEFF"/>
            <w:vAlign w:val="bottom"/>
          </w:tcPr>
          <w:p w14:paraId="42A1101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1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1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w:t>
            </w:r>
          </w:p>
        </w:tc>
        <w:tc>
          <w:tcPr>
            <w:tcW w:w="0" w:type="auto"/>
            <w:shd w:val="clear" w:color="auto" w:fill="CCEEFF"/>
            <w:vAlign w:val="bottom"/>
          </w:tcPr>
          <w:p w14:paraId="42A1101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1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1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w:t>
            </w:r>
          </w:p>
        </w:tc>
        <w:tc>
          <w:tcPr>
            <w:tcW w:w="0" w:type="auto"/>
            <w:shd w:val="clear" w:color="auto" w:fill="CCEEFF"/>
            <w:vAlign w:val="bottom"/>
          </w:tcPr>
          <w:p w14:paraId="42A1101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1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1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w:t>
            </w:r>
          </w:p>
        </w:tc>
        <w:tc>
          <w:tcPr>
            <w:tcW w:w="0" w:type="auto"/>
            <w:shd w:val="clear" w:color="auto" w:fill="CCEEFF"/>
            <w:vAlign w:val="bottom"/>
          </w:tcPr>
          <w:p w14:paraId="42A1101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1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1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176</w:t>
            </w:r>
          </w:p>
        </w:tc>
        <w:tc>
          <w:tcPr>
            <w:tcW w:w="0" w:type="auto"/>
            <w:shd w:val="clear" w:color="auto" w:fill="CCEEFF"/>
            <w:vAlign w:val="bottom"/>
          </w:tcPr>
          <w:p w14:paraId="42A1101C" w14:textId="77777777" w:rsidR="00BB68E1" w:rsidRDefault="00BB68E1">
            <w:pPr>
              <w:textAlignment w:val="bottom"/>
              <w:rPr>
                <w:rFonts w:ascii="Times New Roman" w:hAnsi="Times New Roman"/>
                <w:sz w:val="20"/>
                <w:szCs w:val="20"/>
              </w:rPr>
            </w:pPr>
          </w:p>
        </w:tc>
      </w:tr>
      <w:tr w:rsidR="00BB68E1" w14:paraId="42A1102E" w14:textId="77777777">
        <w:tc>
          <w:tcPr>
            <w:tcW w:w="0" w:type="auto"/>
            <w:shd w:val="clear" w:color="auto" w:fill="auto"/>
            <w:tcMar>
              <w:top w:w="40" w:type="dxa"/>
              <w:left w:w="40" w:type="dxa"/>
              <w:bottom w:w="40" w:type="dxa"/>
              <w:right w:w="40" w:type="dxa"/>
            </w:tcMar>
            <w:vAlign w:val="center"/>
          </w:tcPr>
          <w:p w14:paraId="42A1101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Oklahoma</w:t>
            </w:r>
          </w:p>
        </w:tc>
        <w:tc>
          <w:tcPr>
            <w:tcW w:w="0" w:type="auto"/>
            <w:shd w:val="clear" w:color="auto" w:fill="auto"/>
            <w:tcMar>
              <w:top w:w="40" w:type="dxa"/>
              <w:left w:w="40" w:type="dxa"/>
              <w:bottom w:w="40" w:type="dxa"/>
              <w:right w:w="40" w:type="dxa"/>
            </w:tcMar>
            <w:vAlign w:val="bottom"/>
          </w:tcPr>
          <w:p w14:paraId="42A1101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2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81</w:t>
            </w:r>
          </w:p>
        </w:tc>
        <w:tc>
          <w:tcPr>
            <w:tcW w:w="0" w:type="auto"/>
            <w:shd w:val="clear" w:color="auto" w:fill="auto"/>
            <w:vAlign w:val="bottom"/>
          </w:tcPr>
          <w:p w14:paraId="42A1102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2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2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w:t>
            </w:r>
          </w:p>
        </w:tc>
        <w:tc>
          <w:tcPr>
            <w:tcW w:w="0" w:type="auto"/>
            <w:shd w:val="clear" w:color="auto" w:fill="auto"/>
            <w:vAlign w:val="bottom"/>
          </w:tcPr>
          <w:p w14:paraId="42A1102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2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2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35</w:t>
            </w:r>
          </w:p>
        </w:tc>
        <w:tc>
          <w:tcPr>
            <w:tcW w:w="0" w:type="auto"/>
            <w:shd w:val="clear" w:color="auto" w:fill="auto"/>
            <w:vAlign w:val="bottom"/>
          </w:tcPr>
          <w:p w14:paraId="42A1102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2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2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w:t>
            </w:r>
          </w:p>
        </w:tc>
        <w:tc>
          <w:tcPr>
            <w:tcW w:w="0" w:type="auto"/>
            <w:shd w:val="clear" w:color="auto" w:fill="auto"/>
            <w:vAlign w:val="bottom"/>
          </w:tcPr>
          <w:p w14:paraId="42A1102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2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2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137</w:t>
            </w:r>
          </w:p>
        </w:tc>
        <w:tc>
          <w:tcPr>
            <w:tcW w:w="0" w:type="auto"/>
            <w:shd w:val="clear" w:color="auto" w:fill="auto"/>
            <w:vAlign w:val="bottom"/>
          </w:tcPr>
          <w:p w14:paraId="42A1102D" w14:textId="77777777" w:rsidR="00BB68E1" w:rsidRDefault="00BB68E1">
            <w:pPr>
              <w:textAlignment w:val="bottom"/>
              <w:rPr>
                <w:rFonts w:ascii="Times New Roman" w:hAnsi="Times New Roman"/>
                <w:sz w:val="20"/>
                <w:szCs w:val="20"/>
              </w:rPr>
            </w:pPr>
          </w:p>
        </w:tc>
      </w:tr>
      <w:tr w:rsidR="00BB68E1" w14:paraId="42A1103F" w14:textId="77777777">
        <w:tc>
          <w:tcPr>
            <w:tcW w:w="0" w:type="auto"/>
            <w:shd w:val="clear" w:color="auto" w:fill="CCEEFF"/>
            <w:tcMar>
              <w:top w:w="40" w:type="dxa"/>
              <w:left w:w="40" w:type="dxa"/>
              <w:bottom w:w="40" w:type="dxa"/>
              <w:right w:w="40" w:type="dxa"/>
            </w:tcMar>
            <w:vAlign w:val="center"/>
          </w:tcPr>
          <w:p w14:paraId="42A1102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Oregon</w:t>
            </w:r>
          </w:p>
        </w:tc>
        <w:tc>
          <w:tcPr>
            <w:tcW w:w="0" w:type="auto"/>
            <w:shd w:val="clear" w:color="auto" w:fill="CCEEFF"/>
            <w:tcMar>
              <w:top w:w="40" w:type="dxa"/>
              <w:left w:w="40" w:type="dxa"/>
              <w:bottom w:w="40" w:type="dxa"/>
              <w:right w:w="40" w:type="dxa"/>
            </w:tcMar>
            <w:vAlign w:val="bottom"/>
          </w:tcPr>
          <w:p w14:paraId="42A1103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3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w:t>
            </w:r>
          </w:p>
        </w:tc>
        <w:tc>
          <w:tcPr>
            <w:tcW w:w="0" w:type="auto"/>
            <w:shd w:val="clear" w:color="auto" w:fill="CCEEFF"/>
            <w:vAlign w:val="bottom"/>
          </w:tcPr>
          <w:p w14:paraId="42A1103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3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3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w:t>
            </w:r>
          </w:p>
        </w:tc>
        <w:tc>
          <w:tcPr>
            <w:tcW w:w="0" w:type="auto"/>
            <w:shd w:val="clear" w:color="auto" w:fill="CCEEFF"/>
            <w:vAlign w:val="bottom"/>
          </w:tcPr>
          <w:p w14:paraId="42A1103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3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3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w:t>
            </w:r>
          </w:p>
        </w:tc>
        <w:tc>
          <w:tcPr>
            <w:tcW w:w="0" w:type="auto"/>
            <w:shd w:val="clear" w:color="auto" w:fill="CCEEFF"/>
            <w:vAlign w:val="bottom"/>
          </w:tcPr>
          <w:p w14:paraId="42A1103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3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3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03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3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46</w:t>
            </w:r>
          </w:p>
        </w:tc>
        <w:tc>
          <w:tcPr>
            <w:tcW w:w="0" w:type="auto"/>
            <w:shd w:val="clear" w:color="auto" w:fill="CCEEFF"/>
            <w:vAlign w:val="bottom"/>
          </w:tcPr>
          <w:p w14:paraId="42A1103E" w14:textId="77777777" w:rsidR="00BB68E1" w:rsidRDefault="00BB68E1">
            <w:pPr>
              <w:textAlignment w:val="bottom"/>
              <w:rPr>
                <w:rFonts w:ascii="Times New Roman" w:hAnsi="Times New Roman"/>
                <w:sz w:val="20"/>
                <w:szCs w:val="20"/>
              </w:rPr>
            </w:pPr>
          </w:p>
        </w:tc>
      </w:tr>
      <w:tr w:rsidR="00BB68E1" w14:paraId="42A11050" w14:textId="77777777">
        <w:tc>
          <w:tcPr>
            <w:tcW w:w="0" w:type="auto"/>
            <w:shd w:val="clear" w:color="auto" w:fill="auto"/>
            <w:tcMar>
              <w:top w:w="40" w:type="dxa"/>
              <w:left w:w="40" w:type="dxa"/>
              <w:bottom w:w="40" w:type="dxa"/>
              <w:right w:w="40" w:type="dxa"/>
            </w:tcMar>
            <w:vAlign w:val="center"/>
          </w:tcPr>
          <w:p w14:paraId="42A1104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Pennsylvania</w:t>
            </w:r>
          </w:p>
        </w:tc>
        <w:tc>
          <w:tcPr>
            <w:tcW w:w="0" w:type="auto"/>
            <w:shd w:val="clear" w:color="auto" w:fill="auto"/>
            <w:tcMar>
              <w:top w:w="40" w:type="dxa"/>
              <w:left w:w="40" w:type="dxa"/>
              <w:bottom w:w="40" w:type="dxa"/>
              <w:right w:w="40" w:type="dxa"/>
            </w:tcMar>
            <w:vAlign w:val="bottom"/>
          </w:tcPr>
          <w:p w14:paraId="42A1104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4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116</w:t>
            </w:r>
          </w:p>
        </w:tc>
        <w:tc>
          <w:tcPr>
            <w:tcW w:w="0" w:type="auto"/>
            <w:shd w:val="clear" w:color="auto" w:fill="auto"/>
            <w:vAlign w:val="bottom"/>
          </w:tcPr>
          <w:p w14:paraId="42A1104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4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4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w:t>
            </w:r>
          </w:p>
        </w:tc>
        <w:tc>
          <w:tcPr>
            <w:tcW w:w="0" w:type="auto"/>
            <w:shd w:val="clear" w:color="auto" w:fill="auto"/>
            <w:vAlign w:val="bottom"/>
          </w:tcPr>
          <w:p w14:paraId="42A1104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4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4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w:t>
            </w:r>
          </w:p>
        </w:tc>
        <w:tc>
          <w:tcPr>
            <w:tcW w:w="0" w:type="auto"/>
            <w:shd w:val="clear" w:color="auto" w:fill="auto"/>
            <w:vAlign w:val="bottom"/>
          </w:tcPr>
          <w:p w14:paraId="42A1104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4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4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w:t>
            </w:r>
          </w:p>
        </w:tc>
        <w:tc>
          <w:tcPr>
            <w:tcW w:w="0" w:type="auto"/>
            <w:shd w:val="clear" w:color="auto" w:fill="auto"/>
            <w:vAlign w:val="bottom"/>
          </w:tcPr>
          <w:p w14:paraId="42A1104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4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164</w:t>
            </w:r>
          </w:p>
        </w:tc>
        <w:tc>
          <w:tcPr>
            <w:tcW w:w="0" w:type="auto"/>
            <w:shd w:val="clear" w:color="auto" w:fill="auto"/>
            <w:vAlign w:val="bottom"/>
          </w:tcPr>
          <w:p w14:paraId="42A1104F" w14:textId="77777777" w:rsidR="00BB68E1" w:rsidRDefault="00BB68E1">
            <w:pPr>
              <w:textAlignment w:val="bottom"/>
              <w:rPr>
                <w:rFonts w:ascii="Times New Roman" w:hAnsi="Times New Roman"/>
                <w:sz w:val="20"/>
                <w:szCs w:val="20"/>
              </w:rPr>
            </w:pPr>
          </w:p>
        </w:tc>
      </w:tr>
      <w:tr w:rsidR="00BB68E1" w14:paraId="42A11061" w14:textId="77777777">
        <w:tc>
          <w:tcPr>
            <w:tcW w:w="0" w:type="auto"/>
            <w:shd w:val="clear" w:color="auto" w:fill="CCEEFF"/>
            <w:tcMar>
              <w:top w:w="40" w:type="dxa"/>
              <w:left w:w="40" w:type="dxa"/>
              <w:bottom w:w="40" w:type="dxa"/>
              <w:right w:w="40" w:type="dxa"/>
            </w:tcMar>
            <w:vAlign w:val="center"/>
          </w:tcPr>
          <w:p w14:paraId="42A1105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Puerto Rico</w:t>
            </w:r>
          </w:p>
        </w:tc>
        <w:tc>
          <w:tcPr>
            <w:tcW w:w="0" w:type="auto"/>
            <w:shd w:val="clear" w:color="auto" w:fill="CCEEFF"/>
            <w:tcMar>
              <w:top w:w="40" w:type="dxa"/>
              <w:left w:w="40" w:type="dxa"/>
              <w:bottom w:w="40" w:type="dxa"/>
              <w:right w:w="40" w:type="dxa"/>
            </w:tcMar>
            <w:vAlign w:val="bottom"/>
          </w:tcPr>
          <w:p w14:paraId="42A1105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5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w:t>
            </w:r>
          </w:p>
        </w:tc>
        <w:tc>
          <w:tcPr>
            <w:tcW w:w="0" w:type="auto"/>
            <w:shd w:val="clear" w:color="auto" w:fill="CCEEFF"/>
            <w:vAlign w:val="bottom"/>
          </w:tcPr>
          <w:p w14:paraId="42A1105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5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5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w:t>
            </w:r>
          </w:p>
        </w:tc>
        <w:tc>
          <w:tcPr>
            <w:tcW w:w="0" w:type="auto"/>
            <w:shd w:val="clear" w:color="auto" w:fill="CCEEFF"/>
            <w:vAlign w:val="bottom"/>
          </w:tcPr>
          <w:p w14:paraId="42A1105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5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5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w:t>
            </w:r>
          </w:p>
        </w:tc>
        <w:tc>
          <w:tcPr>
            <w:tcW w:w="0" w:type="auto"/>
            <w:shd w:val="clear" w:color="auto" w:fill="CCEEFF"/>
            <w:vAlign w:val="bottom"/>
          </w:tcPr>
          <w:p w14:paraId="42A1105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5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5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w:t>
            </w:r>
          </w:p>
        </w:tc>
        <w:tc>
          <w:tcPr>
            <w:tcW w:w="0" w:type="auto"/>
            <w:shd w:val="clear" w:color="auto" w:fill="CCEEFF"/>
            <w:vAlign w:val="bottom"/>
          </w:tcPr>
          <w:p w14:paraId="42A1105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5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5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37</w:t>
            </w:r>
          </w:p>
        </w:tc>
        <w:tc>
          <w:tcPr>
            <w:tcW w:w="0" w:type="auto"/>
            <w:shd w:val="clear" w:color="auto" w:fill="CCEEFF"/>
            <w:vAlign w:val="bottom"/>
          </w:tcPr>
          <w:p w14:paraId="42A11060" w14:textId="77777777" w:rsidR="00BB68E1" w:rsidRDefault="00BB68E1">
            <w:pPr>
              <w:textAlignment w:val="bottom"/>
              <w:rPr>
                <w:rFonts w:ascii="Times New Roman" w:hAnsi="Times New Roman"/>
                <w:sz w:val="20"/>
                <w:szCs w:val="20"/>
              </w:rPr>
            </w:pPr>
          </w:p>
        </w:tc>
      </w:tr>
      <w:tr w:rsidR="00BB68E1" w14:paraId="42A11072" w14:textId="77777777">
        <w:tc>
          <w:tcPr>
            <w:tcW w:w="0" w:type="auto"/>
            <w:shd w:val="clear" w:color="auto" w:fill="auto"/>
            <w:tcMar>
              <w:top w:w="40" w:type="dxa"/>
              <w:left w:w="40" w:type="dxa"/>
              <w:bottom w:w="40" w:type="dxa"/>
              <w:right w:w="40" w:type="dxa"/>
            </w:tcMar>
            <w:vAlign w:val="center"/>
          </w:tcPr>
          <w:p w14:paraId="42A1106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Rhode Island</w:t>
            </w:r>
          </w:p>
        </w:tc>
        <w:tc>
          <w:tcPr>
            <w:tcW w:w="0" w:type="auto"/>
            <w:shd w:val="clear" w:color="auto" w:fill="auto"/>
            <w:tcMar>
              <w:top w:w="40" w:type="dxa"/>
              <w:left w:w="40" w:type="dxa"/>
              <w:bottom w:w="40" w:type="dxa"/>
              <w:right w:w="40" w:type="dxa"/>
            </w:tcMar>
            <w:vAlign w:val="bottom"/>
          </w:tcPr>
          <w:p w14:paraId="42A1106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6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w:t>
            </w:r>
          </w:p>
        </w:tc>
        <w:tc>
          <w:tcPr>
            <w:tcW w:w="0" w:type="auto"/>
            <w:shd w:val="clear" w:color="auto" w:fill="auto"/>
            <w:vAlign w:val="bottom"/>
          </w:tcPr>
          <w:p w14:paraId="42A1106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6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6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w:t>
            </w:r>
          </w:p>
        </w:tc>
        <w:tc>
          <w:tcPr>
            <w:tcW w:w="0" w:type="auto"/>
            <w:shd w:val="clear" w:color="auto" w:fill="auto"/>
            <w:vAlign w:val="bottom"/>
          </w:tcPr>
          <w:p w14:paraId="42A1106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6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6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06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6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6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06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6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7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w:t>
            </w:r>
          </w:p>
        </w:tc>
        <w:tc>
          <w:tcPr>
            <w:tcW w:w="0" w:type="auto"/>
            <w:shd w:val="clear" w:color="auto" w:fill="auto"/>
            <w:vAlign w:val="bottom"/>
          </w:tcPr>
          <w:p w14:paraId="42A11071" w14:textId="77777777" w:rsidR="00BB68E1" w:rsidRDefault="00BB68E1">
            <w:pPr>
              <w:textAlignment w:val="bottom"/>
              <w:rPr>
                <w:rFonts w:ascii="Times New Roman" w:hAnsi="Times New Roman"/>
                <w:sz w:val="20"/>
                <w:szCs w:val="20"/>
              </w:rPr>
            </w:pPr>
          </w:p>
        </w:tc>
      </w:tr>
      <w:tr w:rsidR="00BB68E1" w14:paraId="42A11083" w14:textId="77777777">
        <w:tc>
          <w:tcPr>
            <w:tcW w:w="0" w:type="auto"/>
            <w:shd w:val="clear" w:color="auto" w:fill="CCEEFF"/>
            <w:tcMar>
              <w:top w:w="40" w:type="dxa"/>
              <w:left w:w="40" w:type="dxa"/>
              <w:bottom w:w="40" w:type="dxa"/>
              <w:right w:w="40" w:type="dxa"/>
            </w:tcMar>
            <w:vAlign w:val="center"/>
          </w:tcPr>
          <w:p w14:paraId="42A1107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South Carolina</w:t>
            </w:r>
          </w:p>
        </w:tc>
        <w:tc>
          <w:tcPr>
            <w:tcW w:w="0" w:type="auto"/>
            <w:shd w:val="clear" w:color="auto" w:fill="CCEEFF"/>
            <w:tcMar>
              <w:top w:w="40" w:type="dxa"/>
              <w:left w:w="40" w:type="dxa"/>
              <w:bottom w:w="40" w:type="dxa"/>
              <w:right w:w="40" w:type="dxa"/>
            </w:tcMar>
            <w:vAlign w:val="bottom"/>
          </w:tcPr>
          <w:p w14:paraId="42A1107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7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84</w:t>
            </w:r>
          </w:p>
        </w:tc>
        <w:tc>
          <w:tcPr>
            <w:tcW w:w="0" w:type="auto"/>
            <w:shd w:val="clear" w:color="auto" w:fill="CCEEFF"/>
            <w:vAlign w:val="bottom"/>
          </w:tcPr>
          <w:p w14:paraId="42A1107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7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7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07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7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7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w:t>
            </w:r>
          </w:p>
        </w:tc>
        <w:tc>
          <w:tcPr>
            <w:tcW w:w="0" w:type="auto"/>
            <w:shd w:val="clear" w:color="auto" w:fill="CCEEFF"/>
            <w:vAlign w:val="bottom"/>
          </w:tcPr>
          <w:p w14:paraId="42A1107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7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7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w:t>
            </w:r>
          </w:p>
        </w:tc>
        <w:tc>
          <w:tcPr>
            <w:tcW w:w="0" w:type="auto"/>
            <w:shd w:val="clear" w:color="auto" w:fill="CCEEFF"/>
            <w:vAlign w:val="bottom"/>
          </w:tcPr>
          <w:p w14:paraId="42A1107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8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8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123</w:t>
            </w:r>
          </w:p>
        </w:tc>
        <w:tc>
          <w:tcPr>
            <w:tcW w:w="0" w:type="auto"/>
            <w:shd w:val="clear" w:color="auto" w:fill="CCEEFF"/>
            <w:vAlign w:val="bottom"/>
          </w:tcPr>
          <w:p w14:paraId="42A11082" w14:textId="77777777" w:rsidR="00BB68E1" w:rsidRDefault="00BB68E1">
            <w:pPr>
              <w:textAlignment w:val="bottom"/>
              <w:rPr>
                <w:rFonts w:ascii="Times New Roman" w:hAnsi="Times New Roman"/>
                <w:sz w:val="20"/>
                <w:szCs w:val="20"/>
              </w:rPr>
            </w:pPr>
          </w:p>
        </w:tc>
      </w:tr>
      <w:tr w:rsidR="00BB68E1" w14:paraId="42A11094" w14:textId="77777777">
        <w:tc>
          <w:tcPr>
            <w:tcW w:w="0" w:type="auto"/>
            <w:shd w:val="clear" w:color="auto" w:fill="auto"/>
            <w:tcMar>
              <w:top w:w="40" w:type="dxa"/>
              <w:left w:w="40" w:type="dxa"/>
              <w:bottom w:w="40" w:type="dxa"/>
              <w:right w:w="40" w:type="dxa"/>
            </w:tcMar>
            <w:vAlign w:val="center"/>
          </w:tcPr>
          <w:p w14:paraId="42A1108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South Dakota</w:t>
            </w:r>
          </w:p>
        </w:tc>
        <w:tc>
          <w:tcPr>
            <w:tcW w:w="0" w:type="auto"/>
            <w:shd w:val="clear" w:color="auto" w:fill="auto"/>
            <w:tcMar>
              <w:top w:w="40" w:type="dxa"/>
              <w:left w:w="40" w:type="dxa"/>
              <w:bottom w:w="40" w:type="dxa"/>
              <w:right w:w="40" w:type="dxa"/>
            </w:tcMar>
            <w:vAlign w:val="bottom"/>
          </w:tcPr>
          <w:p w14:paraId="42A1108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8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shd w:val="clear" w:color="auto" w:fill="auto"/>
            <w:vAlign w:val="bottom"/>
          </w:tcPr>
          <w:p w14:paraId="42A1108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8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8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08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8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8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08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8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8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auto"/>
            <w:vAlign w:val="bottom"/>
          </w:tcPr>
          <w:p w14:paraId="42A1109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9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9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w:t>
            </w:r>
          </w:p>
        </w:tc>
        <w:tc>
          <w:tcPr>
            <w:tcW w:w="0" w:type="auto"/>
            <w:shd w:val="clear" w:color="auto" w:fill="auto"/>
            <w:vAlign w:val="bottom"/>
          </w:tcPr>
          <w:p w14:paraId="42A11093" w14:textId="77777777" w:rsidR="00BB68E1" w:rsidRDefault="00BB68E1">
            <w:pPr>
              <w:textAlignment w:val="bottom"/>
              <w:rPr>
                <w:rFonts w:ascii="Times New Roman" w:hAnsi="Times New Roman"/>
                <w:sz w:val="20"/>
                <w:szCs w:val="20"/>
              </w:rPr>
            </w:pPr>
          </w:p>
        </w:tc>
      </w:tr>
      <w:tr w:rsidR="00BB68E1" w14:paraId="42A110A5" w14:textId="77777777">
        <w:tc>
          <w:tcPr>
            <w:tcW w:w="0" w:type="auto"/>
            <w:shd w:val="clear" w:color="auto" w:fill="CCEEFF"/>
            <w:tcMar>
              <w:top w:w="40" w:type="dxa"/>
              <w:left w:w="40" w:type="dxa"/>
              <w:bottom w:w="40" w:type="dxa"/>
              <w:right w:w="40" w:type="dxa"/>
            </w:tcMar>
            <w:vAlign w:val="center"/>
          </w:tcPr>
          <w:p w14:paraId="42A1109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Tennessee</w:t>
            </w:r>
          </w:p>
        </w:tc>
        <w:tc>
          <w:tcPr>
            <w:tcW w:w="0" w:type="auto"/>
            <w:shd w:val="clear" w:color="auto" w:fill="CCEEFF"/>
            <w:tcMar>
              <w:top w:w="40" w:type="dxa"/>
              <w:left w:w="40" w:type="dxa"/>
              <w:bottom w:w="40" w:type="dxa"/>
              <w:right w:w="40" w:type="dxa"/>
            </w:tcMar>
            <w:vAlign w:val="bottom"/>
          </w:tcPr>
          <w:p w14:paraId="42A1109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9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117</w:t>
            </w:r>
          </w:p>
        </w:tc>
        <w:tc>
          <w:tcPr>
            <w:tcW w:w="0" w:type="auto"/>
            <w:shd w:val="clear" w:color="auto" w:fill="CCEEFF"/>
            <w:vAlign w:val="bottom"/>
          </w:tcPr>
          <w:p w14:paraId="42A1109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9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9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shd w:val="clear" w:color="auto" w:fill="CCEEFF"/>
            <w:vAlign w:val="bottom"/>
          </w:tcPr>
          <w:p w14:paraId="42A1109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9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9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w:t>
            </w:r>
          </w:p>
        </w:tc>
        <w:tc>
          <w:tcPr>
            <w:tcW w:w="0" w:type="auto"/>
            <w:shd w:val="clear" w:color="auto" w:fill="CCEEFF"/>
            <w:vAlign w:val="bottom"/>
          </w:tcPr>
          <w:p w14:paraId="42A1109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9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A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w:t>
            </w:r>
          </w:p>
        </w:tc>
        <w:tc>
          <w:tcPr>
            <w:tcW w:w="0" w:type="auto"/>
            <w:shd w:val="clear" w:color="auto" w:fill="CCEEFF"/>
            <w:vAlign w:val="bottom"/>
          </w:tcPr>
          <w:p w14:paraId="42A110A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A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A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152</w:t>
            </w:r>
          </w:p>
        </w:tc>
        <w:tc>
          <w:tcPr>
            <w:tcW w:w="0" w:type="auto"/>
            <w:shd w:val="clear" w:color="auto" w:fill="CCEEFF"/>
            <w:vAlign w:val="bottom"/>
          </w:tcPr>
          <w:p w14:paraId="42A110A4" w14:textId="77777777" w:rsidR="00BB68E1" w:rsidRDefault="00BB68E1">
            <w:pPr>
              <w:textAlignment w:val="bottom"/>
              <w:rPr>
                <w:rFonts w:ascii="Times New Roman" w:hAnsi="Times New Roman"/>
                <w:sz w:val="20"/>
                <w:szCs w:val="20"/>
              </w:rPr>
            </w:pPr>
          </w:p>
        </w:tc>
      </w:tr>
      <w:tr w:rsidR="00BB68E1" w14:paraId="42A110B6" w14:textId="77777777">
        <w:tc>
          <w:tcPr>
            <w:tcW w:w="0" w:type="auto"/>
            <w:shd w:val="clear" w:color="auto" w:fill="auto"/>
            <w:tcMar>
              <w:top w:w="40" w:type="dxa"/>
              <w:left w:w="40" w:type="dxa"/>
              <w:bottom w:w="40" w:type="dxa"/>
              <w:right w:w="40" w:type="dxa"/>
            </w:tcMar>
            <w:vAlign w:val="center"/>
          </w:tcPr>
          <w:p w14:paraId="42A110A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Texas</w:t>
            </w:r>
          </w:p>
        </w:tc>
        <w:tc>
          <w:tcPr>
            <w:tcW w:w="0" w:type="auto"/>
            <w:shd w:val="clear" w:color="auto" w:fill="auto"/>
            <w:tcMar>
              <w:top w:w="40" w:type="dxa"/>
              <w:left w:w="40" w:type="dxa"/>
              <w:bottom w:w="40" w:type="dxa"/>
              <w:right w:w="40" w:type="dxa"/>
            </w:tcMar>
            <w:vAlign w:val="bottom"/>
          </w:tcPr>
          <w:p w14:paraId="42A110A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A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392</w:t>
            </w:r>
          </w:p>
        </w:tc>
        <w:tc>
          <w:tcPr>
            <w:tcW w:w="0" w:type="auto"/>
            <w:shd w:val="clear" w:color="auto" w:fill="auto"/>
            <w:vAlign w:val="bottom"/>
          </w:tcPr>
          <w:p w14:paraId="42A110A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A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A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w:t>
            </w:r>
          </w:p>
        </w:tc>
        <w:tc>
          <w:tcPr>
            <w:tcW w:w="0" w:type="auto"/>
            <w:shd w:val="clear" w:color="auto" w:fill="auto"/>
            <w:vAlign w:val="bottom"/>
          </w:tcPr>
          <w:p w14:paraId="42A110A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A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A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111</w:t>
            </w:r>
          </w:p>
        </w:tc>
        <w:tc>
          <w:tcPr>
            <w:tcW w:w="0" w:type="auto"/>
            <w:shd w:val="clear" w:color="auto" w:fill="auto"/>
            <w:vAlign w:val="bottom"/>
          </w:tcPr>
          <w:p w14:paraId="42A110A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B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B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82</w:t>
            </w:r>
          </w:p>
        </w:tc>
        <w:tc>
          <w:tcPr>
            <w:tcW w:w="0" w:type="auto"/>
            <w:shd w:val="clear" w:color="auto" w:fill="auto"/>
            <w:vAlign w:val="bottom"/>
          </w:tcPr>
          <w:p w14:paraId="42A110B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B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B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603</w:t>
            </w:r>
          </w:p>
        </w:tc>
        <w:tc>
          <w:tcPr>
            <w:tcW w:w="0" w:type="auto"/>
            <w:shd w:val="clear" w:color="auto" w:fill="auto"/>
            <w:vAlign w:val="bottom"/>
          </w:tcPr>
          <w:p w14:paraId="42A110B5" w14:textId="77777777" w:rsidR="00BB68E1" w:rsidRDefault="00BB68E1">
            <w:pPr>
              <w:textAlignment w:val="bottom"/>
              <w:rPr>
                <w:rFonts w:ascii="Times New Roman" w:hAnsi="Times New Roman"/>
                <w:sz w:val="20"/>
                <w:szCs w:val="20"/>
              </w:rPr>
            </w:pPr>
          </w:p>
        </w:tc>
      </w:tr>
      <w:tr w:rsidR="00BB68E1" w14:paraId="42A110C7" w14:textId="77777777">
        <w:tc>
          <w:tcPr>
            <w:tcW w:w="0" w:type="auto"/>
            <w:shd w:val="clear" w:color="auto" w:fill="CCEEFF"/>
            <w:tcMar>
              <w:top w:w="40" w:type="dxa"/>
              <w:left w:w="40" w:type="dxa"/>
              <w:bottom w:w="40" w:type="dxa"/>
              <w:right w:w="40" w:type="dxa"/>
            </w:tcMar>
            <w:vAlign w:val="center"/>
          </w:tcPr>
          <w:p w14:paraId="42A110B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Utah</w:t>
            </w:r>
          </w:p>
        </w:tc>
        <w:tc>
          <w:tcPr>
            <w:tcW w:w="0" w:type="auto"/>
            <w:shd w:val="clear" w:color="auto" w:fill="CCEEFF"/>
            <w:tcMar>
              <w:top w:w="40" w:type="dxa"/>
              <w:left w:w="40" w:type="dxa"/>
              <w:bottom w:w="40" w:type="dxa"/>
              <w:right w:w="40" w:type="dxa"/>
            </w:tcMar>
            <w:vAlign w:val="bottom"/>
          </w:tcPr>
          <w:p w14:paraId="42A110B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B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41</w:t>
            </w:r>
          </w:p>
        </w:tc>
        <w:tc>
          <w:tcPr>
            <w:tcW w:w="0" w:type="auto"/>
            <w:shd w:val="clear" w:color="auto" w:fill="CCEEFF"/>
            <w:vAlign w:val="bottom"/>
          </w:tcPr>
          <w:p w14:paraId="42A110B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B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B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0B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B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B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w:t>
            </w:r>
          </w:p>
        </w:tc>
        <w:tc>
          <w:tcPr>
            <w:tcW w:w="0" w:type="auto"/>
            <w:shd w:val="clear" w:color="auto" w:fill="CCEEFF"/>
            <w:vAlign w:val="bottom"/>
          </w:tcPr>
          <w:p w14:paraId="42A110C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C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C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w:t>
            </w:r>
          </w:p>
        </w:tc>
        <w:tc>
          <w:tcPr>
            <w:tcW w:w="0" w:type="auto"/>
            <w:shd w:val="clear" w:color="auto" w:fill="CCEEFF"/>
            <w:vAlign w:val="bottom"/>
          </w:tcPr>
          <w:p w14:paraId="42A110C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C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C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62</w:t>
            </w:r>
          </w:p>
        </w:tc>
        <w:tc>
          <w:tcPr>
            <w:tcW w:w="0" w:type="auto"/>
            <w:shd w:val="clear" w:color="auto" w:fill="CCEEFF"/>
            <w:vAlign w:val="bottom"/>
          </w:tcPr>
          <w:p w14:paraId="42A110C6" w14:textId="77777777" w:rsidR="00BB68E1" w:rsidRDefault="00BB68E1">
            <w:pPr>
              <w:textAlignment w:val="bottom"/>
              <w:rPr>
                <w:rFonts w:ascii="Times New Roman" w:hAnsi="Times New Roman"/>
                <w:sz w:val="20"/>
                <w:szCs w:val="20"/>
              </w:rPr>
            </w:pPr>
          </w:p>
        </w:tc>
      </w:tr>
      <w:tr w:rsidR="00BB68E1" w14:paraId="42A110D8" w14:textId="77777777">
        <w:tc>
          <w:tcPr>
            <w:tcW w:w="0" w:type="auto"/>
            <w:shd w:val="clear" w:color="auto" w:fill="auto"/>
            <w:tcMar>
              <w:top w:w="40" w:type="dxa"/>
              <w:left w:w="40" w:type="dxa"/>
              <w:bottom w:w="40" w:type="dxa"/>
              <w:right w:w="40" w:type="dxa"/>
            </w:tcMar>
            <w:vAlign w:val="center"/>
          </w:tcPr>
          <w:p w14:paraId="42A110C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Vermont</w:t>
            </w:r>
          </w:p>
        </w:tc>
        <w:tc>
          <w:tcPr>
            <w:tcW w:w="0" w:type="auto"/>
            <w:shd w:val="clear" w:color="auto" w:fill="auto"/>
            <w:tcMar>
              <w:top w:w="40" w:type="dxa"/>
              <w:left w:w="40" w:type="dxa"/>
              <w:bottom w:w="40" w:type="dxa"/>
              <w:right w:w="40" w:type="dxa"/>
            </w:tcMar>
            <w:vAlign w:val="bottom"/>
          </w:tcPr>
          <w:p w14:paraId="42A110C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C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w:t>
            </w:r>
          </w:p>
        </w:tc>
        <w:tc>
          <w:tcPr>
            <w:tcW w:w="0" w:type="auto"/>
            <w:shd w:val="clear" w:color="auto" w:fill="auto"/>
            <w:vAlign w:val="bottom"/>
          </w:tcPr>
          <w:p w14:paraId="42A110C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C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C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w:t>
            </w:r>
          </w:p>
        </w:tc>
        <w:tc>
          <w:tcPr>
            <w:tcW w:w="0" w:type="auto"/>
            <w:shd w:val="clear" w:color="auto" w:fill="auto"/>
            <w:vAlign w:val="bottom"/>
          </w:tcPr>
          <w:p w14:paraId="42A110C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C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D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0D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D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D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0D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D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D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w:t>
            </w:r>
          </w:p>
        </w:tc>
        <w:tc>
          <w:tcPr>
            <w:tcW w:w="0" w:type="auto"/>
            <w:shd w:val="clear" w:color="auto" w:fill="auto"/>
            <w:vAlign w:val="bottom"/>
          </w:tcPr>
          <w:p w14:paraId="42A110D7" w14:textId="77777777" w:rsidR="00BB68E1" w:rsidRDefault="00BB68E1">
            <w:pPr>
              <w:textAlignment w:val="bottom"/>
              <w:rPr>
                <w:rFonts w:ascii="Times New Roman" w:hAnsi="Times New Roman"/>
                <w:sz w:val="20"/>
                <w:szCs w:val="20"/>
              </w:rPr>
            </w:pPr>
          </w:p>
        </w:tc>
      </w:tr>
      <w:tr w:rsidR="00BB68E1" w14:paraId="42A110E9" w14:textId="77777777">
        <w:tc>
          <w:tcPr>
            <w:tcW w:w="0" w:type="auto"/>
            <w:shd w:val="clear" w:color="auto" w:fill="CCEEFF"/>
            <w:tcMar>
              <w:top w:w="40" w:type="dxa"/>
              <w:left w:w="40" w:type="dxa"/>
              <w:bottom w:w="40" w:type="dxa"/>
              <w:right w:w="40" w:type="dxa"/>
            </w:tcMar>
            <w:vAlign w:val="center"/>
          </w:tcPr>
          <w:p w14:paraId="42A110D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Virginia</w:t>
            </w:r>
          </w:p>
        </w:tc>
        <w:tc>
          <w:tcPr>
            <w:tcW w:w="0" w:type="auto"/>
            <w:shd w:val="clear" w:color="auto" w:fill="CCEEFF"/>
            <w:tcMar>
              <w:top w:w="40" w:type="dxa"/>
              <w:left w:w="40" w:type="dxa"/>
              <w:bottom w:w="40" w:type="dxa"/>
              <w:right w:w="40" w:type="dxa"/>
            </w:tcMar>
            <w:vAlign w:val="bottom"/>
          </w:tcPr>
          <w:p w14:paraId="42A110D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D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110</w:t>
            </w:r>
          </w:p>
        </w:tc>
        <w:tc>
          <w:tcPr>
            <w:tcW w:w="0" w:type="auto"/>
            <w:shd w:val="clear" w:color="auto" w:fill="CCEEFF"/>
            <w:vAlign w:val="bottom"/>
          </w:tcPr>
          <w:p w14:paraId="42A110D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D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D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w:t>
            </w:r>
          </w:p>
        </w:tc>
        <w:tc>
          <w:tcPr>
            <w:tcW w:w="0" w:type="auto"/>
            <w:shd w:val="clear" w:color="auto" w:fill="CCEEFF"/>
            <w:vAlign w:val="bottom"/>
          </w:tcPr>
          <w:p w14:paraId="42A110D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E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E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w:t>
            </w:r>
          </w:p>
        </w:tc>
        <w:tc>
          <w:tcPr>
            <w:tcW w:w="0" w:type="auto"/>
            <w:shd w:val="clear" w:color="auto" w:fill="CCEEFF"/>
            <w:vAlign w:val="bottom"/>
          </w:tcPr>
          <w:p w14:paraId="42A110E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E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E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shd w:val="clear" w:color="auto" w:fill="CCEEFF"/>
            <w:vAlign w:val="bottom"/>
          </w:tcPr>
          <w:p w14:paraId="42A110E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E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E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151</w:t>
            </w:r>
          </w:p>
        </w:tc>
        <w:tc>
          <w:tcPr>
            <w:tcW w:w="0" w:type="auto"/>
            <w:shd w:val="clear" w:color="auto" w:fill="CCEEFF"/>
            <w:vAlign w:val="bottom"/>
          </w:tcPr>
          <w:p w14:paraId="42A110E8" w14:textId="77777777" w:rsidR="00BB68E1" w:rsidRDefault="00BB68E1">
            <w:pPr>
              <w:textAlignment w:val="bottom"/>
              <w:rPr>
                <w:rFonts w:ascii="Times New Roman" w:hAnsi="Times New Roman"/>
                <w:sz w:val="20"/>
                <w:szCs w:val="20"/>
              </w:rPr>
            </w:pPr>
          </w:p>
        </w:tc>
      </w:tr>
      <w:tr w:rsidR="00BB68E1" w14:paraId="42A110FA" w14:textId="77777777">
        <w:tc>
          <w:tcPr>
            <w:tcW w:w="0" w:type="auto"/>
            <w:shd w:val="clear" w:color="auto" w:fill="auto"/>
            <w:tcMar>
              <w:top w:w="40" w:type="dxa"/>
              <w:left w:w="40" w:type="dxa"/>
              <w:bottom w:w="40" w:type="dxa"/>
              <w:right w:w="40" w:type="dxa"/>
            </w:tcMar>
            <w:vAlign w:val="center"/>
          </w:tcPr>
          <w:p w14:paraId="42A110E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Washington</w:t>
            </w:r>
          </w:p>
        </w:tc>
        <w:tc>
          <w:tcPr>
            <w:tcW w:w="0" w:type="auto"/>
            <w:shd w:val="clear" w:color="auto" w:fill="auto"/>
            <w:tcMar>
              <w:top w:w="40" w:type="dxa"/>
              <w:left w:w="40" w:type="dxa"/>
              <w:bottom w:w="40" w:type="dxa"/>
              <w:right w:w="40" w:type="dxa"/>
            </w:tcMar>
            <w:vAlign w:val="bottom"/>
          </w:tcPr>
          <w:p w14:paraId="42A110E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E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52</w:t>
            </w:r>
          </w:p>
        </w:tc>
        <w:tc>
          <w:tcPr>
            <w:tcW w:w="0" w:type="auto"/>
            <w:shd w:val="clear" w:color="auto" w:fill="auto"/>
            <w:vAlign w:val="bottom"/>
          </w:tcPr>
          <w:p w14:paraId="42A110E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E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E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w:t>
            </w:r>
          </w:p>
        </w:tc>
        <w:tc>
          <w:tcPr>
            <w:tcW w:w="0" w:type="auto"/>
            <w:shd w:val="clear" w:color="auto" w:fill="auto"/>
            <w:vAlign w:val="bottom"/>
          </w:tcPr>
          <w:p w14:paraId="42A110F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F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F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w:t>
            </w:r>
          </w:p>
        </w:tc>
        <w:tc>
          <w:tcPr>
            <w:tcW w:w="0" w:type="auto"/>
            <w:shd w:val="clear" w:color="auto" w:fill="auto"/>
            <w:vAlign w:val="bottom"/>
          </w:tcPr>
          <w:p w14:paraId="42A110F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F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F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0F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0F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0F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67</w:t>
            </w:r>
          </w:p>
        </w:tc>
        <w:tc>
          <w:tcPr>
            <w:tcW w:w="0" w:type="auto"/>
            <w:shd w:val="clear" w:color="auto" w:fill="auto"/>
            <w:vAlign w:val="bottom"/>
          </w:tcPr>
          <w:p w14:paraId="42A110F9" w14:textId="77777777" w:rsidR="00BB68E1" w:rsidRDefault="00BB68E1">
            <w:pPr>
              <w:textAlignment w:val="bottom"/>
              <w:rPr>
                <w:rFonts w:ascii="Times New Roman" w:hAnsi="Times New Roman"/>
                <w:sz w:val="20"/>
                <w:szCs w:val="20"/>
              </w:rPr>
            </w:pPr>
          </w:p>
        </w:tc>
      </w:tr>
      <w:tr w:rsidR="00BB68E1" w14:paraId="42A1110B" w14:textId="77777777">
        <w:tc>
          <w:tcPr>
            <w:tcW w:w="0" w:type="auto"/>
            <w:shd w:val="clear" w:color="auto" w:fill="CCEEFF"/>
            <w:tcMar>
              <w:top w:w="40" w:type="dxa"/>
              <w:left w:w="40" w:type="dxa"/>
              <w:bottom w:w="40" w:type="dxa"/>
              <w:right w:w="40" w:type="dxa"/>
            </w:tcMar>
            <w:vAlign w:val="center"/>
          </w:tcPr>
          <w:p w14:paraId="42A110F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Washington D.C.</w:t>
            </w:r>
          </w:p>
        </w:tc>
        <w:tc>
          <w:tcPr>
            <w:tcW w:w="0" w:type="auto"/>
            <w:shd w:val="clear" w:color="auto" w:fill="CCEEFF"/>
            <w:tcMar>
              <w:top w:w="40" w:type="dxa"/>
              <w:left w:w="40" w:type="dxa"/>
              <w:bottom w:w="40" w:type="dxa"/>
              <w:right w:w="40" w:type="dxa"/>
            </w:tcMar>
            <w:vAlign w:val="bottom"/>
          </w:tcPr>
          <w:p w14:paraId="42A110F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0F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w:t>
            </w:r>
          </w:p>
        </w:tc>
        <w:tc>
          <w:tcPr>
            <w:tcW w:w="0" w:type="auto"/>
            <w:shd w:val="clear" w:color="auto" w:fill="CCEEFF"/>
            <w:vAlign w:val="bottom"/>
          </w:tcPr>
          <w:p w14:paraId="42A110F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0F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0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10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0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0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CCEEFF"/>
            <w:vAlign w:val="bottom"/>
          </w:tcPr>
          <w:p w14:paraId="42A1110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0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0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10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0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0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w:t>
            </w:r>
          </w:p>
        </w:tc>
        <w:tc>
          <w:tcPr>
            <w:tcW w:w="0" w:type="auto"/>
            <w:shd w:val="clear" w:color="auto" w:fill="CCEEFF"/>
            <w:vAlign w:val="bottom"/>
          </w:tcPr>
          <w:p w14:paraId="42A1110A" w14:textId="77777777" w:rsidR="00BB68E1" w:rsidRDefault="00BB68E1">
            <w:pPr>
              <w:textAlignment w:val="bottom"/>
              <w:rPr>
                <w:rFonts w:ascii="Times New Roman" w:hAnsi="Times New Roman"/>
                <w:sz w:val="20"/>
                <w:szCs w:val="20"/>
              </w:rPr>
            </w:pPr>
          </w:p>
        </w:tc>
      </w:tr>
      <w:tr w:rsidR="00BB68E1" w14:paraId="42A1111C" w14:textId="77777777">
        <w:tc>
          <w:tcPr>
            <w:tcW w:w="0" w:type="auto"/>
            <w:shd w:val="clear" w:color="auto" w:fill="auto"/>
            <w:tcMar>
              <w:top w:w="40" w:type="dxa"/>
              <w:left w:w="40" w:type="dxa"/>
              <w:bottom w:w="40" w:type="dxa"/>
              <w:right w:w="40" w:type="dxa"/>
            </w:tcMar>
            <w:vAlign w:val="center"/>
          </w:tcPr>
          <w:p w14:paraId="42A1110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West Virginia</w:t>
            </w:r>
          </w:p>
        </w:tc>
        <w:tc>
          <w:tcPr>
            <w:tcW w:w="0" w:type="auto"/>
            <w:shd w:val="clear" w:color="auto" w:fill="auto"/>
            <w:tcMar>
              <w:top w:w="40" w:type="dxa"/>
              <w:left w:w="40" w:type="dxa"/>
              <w:bottom w:w="40" w:type="dxa"/>
              <w:right w:w="40" w:type="dxa"/>
            </w:tcMar>
            <w:vAlign w:val="bottom"/>
          </w:tcPr>
          <w:p w14:paraId="42A1110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0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38</w:t>
            </w:r>
          </w:p>
        </w:tc>
        <w:tc>
          <w:tcPr>
            <w:tcW w:w="0" w:type="auto"/>
            <w:shd w:val="clear" w:color="auto" w:fill="auto"/>
            <w:vAlign w:val="bottom"/>
          </w:tcPr>
          <w:p w14:paraId="42A1110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1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1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11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1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1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shd w:val="clear" w:color="auto" w:fill="auto"/>
            <w:vAlign w:val="bottom"/>
          </w:tcPr>
          <w:p w14:paraId="42A1111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1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1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w:t>
            </w:r>
          </w:p>
        </w:tc>
        <w:tc>
          <w:tcPr>
            <w:tcW w:w="0" w:type="auto"/>
            <w:shd w:val="clear" w:color="auto" w:fill="auto"/>
            <w:vAlign w:val="bottom"/>
          </w:tcPr>
          <w:p w14:paraId="42A1111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1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1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44</w:t>
            </w:r>
          </w:p>
        </w:tc>
        <w:tc>
          <w:tcPr>
            <w:tcW w:w="0" w:type="auto"/>
            <w:shd w:val="clear" w:color="auto" w:fill="auto"/>
            <w:vAlign w:val="bottom"/>
          </w:tcPr>
          <w:p w14:paraId="42A1111B" w14:textId="77777777" w:rsidR="00BB68E1" w:rsidRDefault="00BB68E1">
            <w:pPr>
              <w:textAlignment w:val="bottom"/>
              <w:rPr>
                <w:rFonts w:ascii="Times New Roman" w:hAnsi="Times New Roman"/>
                <w:sz w:val="20"/>
                <w:szCs w:val="20"/>
              </w:rPr>
            </w:pPr>
          </w:p>
        </w:tc>
      </w:tr>
      <w:tr w:rsidR="00BB68E1" w14:paraId="42A1112D" w14:textId="77777777">
        <w:tc>
          <w:tcPr>
            <w:tcW w:w="0" w:type="auto"/>
            <w:shd w:val="clear" w:color="auto" w:fill="CCEEFF"/>
            <w:tcMar>
              <w:top w:w="40" w:type="dxa"/>
              <w:left w:w="40" w:type="dxa"/>
              <w:bottom w:w="40" w:type="dxa"/>
              <w:right w:w="40" w:type="dxa"/>
            </w:tcMar>
            <w:vAlign w:val="center"/>
          </w:tcPr>
          <w:p w14:paraId="42A1111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Wisconsin</w:t>
            </w:r>
          </w:p>
        </w:tc>
        <w:tc>
          <w:tcPr>
            <w:tcW w:w="0" w:type="auto"/>
            <w:shd w:val="clear" w:color="auto" w:fill="CCEEFF"/>
            <w:tcMar>
              <w:top w:w="40" w:type="dxa"/>
              <w:left w:w="40" w:type="dxa"/>
              <w:bottom w:w="40" w:type="dxa"/>
              <w:right w:w="40" w:type="dxa"/>
            </w:tcMar>
            <w:vAlign w:val="bottom"/>
          </w:tcPr>
          <w:p w14:paraId="42A1111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1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83</w:t>
            </w:r>
          </w:p>
        </w:tc>
        <w:tc>
          <w:tcPr>
            <w:tcW w:w="0" w:type="auto"/>
            <w:shd w:val="clear" w:color="auto" w:fill="CCEEFF"/>
            <w:vAlign w:val="bottom"/>
          </w:tcPr>
          <w:p w14:paraId="42A1112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2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2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w:t>
            </w:r>
          </w:p>
        </w:tc>
        <w:tc>
          <w:tcPr>
            <w:tcW w:w="0" w:type="auto"/>
            <w:shd w:val="clear" w:color="auto" w:fill="CCEEFF"/>
            <w:vAlign w:val="bottom"/>
          </w:tcPr>
          <w:p w14:paraId="42A1112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2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2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CCEEFF"/>
            <w:vAlign w:val="bottom"/>
          </w:tcPr>
          <w:p w14:paraId="42A1112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2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2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w:t>
            </w:r>
          </w:p>
        </w:tc>
        <w:tc>
          <w:tcPr>
            <w:tcW w:w="0" w:type="auto"/>
            <w:shd w:val="clear" w:color="auto" w:fill="CCEEFF"/>
            <w:vAlign w:val="bottom"/>
          </w:tcPr>
          <w:p w14:paraId="42A1112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2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2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99</w:t>
            </w:r>
          </w:p>
        </w:tc>
        <w:tc>
          <w:tcPr>
            <w:tcW w:w="0" w:type="auto"/>
            <w:shd w:val="clear" w:color="auto" w:fill="CCEEFF"/>
            <w:vAlign w:val="bottom"/>
          </w:tcPr>
          <w:p w14:paraId="42A1112C" w14:textId="77777777" w:rsidR="00BB68E1" w:rsidRDefault="00BB68E1">
            <w:pPr>
              <w:textAlignment w:val="bottom"/>
              <w:rPr>
                <w:rFonts w:ascii="Times New Roman" w:hAnsi="Times New Roman"/>
                <w:sz w:val="20"/>
                <w:szCs w:val="20"/>
              </w:rPr>
            </w:pPr>
          </w:p>
        </w:tc>
      </w:tr>
      <w:tr w:rsidR="00BB68E1" w14:paraId="42A1113E" w14:textId="77777777">
        <w:tc>
          <w:tcPr>
            <w:tcW w:w="0" w:type="auto"/>
            <w:shd w:val="clear" w:color="auto" w:fill="auto"/>
            <w:tcMar>
              <w:top w:w="40" w:type="dxa"/>
              <w:left w:w="40" w:type="dxa"/>
              <w:bottom w:w="40" w:type="dxa"/>
              <w:right w:w="40" w:type="dxa"/>
            </w:tcMar>
            <w:vAlign w:val="center"/>
          </w:tcPr>
          <w:p w14:paraId="42A1112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Wyoming</w:t>
            </w:r>
          </w:p>
        </w:tc>
        <w:tc>
          <w:tcPr>
            <w:tcW w:w="0" w:type="auto"/>
            <w:shd w:val="clear" w:color="auto" w:fill="auto"/>
            <w:tcMar>
              <w:top w:w="40" w:type="dxa"/>
              <w:left w:w="40" w:type="dxa"/>
              <w:bottom w:w="40" w:type="dxa"/>
              <w:right w:w="40" w:type="dxa"/>
            </w:tcMar>
            <w:vAlign w:val="bottom"/>
          </w:tcPr>
          <w:p w14:paraId="42A1112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center"/>
          </w:tcPr>
          <w:p w14:paraId="42A1113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w:t>
            </w:r>
          </w:p>
        </w:tc>
        <w:tc>
          <w:tcPr>
            <w:tcW w:w="0" w:type="auto"/>
            <w:tcBorders>
              <w:bottom w:val="single" w:sz="8" w:space="0" w:color="000000"/>
            </w:tcBorders>
            <w:shd w:val="clear" w:color="auto" w:fill="auto"/>
            <w:vAlign w:val="bottom"/>
          </w:tcPr>
          <w:p w14:paraId="42A1113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3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center"/>
          </w:tcPr>
          <w:p w14:paraId="42A1113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auto"/>
            <w:vAlign w:val="bottom"/>
          </w:tcPr>
          <w:p w14:paraId="42A1113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3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center"/>
          </w:tcPr>
          <w:p w14:paraId="42A1113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auto"/>
            <w:vAlign w:val="bottom"/>
          </w:tcPr>
          <w:p w14:paraId="42A1113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3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center"/>
          </w:tcPr>
          <w:p w14:paraId="42A1113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tcBorders>
              <w:bottom w:val="single" w:sz="8" w:space="0" w:color="000000"/>
            </w:tcBorders>
            <w:shd w:val="clear" w:color="auto" w:fill="auto"/>
            <w:vAlign w:val="bottom"/>
          </w:tcPr>
          <w:p w14:paraId="42A1113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center"/>
          </w:tcPr>
          <w:p w14:paraId="42A1113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w:t>
            </w:r>
          </w:p>
        </w:tc>
        <w:tc>
          <w:tcPr>
            <w:tcW w:w="0" w:type="auto"/>
            <w:tcBorders>
              <w:bottom w:val="single" w:sz="8" w:space="0" w:color="000000"/>
            </w:tcBorders>
            <w:shd w:val="clear" w:color="auto" w:fill="auto"/>
            <w:vAlign w:val="bottom"/>
          </w:tcPr>
          <w:p w14:paraId="42A1113D" w14:textId="77777777" w:rsidR="00BB68E1" w:rsidRDefault="00BB68E1">
            <w:pPr>
              <w:textAlignment w:val="bottom"/>
              <w:rPr>
                <w:rFonts w:ascii="Times New Roman" w:hAnsi="Times New Roman"/>
                <w:sz w:val="20"/>
                <w:szCs w:val="20"/>
              </w:rPr>
            </w:pPr>
          </w:p>
        </w:tc>
      </w:tr>
      <w:tr w:rsidR="00BB68E1" w14:paraId="42A1114F" w14:textId="77777777">
        <w:tc>
          <w:tcPr>
            <w:tcW w:w="0" w:type="auto"/>
            <w:shd w:val="clear" w:color="auto" w:fill="CCEEFF"/>
            <w:tcMar>
              <w:top w:w="40" w:type="dxa"/>
              <w:left w:w="40" w:type="dxa"/>
              <w:bottom w:w="40" w:type="dxa"/>
              <w:right w:w="40" w:type="dxa"/>
            </w:tcMar>
            <w:vAlign w:val="center"/>
          </w:tcPr>
          <w:p w14:paraId="42A1113F"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U.S. total</w:t>
            </w:r>
          </w:p>
        </w:tc>
        <w:tc>
          <w:tcPr>
            <w:tcW w:w="0" w:type="auto"/>
            <w:shd w:val="clear" w:color="auto" w:fill="CCEEFF"/>
            <w:tcMar>
              <w:top w:w="40" w:type="dxa"/>
              <w:left w:w="40" w:type="dxa"/>
              <w:bottom w:w="40" w:type="dxa"/>
              <w:right w:w="40" w:type="dxa"/>
            </w:tcMar>
            <w:vAlign w:val="bottom"/>
          </w:tcPr>
          <w:p w14:paraId="42A1114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1141" w14:textId="77777777" w:rsidR="00BB68E1" w:rsidRDefault="005D2D5E">
            <w:pPr>
              <w:jc w:val="right"/>
              <w:textAlignment w:val="center"/>
              <w:rPr>
                <w:rFonts w:ascii="Times New Roman" w:hAnsi="Times New Roman"/>
                <w:sz w:val="16"/>
                <w:szCs w:val="16"/>
              </w:rPr>
            </w:pPr>
            <w:r>
              <w:rPr>
                <w:rFonts w:ascii="Times New Roman" w:eastAsia="宋体" w:hAnsi="Times New Roman"/>
                <w:b/>
                <w:bCs/>
                <w:sz w:val="16"/>
                <w:szCs w:val="16"/>
              </w:rPr>
              <w:t>3,571</w:t>
            </w:r>
          </w:p>
        </w:tc>
        <w:tc>
          <w:tcPr>
            <w:tcW w:w="0" w:type="auto"/>
            <w:tcBorders>
              <w:top w:val="single" w:sz="8" w:space="0" w:color="000000"/>
              <w:bottom w:val="double" w:sz="6" w:space="0" w:color="000000"/>
            </w:tcBorders>
            <w:shd w:val="clear" w:color="auto" w:fill="CCEEFF"/>
            <w:vAlign w:val="bottom"/>
          </w:tcPr>
          <w:p w14:paraId="42A1114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4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1144" w14:textId="77777777" w:rsidR="00BB68E1" w:rsidRDefault="005D2D5E">
            <w:pPr>
              <w:jc w:val="right"/>
              <w:textAlignment w:val="center"/>
              <w:rPr>
                <w:rFonts w:ascii="Times New Roman" w:hAnsi="Times New Roman"/>
                <w:sz w:val="16"/>
                <w:szCs w:val="16"/>
              </w:rPr>
            </w:pPr>
            <w:r>
              <w:rPr>
                <w:rFonts w:ascii="Times New Roman" w:eastAsia="宋体" w:hAnsi="Times New Roman"/>
                <w:b/>
                <w:bCs/>
                <w:sz w:val="16"/>
                <w:szCs w:val="16"/>
              </w:rPr>
              <w:t>376</w:t>
            </w:r>
          </w:p>
        </w:tc>
        <w:tc>
          <w:tcPr>
            <w:tcW w:w="0" w:type="auto"/>
            <w:tcBorders>
              <w:top w:val="single" w:sz="8" w:space="0" w:color="000000"/>
              <w:bottom w:val="double" w:sz="6" w:space="0" w:color="000000"/>
            </w:tcBorders>
            <w:shd w:val="clear" w:color="auto" w:fill="CCEEFF"/>
            <w:vAlign w:val="bottom"/>
          </w:tcPr>
          <w:p w14:paraId="42A1114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4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1147" w14:textId="77777777" w:rsidR="00BB68E1" w:rsidRDefault="005D2D5E">
            <w:pPr>
              <w:jc w:val="right"/>
              <w:textAlignment w:val="center"/>
              <w:rPr>
                <w:rFonts w:ascii="Times New Roman" w:hAnsi="Times New Roman"/>
                <w:sz w:val="16"/>
                <w:szCs w:val="16"/>
              </w:rPr>
            </w:pPr>
            <w:r>
              <w:rPr>
                <w:rFonts w:ascii="Times New Roman" w:eastAsia="宋体" w:hAnsi="Times New Roman"/>
                <w:b/>
                <w:bCs/>
                <w:sz w:val="16"/>
                <w:szCs w:val="16"/>
              </w:rPr>
              <w:t>809</w:t>
            </w:r>
          </w:p>
        </w:tc>
        <w:tc>
          <w:tcPr>
            <w:tcW w:w="0" w:type="auto"/>
            <w:tcBorders>
              <w:top w:val="single" w:sz="8" w:space="0" w:color="000000"/>
              <w:bottom w:val="double" w:sz="6" w:space="0" w:color="000000"/>
            </w:tcBorders>
            <w:shd w:val="clear" w:color="auto" w:fill="CCEEFF"/>
            <w:vAlign w:val="bottom"/>
          </w:tcPr>
          <w:p w14:paraId="42A1114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4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114A" w14:textId="77777777" w:rsidR="00BB68E1" w:rsidRDefault="005D2D5E">
            <w:pPr>
              <w:jc w:val="right"/>
              <w:textAlignment w:val="center"/>
              <w:rPr>
                <w:rFonts w:ascii="Times New Roman" w:hAnsi="Times New Roman"/>
                <w:sz w:val="16"/>
                <w:szCs w:val="16"/>
              </w:rPr>
            </w:pPr>
            <w:r>
              <w:rPr>
                <w:rFonts w:ascii="Times New Roman" w:eastAsia="宋体" w:hAnsi="Times New Roman"/>
                <w:b/>
                <w:bCs/>
                <w:sz w:val="16"/>
                <w:szCs w:val="16"/>
              </w:rPr>
              <w:t>599</w:t>
            </w:r>
          </w:p>
        </w:tc>
        <w:tc>
          <w:tcPr>
            <w:tcW w:w="0" w:type="auto"/>
            <w:tcBorders>
              <w:top w:val="single" w:sz="8" w:space="0" w:color="000000"/>
              <w:bottom w:val="double" w:sz="6" w:space="0" w:color="000000"/>
            </w:tcBorders>
            <w:shd w:val="clear" w:color="auto" w:fill="CCEEFF"/>
            <w:vAlign w:val="bottom"/>
          </w:tcPr>
          <w:p w14:paraId="42A1114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4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114D" w14:textId="77777777" w:rsidR="00BB68E1" w:rsidRDefault="005D2D5E">
            <w:pPr>
              <w:jc w:val="right"/>
              <w:textAlignment w:val="center"/>
              <w:rPr>
                <w:rFonts w:ascii="Times New Roman" w:hAnsi="Times New Roman"/>
                <w:sz w:val="16"/>
                <w:szCs w:val="16"/>
              </w:rPr>
            </w:pPr>
            <w:r>
              <w:rPr>
                <w:rFonts w:ascii="Times New Roman" w:eastAsia="宋体" w:hAnsi="Times New Roman"/>
                <w:b/>
                <w:bCs/>
                <w:sz w:val="16"/>
                <w:szCs w:val="16"/>
              </w:rPr>
              <w:t>5,355</w:t>
            </w:r>
          </w:p>
        </w:tc>
        <w:tc>
          <w:tcPr>
            <w:tcW w:w="0" w:type="auto"/>
            <w:tcBorders>
              <w:top w:val="single" w:sz="8" w:space="0" w:color="000000"/>
              <w:bottom w:val="double" w:sz="6" w:space="0" w:color="000000"/>
            </w:tcBorders>
            <w:shd w:val="clear" w:color="auto" w:fill="CCEEFF"/>
            <w:vAlign w:val="bottom"/>
          </w:tcPr>
          <w:p w14:paraId="42A1114E" w14:textId="77777777" w:rsidR="00BB68E1" w:rsidRDefault="00BB68E1">
            <w:pPr>
              <w:textAlignment w:val="bottom"/>
              <w:rPr>
                <w:rFonts w:ascii="Times New Roman" w:hAnsi="Times New Roman"/>
                <w:sz w:val="20"/>
                <w:szCs w:val="20"/>
              </w:rPr>
            </w:pPr>
          </w:p>
        </w:tc>
      </w:tr>
      <w:tr w:rsidR="00BB68E1" w14:paraId="42A11160" w14:textId="77777777">
        <w:tc>
          <w:tcPr>
            <w:tcW w:w="0" w:type="auto"/>
            <w:shd w:val="clear" w:color="auto" w:fill="auto"/>
            <w:tcMar>
              <w:top w:w="40" w:type="dxa"/>
              <w:left w:w="40" w:type="dxa"/>
              <w:bottom w:w="40" w:type="dxa"/>
              <w:right w:w="40" w:type="dxa"/>
            </w:tcMar>
            <w:vAlign w:val="center"/>
          </w:tcPr>
          <w:p w14:paraId="42A11150"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 xml:space="preserve">Square feet </w:t>
            </w:r>
            <w:r>
              <w:rPr>
                <w:rFonts w:ascii="Times New Roman" w:eastAsia="宋体" w:hAnsi="Times New Roman"/>
                <w:i/>
                <w:iCs/>
                <w:sz w:val="16"/>
                <w:szCs w:val="16"/>
              </w:rPr>
              <w:t>(in thousands)</w:t>
            </w:r>
          </w:p>
        </w:tc>
        <w:tc>
          <w:tcPr>
            <w:tcW w:w="0" w:type="auto"/>
            <w:shd w:val="clear" w:color="auto" w:fill="auto"/>
            <w:tcMar>
              <w:top w:w="40" w:type="dxa"/>
              <w:left w:w="40" w:type="dxa"/>
              <w:bottom w:w="40" w:type="dxa"/>
              <w:right w:w="40" w:type="dxa"/>
            </w:tcMar>
            <w:vAlign w:val="bottom"/>
          </w:tcPr>
          <w:p w14:paraId="42A1115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1152" w14:textId="77777777" w:rsidR="00BB68E1" w:rsidRDefault="005D2D5E">
            <w:pPr>
              <w:jc w:val="right"/>
              <w:textAlignment w:val="center"/>
              <w:rPr>
                <w:rFonts w:ascii="Times New Roman" w:hAnsi="Times New Roman"/>
                <w:sz w:val="16"/>
                <w:szCs w:val="16"/>
              </w:rPr>
            </w:pPr>
            <w:r>
              <w:rPr>
                <w:rFonts w:ascii="Times New Roman" w:eastAsia="宋体" w:hAnsi="Times New Roman"/>
                <w:b/>
                <w:bCs/>
                <w:sz w:val="16"/>
                <w:szCs w:val="16"/>
              </w:rPr>
              <w:t>634,287</w:t>
            </w:r>
          </w:p>
        </w:tc>
        <w:tc>
          <w:tcPr>
            <w:tcW w:w="0" w:type="auto"/>
            <w:tcBorders>
              <w:bottom w:val="double" w:sz="6" w:space="0" w:color="000000"/>
            </w:tcBorders>
            <w:shd w:val="clear" w:color="auto" w:fill="auto"/>
            <w:vAlign w:val="bottom"/>
          </w:tcPr>
          <w:p w14:paraId="42A1115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1155" w14:textId="77777777" w:rsidR="00BB68E1" w:rsidRDefault="005D2D5E">
            <w:pPr>
              <w:jc w:val="right"/>
              <w:textAlignment w:val="center"/>
              <w:rPr>
                <w:rFonts w:ascii="Times New Roman" w:hAnsi="Times New Roman"/>
                <w:sz w:val="16"/>
                <w:szCs w:val="16"/>
              </w:rPr>
            </w:pPr>
            <w:r>
              <w:rPr>
                <w:rFonts w:ascii="Times New Roman" w:eastAsia="宋体" w:hAnsi="Times New Roman"/>
                <w:b/>
                <w:bCs/>
                <w:sz w:val="16"/>
                <w:szCs w:val="16"/>
              </w:rPr>
              <w:t>39,557</w:t>
            </w:r>
          </w:p>
        </w:tc>
        <w:tc>
          <w:tcPr>
            <w:tcW w:w="0" w:type="auto"/>
            <w:tcBorders>
              <w:bottom w:val="double" w:sz="6" w:space="0" w:color="000000"/>
            </w:tcBorders>
            <w:shd w:val="clear" w:color="auto" w:fill="auto"/>
            <w:vAlign w:val="bottom"/>
          </w:tcPr>
          <w:p w14:paraId="42A1115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5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1158" w14:textId="77777777" w:rsidR="00BB68E1" w:rsidRDefault="005D2D5E">
            <w:pPr>
              <w:jc w:val="right"/>
              <w:textAlignment w:val="center"/>
              <w:rPr>
                <w:rFonts w:ascii="Times New Roman" w:hAnsi="Times New Roman"/>
                <w:sz w:val="16"/>
                <w:szCs w:val="16"/>
              </w:rPr>
            </w:pPr>
            <w:r>
              <w:rPr>
                <w:rFonts w:ascii="Times New Roman" w:eastAsia="宋体" w:hAnsi="Times New Roman"/>
                <w:b/>
                <w:bCs/>
                <w:sz w:val="16"/>
                <w:szCs w:val="16"/>
              </w:rPr>
              <w:t>29,474</w:t>
            </w:r>
          </w:p>
        </w:tc>
        <w:tc>
          <w:tcPr>
            <w:tcW w:w="0" w:type="auto"/>
            <w:tcBorders>
              <w:bottom w:val="double" w:sz="6" w:space="0" w:color="000000"/>
            </w:tcBorders>
            <w:shd w:val="clear" w:color="auto" w:fill="auto"/>
            <w:vAlign w:val="bottom"/>
          </w:tcPr>
          <w:p w14:paraId="42A1115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5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115B" w14:textId="77777777" w:rsidR="00BB68E1" w:rsidRDefault="005D2D5E">
            <w:pPr>
              <w:jc w:val="right"/>
              <w:textAlignment w:val="center"/>
              <w:rPr>
                <w:rFonts w:ascii="Times New Roman" w:hAnsi="Times New Roman"/>
                <w:sz w:val="16"/>
                <w:szCs w:val="16"/>
              </w:rPr>
            </w:pPr>
            <w:r>
              <w:rPr>
                <w:rFonts w:ascii="Times New Roman" w:eastAsia="宋体" w:hAnsi="Times New Roman"/>
                <w:b/>
                <w:bCs/>
                <w:sz w:val="16"/>
                <w:szCs w:val="16"/>
              </w:rPr>
              <w:t>80,239</w:t>
            </w:r>
          </w:p>
        </w:tc>
        <w:tc>
          <w:tcPr>
            <w:tcW w:w="0" w:type="auto"/>
            <w:tcBorders>
              <w:bottom w:val="double" w:sz="6" w:space="0" w:color="000000"/>
            </w:tcBorders>
            <w:shd w:val="clear" w:color="auto" w:fill="auto"/>
            <w:vAlign w:val="bottom"/>
          </w:tcPr>
          <w:p w14:paraId="42A1115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5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115E" w14:textId="77777777" w:rsidR="00BB68E1" w:rsidRDefault="005D2D5E">
            <w:pPr>
              <w:jc w:val="right"/>
              <w:textAlignment w:val="center"/>
              <w:rPr>
                <w:rFonts w:ascii="Times New Roman" w:hAnsi="Times New Roman"/>
                <w:sz w:val="16"/>
                <w:szCs w:val="16"/>
              </w:rPr>
            </w:pPr>
            <w:r>
              <w:rPr>
                <w:rFonts w:ascii="Times New Roman" w:eastAsia="宋体" w:hAnsi="Times New Roman"/>
                <w:b/>
                <w:bCs/>
                <w:sz w:val="16"/>
                <w:szCs w:val="16"/>
              </w:rPr>
              <w:t>783,557</w:t>
            </w:r>
          </w:p>
        </w:tc>
        <w:tc>
          <w:tcPr>
            <w:tcW w:w="0" w:type="auto"/>
            <w:tcBorders>
              <w:bottom w:val="double" w:sz="6" w:space="0" w:color="000000"/>
            </w:tcBorders>
            <w:shd w:val="clear" w:color="auto" w:fill="auto"/>
            <w:vAlign w:val="bottom"/>
          </w:tcPr>
          <w:p w14:paraId="42A1115F" w14:textId="77777777" w:rsidR="00BB68E1" w:rsidRDefault="00BB68E1">
            <w:pPr>
              <w:textAlignment w:val="bottom"/>
              <w:rPr>
                <w:rFonts w:ascii="Times New Roman" w:hAnsi="Times New Roman"/>
                <w:sz w:val="20"/>
                <w:szCs w:val="20"/>
              </w:rPr>
            </w:pPr>
          </w:p>
        </w:tc>
      </w:tr>
    </w:tbl>
    <w:p w14:paraId="42A11161" w14:textId="77777777" w:rsidR="00BB68E1" w:rsidRDefault="00BB68E1">
      <w:pPr>
        <w:rPr>
          <w:rFonts w:ascii="Times New Roman" w:hAnsi="Times New Roman"/>
          <w:sz w:val="20"/>
          <w:szCs w:val="20"/>
        </w:rPr>
      </w:pPr>
    </w:p>
    <w:p w14:paraId="42A11162"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24</w:t>
      </w:r>
    </w:p>
    <w:p w14:paraId="42A11163" w14:textId="77777777" w:rsidR="00BB68E1" w:rsidRDefault="00BB68E1">
      <w:pPr>
        <w:spacing w:line="288" w:lineRule="auto"/>
        <w:jc w:val="center"/>
        <w:rPr>
          <w:rFonts w:ascii="Times New Roman" w:hAnsi="Times New Roman"/>
          <w:sz w:val="20"/>
          <w:szCs w:val="20"/>
        </w:rPr>
      </w:pPr>
    </w:p>
    <w:p w14:paraId="42A11164" w14:textId="77777777" w:rsidR="00BB68E1" w:rsidRDefault="005D2D5E">
      <w:r>
        <w:rPr>
          <w:rFonts w:ascii="Times New Roman" w:hAnsi="Times New Roman"/>
          <w:sz w:val="20"/>
          <w:szCs w:val="20"/>
        </w:rPr>
        <w:pict w14:anchorId="42A1428D">
          <v:rect id="_x0000_i1048" style="width:415.3pt;height:1.5pt" o:hralign="center" o:hrstd="t" o:hr="t" fillcolor="#a0a0a0" stroked="f"/>
        </w:pict>
      </w:r>
    </w:p>
    <w:p w14:paraId="42A11165" w14:textId="77777777" w:rsidR="00BB68E1" w:rsidRDefault="00BB68E1">
      <w:pPr>
        <w:rPr>
          <w:rFonts w:ascii="Times New Roman" w:hAnsi="Times New Roman"/>
          <w:sz w:val="20"/>
          <w:szCs w:val="20"/>
        </w:rPr>
      </w:pPr>
    </w:p>
    <w:p w14:paraId="42A11166" w14:textId="77777777" w:rsidR="00BB68E1" w:rsidRDefault="00BB68E1">
      <w:pPr>
        <w:spacing w:line="288" w:lineRule="auto"/>
        <w:rPr>
          <w:rFonts w:ascii="Times New Roman" w:hAnsi="Times New Roman"/>
          <w:sz w:val="16"/>
          <w:szCs w:val="16"/>
        </w:rPr>
      </w:pPr>
    </w:p>
    <w:p w14:paraId="42A11167"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International</w:t>
      </w:r>
    </w:p>
    <w:p w14:paraId="42A1116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Walmart International segment comprises the Company's operations outside of the U.S. Unit counts as of January 31, 2020</w:t>
      </w:r>
      <w:r>
        <w:rPr>
          <w:rFonts w:ascii="Times New Roman" w:eastAsia="宋体" w:hAnsi="Times New Roman"/>
          <w:sz w:val="14"/>
          <w:szCs w:val="14"/>
        </w:rPr>
        <w:t>(1)</w:t>
      </w:r>
      <w:r>
        <w:rPr>
          <w:rFonts w:ascii="Times New Roman" w:eastAsia="宋体" w:hAnsi="Times New Roman"/>
          <w:sz w:val="20"/>
          <w:szCs w:val="20"/>
        </w:rPr>
        <w:t xml:space="preserve"> for Walmart International are summarized by major category for each geographic market as</w:t>
      </w:r>
      <w:r>
        <w:rPr>
          <w:rFonts w:ascii="Times New Roman" w:eastAsia="宋体" w:hAnsi="Times New Roman"/>
          <w:sz w:val="20"/>
          <w:szCs w:val="20"/>
        </w:rPr>
        <w:t xml:space="preserve"> follows:</w:t>
      </w:r>
    </w:p>
    <w:tbl>
      <w:tblPr>
        <w:tblW w:w="5000" w:type="pct"/>
        <w:tblCellMar>
          <w:left w:w="0" w:type="dxa"/>
          <w:right w:w="0" w:type="dxa"/>
        </w:tblCellMar>
        <w:tblLook w:val="04A0" w:firstRow="1" w:lastRow="0" w:firstColumn="1" w:lastColumn="0" w:noHBand="0" w:noVBand="1"/>
      </w:tblPr>
      <w:tblGrid>
        <w:gridCol w:w="4737"/>
        <w:gridCol w:w="130"/>
        <w:gridCol w:w="408"/>
        <w:gridCol w:w="81"/>
        <w:gridCol w:w="130"/>
        <w:gridCol w:w="686"/>
        <w:gridCol w:w="97"/>
        <w:gridCol w:w="130"/>
        <w:gridCol w:w="505"/>
        <w:gridCol w:w="101"/>
        <w:gridCol w:w="130"/>
        <w:gridCol w:w="401"/>
        <w:gridCol w:w="74"/>
        <w:gridCol w:w="130"/>
        <w:gridCol w:w="560"/>
        <w:gridCol w:w="6"/>
      </w:tblGrid>
      <w:tr w:rsidR="00BB68E1" w14:paraId="42A1116A" w14:textId="77777777">
        <w:tc>
          <w:tcPr>
            <w:tcW w:w="0" w:type="auto"/>
            <w:gridSpan w:val="16"/>
            <w:shd w:val="clear" w:color="auto" w:fill="auto"/>
            <w:vAlign w:val="center"/>
          </w:tcPr>
          <w:p w14:paraId="42A11169" w14:textId="77777777" w:rsidR="00BB68E1" w:rsidRDefault="00BB68E1">
            <w:pPr>
              <w:rPr>
                <w:rFonts w:ascii="Times New Roman" w:hAnsi="Times New Roman"/>
                <w:sz w:val="20"/>
                <w:szCs w:val="20"/>
              </w:rPr>
            </w:pPr>
          </w:p>
        </w:tc>
      </w:tr>
      <w:tr w:rsidR="00BB68E1" w14:paraId="42A1117B" w14:textId="77777777">
        <w:tc>
          <w:tcPr>
            <w:tcW w:w="3150" w:type="pct"/>
            <w:shd w:val="clear" w:color="auto" w:fill="auto"/>
            <w:vAlign w:val="center"/>
          </w:tcPr>
          <w:p w14:paraId="42A1116B" w14:textId="77777777" w:rsidR="00BB68E1" w:rsidRDefault="00BB68E1">
            <w:pPr>
              <w:rPr>
                <w:rFonts w:ascii="Times New Roman" w:hAnsi="Times New Roman"/>
                <w:sz w:val="20"/>
                <w:szCs w:val="20"/>
              </w:rPr>
            </w:pPr>
          </w:p>
        </w:tc>
        <w:tc>
          <w:tcPr>
            <w:tcW w:w="50" w:type="pct"/>
            <w:shd w:val="clear" w:color="auto" w:fill="auto"/>
            <w:vAlign w:val="center"/>
          </w:tcPr>
          <w:p w14:paraId="42A1116C" w14:textId="77777777" w:rsidR="00BB68E1" w:rsidRDefault="00BB68E1">
            <w:pPr>
              <w:rPr>
                <w:rFonts w:ascii="Times New Roman" w:hAnsi="Times New Roman"/>
                <w:sz w:val="20"/>
                <w:szCs w:val="20"/>
              </w:rPr>
            </w:pPr>
          </w:p>
        </w:tc>
        <w:tc>
          <w:tcPr>
            <w:tcW w:w="250" w:type="pct"/>
            <w:shd w:val="clear" w:color="auto" w:fill="auto"/>
            <w:vAlign w:val="center"/>
          </w:tcPr>
          <w:p w14:paraId="42A1116D" w14:textId="77777777" w:rsidR="00BB68E1" w:rsidRDefault="00BB68E1">
            <w:pPr>
              <w:rPr>
                <w:rFonts w:ascii="Times New Roman" w:hAnsi="Times New Roman"/>
                <w:sz w:val="20"/>
                <w:szCs w:val="20"/>
              </w:rPr>
            </w:pPr>
          </w:p>
        </w:tc>
        <w:tc>
          <w:tcPr>
            <w:tcW w:w="50" w:type="pct"/>
            <w:shd w:val="clear" w:color="auto" w:fill="auto"/>
            <w:vAlign w:val="center"/>
          </w:tcPr>
          <w:p w14:paraId="42A1116E" w14:textId="77777777" w:rsidR="00BB68E1" w:rsidRDefault="00BB68E1">
            <w:pPr>
              <w:rPr>
                <w:rFonts w:ascii="Times New Roman" w:hAnsi="Times New Roman"/>
                <w:sz w:val="20"/>
                <w:szCs w:val="20"/>
              </w:rPr>
            </w:pPr>
          </w:p>
        </w:tc>
        <w:tc>
          <w:tcPr>
            <w:tcW w:w="50" w:type="pct"/>
            <w:shd w:val="clear" w:color="auto" w:fill="auto"/>
            <w:vAlign w:val="center"/>
          </w:tcPr>
          <w:p w14:paraId="42A1116F" w14:textId="77777777" w:rsidR="00BB68E1" w:rsidRDefault="00BB68E1">
            <w:pPr>
              <w:rPr>
                <w:rFonts w:ascii="Times New Roman" w:hAnsi="Times New Roman"/>
                <w:sz w:val="20"/>
                <w:szCs w:val="20"/>
              </w:rPr>
            </w:pPr>
          </w:p>
        </w:tc>
        <w:tc>
          <w:tcPr>
            <w:tcW w:w="350" w:type="pct"/>
            <w:shd w:val="clear" w:color="auto" w:fill="auto"/>
            <w:vAlign w:val="center"/>
          </w:tcPr>
          <w:p w14:paraId="42A11170" w14:textId="77777777" w:rsidR="00BB68E1" w:rsidRDefault="00BB68E1">
            <w:pPr>
              <w:rPr>
                <w:rFonts w:ascii="Times New Roman" w:hAnsi="Times New Roman"/>
                <w:sz w:val="20"/>
                <w:szCs w:val="20"/>
              </w:rPr>
            </w:pPr>
          </w:p>
        </w:tc>
        <w:tc>
          <w:tcPr>
            <w:tcW w:w="50" w:type="pct"/>
            <w:shd w:val="clear" w:color="auto" w:fill="auto"/>
            <w:vAlign w:val="center"/>
          </w:tcPr>
          <w:p w14:paraId="42A11171" w14:textId="77777777" w:rsidR="00BB68E1" w:rsidRDefault="00BB68E1">
            <w:pPr>
              <w:rPr>
                <w:rFonts w:ascii="Times New Roman" w:hAnsi="Times New Roman"/>
                <w:sz w:val="20"/>
                <w:szCs w:val="20"/>
              </w:rPr>
            </w:pPr>
          </w:p>
        </w:tc>
        <w:tc>
          <w:tcPr>
            <w:tcW w:w="50" w:type="pct"/>
            <w:shd w:val="clear" w:color="auto" w:fill="auto"/>
            <w:vAlign w:val="center"/>
          </w:tcPr>
          <w:p w14:paraId="42A11172" w14:textId="77777777" w:rsidR="00BB68E1" w:rsidRDefault="00BB68E1">
            <w:pPr>
              <w:rPr>
                <w:rFonts w:ascii="Times New Roman" w:hAnsi="Times New Roman"/>
                <w:sz w:val="20"/>
                <w:szCs w:val="20"/>
              </w:rPr>
            </w:pPr>
          </w:p>
        </w:tc>
        <w:tc>
          <w:tcPr>
            <w:tcW w:w="250" w:type="pct"/>
            <w:shd w:val="clear" w:color="auto" w:fill="auto"/>
            <w:vAlign w:val="center"/>
          </w:tcPr>
          <w:p w14:paraId="42A11173" w14:textId="77777777" w:rsidR="00BB68E1" w:rsidRDefault="00BB68E1">
            <w:pPr>
              <w:rPr>
                <w:rFonts w:ascii="Times New Roman" w:hAnsi="Times New Roman"/>
                <w:sz w:val="20"/>
                <w:szCs w:val="20"/>
              </w:rPr>
            </w:pPr>
          </w:p>
        </w:tc>
        <w:tc>
          <w:tcPr>
            <w:tcW w:w="50" w:type="pct"/>
            <w:shd w:val="clear" w:color="auto" w:fill="auto"/>
            <w:vAlign w:val="center"/>
          </w:tcPr>
          <w:p w14:paraId="42A11174" w14:textId="77777777" w:rsidR="00BB68E1" w:rsidRDefault="00BB68E1">
            <w:pPr>
              <w:rPr>
                <w:rFonts w:ascii="Times New Roman" w:hAnsi="Times New Roman"/>
                <w:sz w:val="20"/>
                <w:szCs w:val="20"/>
              </w:rPr>
            </w:pPr>
          </w:p>
        </w:tc>
        <w:tc>
          <w:tcPr>
            <w:tcW w:w="50" w:type="pct"/>
            <w:shd w:val="clear" w:color="auto" w:fill="auto"/>
            <w:vAlign w:val="center"/>
          </w:tcPr>
          <w:p w14:paraId="42A11175" w14:textId="77777777" w:rsidR="00BB68E1" w:rsidRDefault="00BB68E1">
            <w:pPr>
              <w:rPr>
                <w:rFonts w:ascii="Times New Roman" w:hAnsi="Times New Roman"/>
                <w:sz w:val="20"/>
                <w:szCs w:val="20"/>
              </w:rPr>
            </w:pPr>
          </w:p>
        </w:tc>
        <w:tc>
          <w:tcPr>
            <w:tcW w:w="250" w:type="pct"/>
            <w:shd w:val="clear" w:color="auto" w:fill="auto"/>
            <w:vAlign w:val="center"/>
          </w:tcPr>
          <w:p w14:paraId="42A11176" w14:textId="77777777" w:rsidR="00BB68E1" w:rsidRDefault="00BB68E1">
            <w:pPr>
              <w:rPr>
                <w:rFonts w:ascii="Times New Roman" w:hAnsi="Times New Roman"/>
                <w:sz w:val="20"/>
                <w:szCs w:val="20"/>
              </w:rPr>
            </w:pPr>
          </w:p>
        </w:tc>
        <w:tc>
          <w:tcPr>
            <w:tcW w:w="50" w:type="pct"/>
            <w:shd w:val="clear" w:color="auto" w:fill="auto"/>
            <w:vAlign w:val="center"/>
          </w:tcPr>
          <w:p w14:paraId="42A11177" w14:textId="77777777" w:rsidR="00BB68E1" w:rsidRDefault="00BB68E1">
            <w:pPr>
              <w:rPr>
                <w:rFonts w:ascii="Times New Roman" w:hAnsi="Times New Roman"/>
                <w:sz w:val="20"/>
                <w:szCs w:val="20"/>
              </w:rPr>
            </w:pPr>
          </w:p>
        </w:tc>
        <w:tc>
          <w:tcPr>
            <w:tcW w:w="50" w:type="pct"/>
            <w:shd w:val="clear" w:color="auto" w:fill="auto"/>
            <w:vAlign w:val="center"/>
          </w:tcPr>
          <w:p w14:paraId="42A11178" w14:textId="77777777" w:rsidR="00BB68E1" w:rsidRDefault="00BB68E1">
            <w:pPr>
              <w:rPr>
                <w:rFonts w:ascii="Times New Roman" w:hAnsi="Times New Roman"/>
                <w:sz w:val="20"/>
                <w:szCs w:val="20"/>
              </w:rPr>
            </w:pPr>
          </w:p>
        </w:tc>
        <w:tc>
          <w:tcPr>
            <w:tcW w:w="250" w:type="pct"/>
            <w:shd w:val="clear" w:color="auto" w:fill="auto"/>
            <w:vAlign w:val="center"/>
          </w:tcPr>
          <w:p w14:paraId="42A11179" w14:textId="77777777" w:rsidR="00BB68E1" w:rsidRDefault="00BB68E1">
            <w:pPr>
              <w:rPr>
                <w:rFonts w:ascii="Times New Roman" w:hAnsi="Times New Roman"/>
                <w:sz w:val="20"/>
                <w:szCs w:val="20"/>
              </w:rPr>
            </w:pPr>
          </w:p>
        </w:tc>
        <w:tc>
          <w:tcPr>
            <w:tcW w:w="50" w:type="pct"/>
            <w:shd w:val="clear" w:color="auto" w:fill="auto"/>
            <w:vAlign w:val="center"/>
          </w:tcPr>
          <w:p w14:paraId="42A1117A" w14:textId="77777777" w:rsidR="00BB68E1" w:rsidRDefault="00BB68E1">
            <w:pPr>
              <w:rPr>
                <w:rFonts w:ascii="Times New Roman" w:hAnsi="Times New Roman"/>
                <w:sz w:val="20"/>
                <w:szCs w:val="20"/>
              </w:rPr>
            </w:pPr>
          </w:p>
        </w:tc>
      </w:tr>
      <w:tr w:rsidR="00BB68E1" w14:paraId="42A1118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42A1117C"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Geographic Market</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117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117E"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Retail</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117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1180"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Wholesale</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11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118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Other</w:t>
            </w:r>
            <w:r>
              <w:rPr>
                <w:rFonts w:ascii="Times New Roman" w:eastAsia="宋体" w:hAnsi="Times New Roman"/>
                <w:b/>
                <w:bCs/>
                <w:sz w:val="10"/>
                <w:szCs w:val="10"/>
              </w:rPr>
              <w:t>(2)</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118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1184"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118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1186"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Square feet</w:t>
            </w:r>
            <w:r>
              <w:rPr>
                <w:rFonts w:ascii="Times New Roman" w:eastAsia="宋体" w:hAnsi="Times New Roman"/>
                <w:b/>
                <w:bCs/>
                <w:sz w:val="10"/>
                <w:szCs w:val="10"/>
              </w:rPr>
              <w:t>(3)</w:t>
            </w:r>
          </w:p>
        </w:tc>
      </w:tr>
      <w:tr w:rsidR="00BB68E1" w14:paraId="42A11198" w14:textId="77777777">
        <w:tc>
          <w:tcPr>
            <w:tcW w:w="0" w:type="auto"/>
            <w:shd w:val="clear" w:color="auto" w:fill="CCEEFF"/>
            <w:tcMar>
              <w:top w:w="40" w:type="dxa"/>
              <w:left w:w="40" w:type="dxa"/>
              <w:bottom w:w="40" w:type="dxa"/>
              <w:right w:w="40" w:type="dxa"/>
            </w:tcMar>
            <w:vAlign w:val="center"/>
          </w:tcPr>
          <w:p w14:paraId="42A1118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Africa</w:t>
            </w:r>
            <w:r>
              <w:rPr>
                <w:rFonts w:ascii="Times New Roman" w:eastAsia="宋体" w:hAnsi="Times New Roman"/>
                <w:sz w:val="10"/>
                <w:szCs w:val="10"/>
              </w:rPr>
              <w:t>(4)</w:t>
            </w:r>
          </w:p>
        </w:tc>
        <w:tc>
          <w:tcPr>
            <w:tcW w:w="0" w:type="auto"/>
            <w:shd w:val="clear" w:color="auto" w:fill="CCEEFF"/>
            <w:tcMar>
              <w:top w:w="40" w:type="dxa"/>
              <w:left w:w="40" w:type="dxa"/>
              <w:bottom w:w="40" w:type="dxa"/>
              <w:right w:w="40" w:type="dxa"/>
            </w:tcMar>
            <w:vAlign w:val="bottom"/>
          </w:tcPr>
          <w:p w14:paraId="42A1118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18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351</w:t>
            </w:r>
          </w:p>
        </w:tc>
        <w:tc>
          <w:tcPr>
            <w:tcW w:w="0" w:type="auto"/>
            <w:tcBorders>
              <w:top w:val="single" w:sz="8" w:space="0" w:color="000000"/>
            </w:tcBorders>
            <w:shd w:val="clear" w:color="auto" w:fill="CCEEFF"/>
            <w:vAlign w:val="bottom"/>
          </w:tcPr>
          <w:p w14:paraId="42A1118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8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18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91</w:t>
            </w:r>
          </w:p>
        </w:tc>
        <w:tc>
          <w:tcPr>
            <w:tcW w:w="0" w:type="auto"/>
            <w:tcBorders>
              <w:top w:val="single" w:sz="8" w:space="0" w:color="000000"/>
            </w:tcBorders>
            <w:shd w:val="clear" w:color="auto" w:fill="CCEEFF"/>
            <w:vAlign w:val="bottom"/>
          </w:tcPr>
          <w:p w14:paraId="42A1118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8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19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vAlign w:val="bottom"/>
          </w:tcPr>
          <w:p w14:paraId="42A1119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9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19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442</w:t>
            </w:r>
          </w:p>
        </w:tc>
        <w:tc>
          <w:tcPr>
            <w:tcW w:w="0" w:type="auto"/>
            <w:tcBorders>
              <w:top w:val="single" w:sz="8" w:space="0" w:color="000000"/>
            </w:tcBorders>
            <w:shd w:val="clear" w:color="auto" w:fill="CCEEFF"/>
            <w:vAlign w:val="bottom"/>
          </w:tcPr>
          <w:p w14:paraId="42A11194" w14:textId="77777777" w:rsidR="00BB68E1" w:rsidRDefault="00BB68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42A1119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19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24,754</w:t>
            </w:r>
          </w:p>
        </w:tc>
        <w:tc>
          <w:tcPr>
            <w:tcW w:w="0" w:type="auto"/>
            <w:tcBorders>
              <w:top w:val="single" w:sz="8" w:space="0" w:color="000000"/>
            </w:tcBorders>
            <w:shd w:val="clear" w:color="auto" w:fill="CCEEFF"/>
            <w:vAlign w:val="bottom"/>
          </w:tcPr>
          <w:p w14:paraId="42A11197" w14:textId="77777777" w:rsidR="00BB68E1" w:rsidRDefault="00BB68E1">
            <w:pPr>
              <w:textAlignment w:val="bottom"/>
              <w:rPr>
                <w:rFonts w:ascii="Times New Roman" w:hAnsi="Times New Roman"/>
                <w:sz w:val="20"/>
                <w:szCs w:val="20"/>
              </w:rPr>
            </w:pPr>
          </w:p>
        </w:tc>
      </w:tr>
      <w:tr w:rsidR="00BB68E1" w14:paraId="42A111A9" w14:textId="77777777">
        <w:tc>
          <w:tcPr>
            <w:tcW w:w="0" w:type="auto"/>
            <w:shd w:val="clear" w:color="auto" w:fill="auto"/>
            <w:tcMar>
              <w:top w:w="40" w:type="dxa"/>
              <w:left w:w="40" w:type="dxa"/>
              <w:bottom w:w="40" w:type="dxa"/>
              <w:right w:w="40" w:type="dxa"/>
            </w:tcMar>
            <w:vAlign w:val="center"/>
          </w:tcPr>
          <w:p w14:paraId="42A1119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Argentina</w:t>
            </w:r>
          </w:p>
        </w:tc>
        <w:tc>
          <w:tcPr>
            <w:tcW w:w="0" w:type="auto"/>
            <w:shd w:val="clear" w:color="auto" w:fill="auto"/>
            <w:tcMar>
              <w:top w:w="40" w:type="dxa"/>
              <w:left w:w="40" w:type="dxa"/>
              <w:bottom w:w="40" w:type="dxa"/>
              <w:right w:w="40" w:type="dxa"/>
            </w:tcMar>
            <w:vAlign w:val="bottom"/>
          </w:tcPr>
          <w:p w14:paraId="42A1119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9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92</w:t>
            </w:r>
          </w:p>
        </w:tc>
        <w:tc>
          <w:tcPr>
            <w:tcW w:w="0" w:type="auto"/>
            <w:shd w:val="clear" w:color="auto" w:fill="auto"/>
            <w:vAlign w:val="bottom"/>
          </w:tcPr>
          <w:p w14:paraId="42A1119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9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9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19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A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A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1A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A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A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92</w:t>
            </w:r>
          </w:p>
        </w:tc>
        <w:tc>
          <w:tcPr>
            <w:tcW w:w="0" w:type="auto"/>
            <w:shd w:val="clear" w:color="auto" w:fill="auto"/>
            <w:vAlign w:val="bottom"/>
          </w:tcPr>
          <w:p w14:paraId="42A111A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A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A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8,095</w:t>
            </w:r>
          </w:p>
        </w:tc>
        <w:tc>
          <w:tcPr>
            <w:tcW w:w="0" w:type="auto"/>
            <w:shd w:val="clear" w:color="auto" w:fill="auto"/>
            <w:vAlign w:val="bottom"/>
          </w:tcPr>
          <w:p w14:paraId="42A111A8" w14:textId="77777777" w:rsidR="00BB68E1" w:rsidRDefault="00BB68E1">
            <w:pPr>
              <w:textAlignment w:val="bottom"/>
              <w:rPr>
                <w:rFonts w:ascii="Times New Roman" w:hAnsi="Times New Roman"/>
                <w:sz w:val="20"/>
                <w:szCs w:val="20"/>
              </w:rPr>
            </w:pPr>
          </w:p>
        </w:tc>
      </w:tr>
      <w:tr w:rsidR="00BB68E1" w14:paraId="42A111BA" w14:textId="77777777">
        <w:tc>
          <w:tcPr>
            <w:tcW w:w="0" w:type="auto"/>
            <w:shd w:val="clear" w:color="auto" w:fill="CCEEFF"/>
            <w:tcMar>
              <w:top w:w="40" w:type="dxa"/>
              <w:left w:w="40" w:type="dxa"/>
              <w:bottom w:w="40" w:type="dxa"/>
              <w:right w:w="40" w:type="dxa"/>
            </w:tcMar>
            <w:vAlign w:val="center"/>
          </w:tcPr>
          <w:p w14:paraId="42A111A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Canada</w:t>
            </w:r>
          </w:p>
        </w:tc>
        <w:tc>
          <w:tcPr>
            <w:tcW w:w="0" w:type="auto"/>
            <w:shd w:val="clear" w:color="auto" w:fill="CCEEFF"/>
            <w:tcMar>
              <w:top w:w="40" w:type="dxa"/>
              <w:left w:w="40" w:type="dxa"/>
              <w:bottom w:w="40" w:type="dxa"/>
              <w:right w:w="40" w:type="dxa"/>
            </w:tcMar>
            <w:vAlign w:val="bottom"/>
          </w:tcPr>
          <w:p w14:paraId="42A111A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A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408</w:t>
            </w:r>
          </w:p>
        </w:tc>
        <w:tc>
          <w:tcPr>
            <w:tcW w:w="0" w:type="auto"/>
            <w:shd w:val="clear" w:color="auto" w:fill="CCEEFF"/>
            <w:vAlign w:val="bottom"/>
          </w:tcPr>
          <w:p w14:paraId="42A111A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A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A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1B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B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B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1B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B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408</w:t>
            </w:r>
          </w:p>
        </w:tc>
        <w:tc>
          <w:tcPr>
            <w:tcW w:w="0" w:type="auto"/>
            <w:shd w:val="clear" w:color="auto" w:fill="CCEEFF"/>
            <w:vAlign w:val="bottom"/>
          </w:tcPr>
          <w:p w14:paraId="42A111B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B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B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52,936</w:t>
            </w:r>
          </w:p>
        </w:tc>
        <w:tc>
          <w:tcPr>
            <w:tcW w:w="0" w:type="auto"/>
            <w:shd w:val="clear" w:color="auto" w:fill="CCEEFF"/>
            <w:vAlign w:val="bottom"/>
          </w:tcPr>
          <w:p w14:paraId="42A111B9" w14:textId="77777777" w:rsidR="00BB68E1" w:rsidRDefault="00BB68E1">
            <w:pPr>
              <w:textAlignment w:val="bottom"/>
              <w:rPr>
                <w:rFonts w:ascii="Times New Roman" w:hAnsi="Times New Roman"/>
                <w:sz w:val="20"/>
                <w:szCs w:val="20"/>
              </w:rPr>
            </w:pPr>
          </w:p>
        </w:tc>
      </w:tr>
      <w:tr w:rsidR="00BB68E1" w14:paraId="42A111CB" w14:textId="77777777">
        <w:tc>
          <w:tcPr>
            <w:tcW w:w="0" w:type="auto"/>
            <w:shd w:val="clear" w:color="auto" w:fill="auto"/>
            <w:tcMar>
              <w:top w:w="40" w:type="dxa"/>
              <w:left w:w="40" w:type="dxa"/>
              <w:bottom w:w="40" w:type="dxa"/>
              <w:right w:w="40" w:type="dxa"/>
            </w:tcMar>
            <w:vAlign w:val="center"/>
          </w:tcPr>
          <w:p w14:paraId="42A111B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Central America</w:t>
            </w:r>
            <w:r>
              <w:rPr>
                <w:rFonts w:ascii="Times New Roman" w:eastAsia="宋体" w:hAnsi="Times New Roman"/>
                <w:sz w:val="10"/>
                <w:szCs w:val="10"/>
              </w:rPr>
              <w:t>(5)</w:t>
            </w:r>
          </w:p>
        </w:tc>
        <w:tc>
          <w:tcPr>
            <w:tcW w:w="0" w:type="auto"/>
            <w:shd w:val="clear" w:color="auto" w:fill="auto"/>
            <w:tcMar>
              <w:top w:w="40" w:type="dxa"/>
              <w:left w:w="40" w:type="dxa"/>
              <w:bottom w:w="40" w:type="dxa"/>
              <w:right w:w="40" w:type="dxa"/>
            </w:tcMar>
            <w:vAlign w:val="bottom"/>
          </w:tcPr>
          <w:p w14:paraId="42A111B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B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836</w:t>
            </w:r>
          </w:p>
        </w:tc>
        <w:tc>
          <w:tcPr>
            <w:tcW w:w="0" w:type="auto"/>
            <w:shd w:val="clear" w:color="auto" w:fill="auto"/>
            <w:vAlign w:val="bottom"/>
          </w:tcPr>
          <w:p w14:paraId="42A111B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C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1C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C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1C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C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C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836</w:t>
            </w:r>
          </w:p>
        </w:tc>
        <w:tc>
          <w:tcPr>
            <w:tcW w:w="0" w:type="auto"/>
            <w:shd w:val="clear" w:color="auto" w:fill="auto"/>
            <w:vAlign w:val="bottom"/>
          </w:tcPr>
          <w:p w14:paraId="42A111C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C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13,460</w:t>
            </w:r>
          </w:p>
        </w:tc>
        <w:tc>
          <w:tcPr>
            <w:tcW w:w="0" w:type="auto"/>
            <w:shd w:val="clear" w:color="auto" w:fill="auto"/>
            <w:vAlign w:val="bottom"/>
          </w:tcPr>
          <w:p w14:paraId="42A111CA" w14:textId="77777777" w:rsidR="00BB68E1" w:rsidRDefault="00BB68E1">
            <w:pPr>
              <w:textAlignment w:val="bottom"/>
              <w:rPr>
                <w:rFonts w:ascii="Times New Roman" w:hAnsi="Times New Roman"/>
                <w:sz w:val="20"/>
                <w:szCs w:val="20"/>
              </w:rPr>
            </w:pPr>
          </w:p>
        </w:tc>
      </w:tr>
      <w:tr w:rsidR="00BB68E1" w14:paraId="42A111DC" w14:textId="77777777">
        <w:tc>
          <w:tcPr>
            <w:tcW w:w="0" w:type="auto"/>
            <w:shd w:val="clear" w:color="auto" w:fill="CCEEFF"/>
            <w:tcMar>
              <w:top w:w="40" w:type="dxa"/>
              <w:left w:w="40" w:type="dxa"/>
              <w:bottom w:w="40" w:type="dxa"/>
              <w:right w:w="40" w:type="dxa"/>
            </w:tcMar>
            <w:vAlign w:val="center"/>
          </w:tcPr>
          <w:p w14:paraId="42A111C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Chile</w:t>
            </w:r>
          </w:p>
        </w:tc>
        <w:tc>
          <w:tcPr>
            <w:tcW w:w="0" w:type="auto"/>
            <w:shd w:val="clear" w:color="auto" w:fill="CCEEFF"/>
            <w:tcMar>
              <w:top w:w="40" w:type="dxa"/>
              <w:left w:w="40" w:type="dxa"/>
              <w:bottom w:w="40" w:type="dxa"/>
              <w:right w:w="40" w:type="dxa"/>
            </w:tcMar>
            <w:vAlign w:val="bottom"/>
          </w:tcPr>
          <w:p w14:paraId="42A111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C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362</w:t>
            </w:r>
          </w:p>
        </w:tc>
        <w:tc>
          <w:tcPr>
            <w:tcW w:w="0" w:type="auto"/>
            <w:shd w:val="clear" w:color="auto" w:fill="CCEEFF"/>
            <w:vAlign w:val="bottom"/>
          </w:tcPr>
          <w:p w14:paraId="42A111C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D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D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w:t>
            </w:r>
          </w:p>
        </w:tc>
        <w:tc>
          <w:tcPr>
            <w:tcW w:w="0" w:type="auto"/>
            <w:shd w:val="clear" w:color="auto" w:fill="CCEEFF"/>
            <w:vAlign w:val="bottom"/>
          </w:tcPr>
          <w:p w14:paraId="42A111D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D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1D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D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367</w:t>
            </w:r>
          </w:p>
        </w:tc>
        <w:tc>
          <w:tcPr>
            <w:tcW w:w="0" w:type="auto"/>
            <w:shd w:val="clear" w:color="auto" w:fill="CCEEFF"/>
            <w:vAlign w:val="bottom"/>
          </w:tcPr>
          <w:p w14:paraId="42A111D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D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D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15,992</w:t>
            </w:r>
          </w:p>
        </w:tc>
        <w:tc>
          <w:tcPr>
            <w:tcW w:w="0" w:type="auto"/>
            <w:shd w:val="clear" w:color="auto" w:fill="CCEEFF"/>
            <w:vAlign w:val="bottom"/>
          </w:tcPr>
          <w:p w14:paraId="42A111DB" w14:textId="77777777" w:rsidR="00BB68E1" w:rsidRDefault="00BB68E1">
            <w:pPr>
              <w:textAlignment w:val="bottom"/>
              <w:rPr>
                <w:rFonts w:ascii="Times New Roman" w:hAnsi="Times New Roman"/>
                <w:sz w:val="20"/>
                <w:szCs w:val="20"/>
              </w:rPr>
            </w:pPr>
          </w:p>
        </w:tc>
      </w:tr>
      <w:tr w:rsidR="00BB68E1" w14:paraId="42A111ED" w14:textId="77777777">
        <w:tc>
          <w:tcPr>
            <w:tcW w:w="0" w:type="auto"/>
            <w:shd w:val="clear" w:color="auto" w:fill="auto"/>
            <w:tcMar>
              <w:top w:w="40" w:type="dxa"/>
              <w:left w:w="40" w:type="dxa"/>
              <w:bottom w:w="40" w:type="dxa"/>
              <w:right w:w="40" w:type="dxa"/>
            </w:tcMar>
            <w:vAlign w:val="center"/>
          </w:tcPr>
          <w:p w14:paraId="42A111D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China</w:t>
            </w:r>
          </w:p>
        </w:tc>
        <w:tc>
          <w:tcPr>
            <w:tcW w:w="0" w:type="auto"/>
            <w:shd w:val="clear" w:color="auto" w:fill="auto"/>
            <w:tcMar>
              <w:top w:w="40" w:type="dxa"/>
              <w:left w:w="40" w:type="dxa"/>
              <w:bottom w:w="40" w:type="dxa"/>
              <w:right w:w="40" w:type="dxa"/>
            </w:tcMar>
            <w:vAlign w:val="bottom"/>
          </w:tcPr>
          <w:p w14:paraId="42A111D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D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412</w:t>
            </w:r>
          </w:p>
        </w:tc>
        <w:tc>
          <w:tcPr>
            <w:tcW w:w="0" w:type="auto"/>
            <w:shd w:val="clear" w:color="auto" w:fill="auto"/>
            <w:vAlign w:val="bottom"/>
          </w:tcPr>
          <w:p w14:paraId="42A111E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E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E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w:t>
            </w:r>
          </w:p>
        </w:tc>
        <w:tc>
          <w:tcPr>
            <w:tcW w:w="0" w:type="auto"/>
            <w:shd w:val="clear" w:color="auto" w:fill="auto"/>
            <w:vAlign w:val="bottom"/>
          </w:tcPr>
          <w:p w14:paraId="42A111E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E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E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1E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E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E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438</w:t>
            </w:r>
          </w:p>
        </w:tc>
        <w:tc>
          <w:tcPr>
            <w:tcW w:w="0" w:type="auto"/>
            <w:shd w:val="clear" w:color="auto" w:fill="auto"/>
            <w:vAlign w:val="bottom"/>
          </w:tcPr>
          <w:p w14:paraId="42A111E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1E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1E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70,163</w:t>
            </w:r>
          </w:p>
        </w:tc>
        <w:tc>
          <w:tcPr>
            <w:tcW w:w="0" w:type="auto"/>
            <w:shd w:val="clear" w:color="auto" w:fill="auto"/>
            <w:vAlign w:val="bottom"/>
          </w:tcPr>
          <w:p w14:paraId="42A111EC" w14:textId="77777777" w:rsidR="00BB68E1" w:rsidRDefault="00BB68E1">
            <w:pPr>
              <w:textAlignment w:val="bottom"/>
              <w:rPr>
                <w:rFonts w:ascii="Times New Roman" w:hAnsi="Times New Roman"/>
                <w:sz w:val="20"/>
                <w:szCs w:val="20"/>
              </w:rPr>
            </w:pPr>
          </w:p>
        </w:tc>
      </w:tr>
      <w:tr w:rsidR="00BB68E1" w14:paraId="42A111FE" w14:textId="77777777">
        <w:tc>
          <w:tcPr>
            <w:tcW w:w="0" w:type="auto"/>
            <w:shd w:val="clear" w:color="auto" w:fill="CCEEFF"/>
            <w:tcMar>
              <w:top w:w="40" w:type="dxa"/>
              <w:left w:w="40" w:type="dxa"/>
              <w:bottom w:w="40" w:type="dxa"/>
              <w:right w:w="40" w:type="dxa"/>
            </w:tcMar>
            <w:vAlign w:val="center"/>
          </w:tcPr>
          <w:p w14:paraId="42A111E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India</w:t>
            </w:r>
          </w:p>
        </w:tc>
        <w:tc>
          <w:tcPr>
            <w:tcW w:w="0" w:type="auto"/>
            <w:shd w:val="clear" w:color="auto" w:fill="CCEEFF"/>
            <w:tcMar>
              <w:top w:w="40" w:type="dxa"/>
              <w:left w:w="40" w:type="dxa"/>
              <w:bottom w:w="40" w:type="dxa"/>
              <w:right w:w="40" w:type="dxa"/>
            </w:tcMar>
            <w:vAlign w:val="bottom"/>
          </w:tcPr>
          <w:p w14:paraId="42A111E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F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1F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F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F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CCEEFF"/>
            <w:vAlign w:val="bottom"/>
          </w:tcPr>
          <w:p w14:paraId="42A111F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F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F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1F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F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F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CCEEFF"/>
            <w:vAlign w:val="bottom"/>
          </w:tcPr>
          <w:p w14:paraId="42A111F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1F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1F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1,514</w:t>
            </w:r>
          </w:p>
        </w:tc>
        <w:tc>
          <w:tcPr>
            <w:tcW w:w="0" w:type="auto"/>
            <w:shd w:val="clear" w:color="auto" w:fill="CCEEFF"/>
            <w:vAlign w:val="bottom"/>
          </w:tcPr>
          <w:p w14:paraId="42A111FD" w14:textId="77777777" w:rsidR="00BB68E1" w:rsidRDefault="00BB68E1">
            <w:pPr>
              <w:textAlignment w:val="bottom"/>
              <w:rPr>
                <w:rFonts w:ascii="Times New Roman" w:hAnsi="Times New Roman"/>
                <w:sz w:val="20"/>
                <w:szCs w:val="20"/>
              </w:rPr>
            </w:pPr>
          </w:p>
        </w:tc>
      </w:tr>
      <w:tr w:rsidR="00BB68E1" w14:paraId="42A1120F" w14:textId="77777777">
        <w:tc>
          <w:tcPr>
            <w:tcW w:w="0" w:type="auto"/>
            <w:shd w:val="clear" w:color="auto" w:fill="auto"/>
            <w:tcMar>
              <w:top w:w="40" w:type="dxa"/>
              <w:left w:w="40" w:type="dxa"/>
              <w:bottom w:w="40" w:type="dxa"/>
              <w:right w:w="40" w:type="dxa"/>
            </w:tcMar>
            <w:vAlign w:val="center"/>
          </w:tcPr>
          <w:p w14:paraId="42A111F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Japan</w:t>
            </w:r>
          </w:p>
        </w:tc>
        <w:tc>
          <w:tcPr>
            <w:tcW w:w="0" w:type="auto"/>
            <w:shd w:val="clear" w:color="auto" w:fill="auto"/>
            <w:tcMar>
              <w:top w:w="40" w:type="dxa"/>
              <w:left w:w="40" w:type="dxa"/>
              <w:bottom w:w="40" w:type="dxa"/>
              <w:right w:w="40" w:type="dxa"/>
            </w:tcMar>
            <w:vAlign w:val="bottom"/>
          </w:tcPr>
          <w:p w14:paraId="42A1120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0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333</w:t>
            </w:r>
          </w:p>
        </w:tc>
        <w:tc>
          <w:tcPr>
            <w:tcW w:w="0" w:type="auto"/>
            <w:shd w:val="clear" w:color="auto" w:fill="auto"/>
            <w:vAlign w:val="bottom"/>
          </w:tcPr>
          <w:p w14:paraId="42A1120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20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0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20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20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0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20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20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0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333</w:t>
            </w:r>
          </w:p>
        </w:tc>
        <w:tc>
          <w:tcPr>
            <w:tcW w:w="0" w:type="auto"/>
            <w:shd w:val="clear" w:color="auto" w:fill="auto"/>
            <w:vAlign w:val="bottom"/>
          </w:tcPr>
          <w:p w14:paraId="42A1120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20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0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19,832</w:t>
            </w:r>
          </w:p>
        </w:tc>
        <w:tc>
          <w:tcPr>
            <w:tcW w:w="0" w:type="auto"/>
            <w:shd w:val="clear" w:color="auto" w:fill="auto"/>
            <w:vAlign w:val="bottom"/>
          </w:tcPr>
          <w:p w14:paraId="42A1120E" w14:textId="77777777" w:rsidR="00BB68E1" w:rsidRDefault="00BB68E1">
            <w:pPr>
              <w:textAlignment w:val="bottom"/>
              <w:rPr>
                <w:rFonts w:ascii="Times New Roman" w:hAnsi="Times New Roman"/>
                <w:sz w:val="20"/>
                <w:szCs w:val="20"/>
              </w:rPr>
            </w:pPr>
          </w:p>
        </w:tc>
      </w:tr>
      <w:tr w:rsidR="00BB68E1" w14:paraId="42A11220" w14:textId="77777777">
        <w:tc>
          <w:tcPr>
            <w:tcW w:w="0" w:type="auto"/>
            <w:shd w:val="clear" w:color="auto" w:fill="CCEEFF"/>
            <w:tcMar>
              <w:top w:w="40" w:type="dxa"/>
              <w:left w:w="40" w:type="dxa"/>
              <w:bottom w:w="40" w:type="dxa"/>
              <w:right w:w="40" w:type="dxa"/>
            </w:tcMar>
            <w:vAlign w:val="center"/>
          </w:tcPr>
          <w:p w14:paraId="42A1121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Mexico</w:t>
            </w:r>
          </w:p>
        </w:tc>
        <w:tc>
          <w:tcPr>
            <w:tcW w:w="0" w:type="auto"/>
            <w:shd w:val="clear" w:color="auto" w:fill="CCEEFF"/>
            <w:tcMar>
              <w:top w:w="40" w:type="dxa"/>
              <w:left w:w="40" w:type="dxa"/>
              <w:bottom w:w="40" w:type="dxa"/>
              <w:right w:w="40" w:type="dxa"/>
            </w:tcMar>
            <w:vAlign w:val="bottom"/>
          </w:tcPr>
          <w:p w14:paraId="42A1121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21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2,408</w:t>
            </w:r>
          </w:p>
        </w:tc>
        <w:tc>
          <w:tcPr>
            <w:tcW w:w="0" w:type="auto"/>
            <w:shd w:val="clear" w:color="auto" w:fill="CCEEFF"/>
            <w:vAlign w:val="bottom"/>
          </w:tcPr>
          <w:p w14:paraId="42A1121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21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21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163</w:t>
            </w:r>
          </w:p>
        </w:tc>
        <w:tc>
          <w:tcPr>
            <w:tcW w:w="0" w:type="auto"/>
            <w:shd w:val="clear" w:color="auto" w:fill="CCEEFF"/>
            <w:vAlign w:val="bottom"/>
          </w:tcPr>
          <w:p w14:paraId="42A1121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21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21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21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21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21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2,571</w:t>
            </w:r>
          </w:p>
        </w:tc>
        <w:tc>
          <w:tcPr>
            <w:tcW w:w="0" w:type="auto"/>
            <w:shd w:val="clear" w:color="auto" w:fill="CCEEFF"/>
            <w:vAlign w:val="bottom"/>
          </w:tcPr>
          <w:p w14:paraId="42A1121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21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21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100,643</w:t>
            </w:r>
          </w:p>
        </w:tc>
        <w:tc>
          <w:tcPr>
            <w:tcW w:w="0" w:type="auto"/>
            <w:shd w:val="clear" w:color="auto" w:fill="CCEEFF"/>
            <w:vAlign w:val="bottom"/>
          </w:tcPr>
          <w:p w14:paraId="42A1121F" w14:textId="77777777" w:rsidR="00BB68E1" w:rsidRDefault="00BB68E1">
            <w:pPr>
              <w:textAlignment w:val="bottom"/>
              <w:rPr>
                <w:rFonts w:ascii="Times New Roman" w:hAnsi="Times New Roman"/>
                <w:sz w:val="20"/>
                <w:szCs w:val="20"/>
              </w:rPr>
            </w:pPr>
          </w:p>
        </w:tc>
      </w:tr>
      <w:tr w:rsidR="00BB68E1" w14:paraId="42A11231" w14:textId="77777777">
        <w:tc>
          <w:tcPr>
            <w:tcW w:w="0" w:type="auto"/>
            <w:shd w:val="clear" w:color="auto" w:fill="auto"/>
            <w:tcMar>
              <w:top w:w="40" w:type="dxa"/>
              <w:left w:w="40" w:type="dxa"/>
              <w:bottom w:w="40" w:type="dxa"/>
              <w:right w:w="40" w:type="dxa"/>
            </w:tcMar>
            <w:vAlign w:val="center"/>
          </w:tcPr>
          <w:p w14:paraId="42A1122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United Kingdom</w:t>
            </w:r>
          </w:p>
        </w:tc>
        <w:tc>
          <w:tcPr>
            <w:tcW w:w="0" w:type="auto"/>
            <w:shd w:val="clear" w:color="auto" w:fill="auto"/>
            <w:tcMar>
              <w:top w:w="40" w:type="dxa"/>
              <w:left w:w="40" w:type="dxa"/>
              <w:bottom w:w="40" w:type="dxa"/>
              <w:right w:w="40" w:type="dxa"/>
            </w:tcMar>
            <w:vAlign w:val="bottom"/>
          </w:tcPr>
          <w:p w14:paraId="42A1122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2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613</w:t>
            </w:r>
          </w:p>
        </w:tc>
        <w:tc>
          <w:tcPr>
            <w:tcW w:w="0" w:type="auto"/>
            <w:shd w:val="clear" w:color="auto" w:fill="auto"/>
            <w:vAlign w:val="bottom"/>
          </w:tcPr>
          <w:p w14:paraId="42A1122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22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2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22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22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2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w:t>
            </w:r>
          </w:p>
        </w:tc>
        <w:tc>
          <w:tcPr>
            <w:tcW w:w="0" w:type="auto"/>
            <w:shd w:val="clear" w:color="auto" w:fill="auto"/>
            <w:vAlign w:val="bottom"/>
          </w:tcPr>
          <w:p w14:paraId="42A1122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22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2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631</w:t>
            </w:r>
          </w:p>
        </w:tc>
        <w:tc>
          <w:tcPr>
            <w:tcW w:w="0" w:type="auto"/>
            <w:shd w:val="clear" w:color="auto" w:fill="auto"/>
            <w:vAlign w:val="bottom"/>
          </w:tcPr>
          <w:p w14:paraId="42A1122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22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2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37,560</w:t>
            </w:r>
          </w:p>
        </w:tc>
        <w:tc>
          <w:tcPr>
            <w:tcW w:w="0" w:type="auto"/>
            <w:shd w:val="clear" w:color="auto" w:fill="auto"/>
            <w:vAlign w:val="bottom"/>
          </w:tcPr>
          <w:p w14:paraId="42A11230" w14:textId="77777777" w:rsidR="00BB68E1" w:rsidRDefault="00BB68E1">
            <w:pPr>
              <w:textAlignment w:val="bottom"/>
              <w:rPr>
                <w:rFonts w:ascii="Times New Roman" w:hAnsi="Times New Roman"/>
                <w:sz w:val="20"/>
                <w:szCs w:val="20"/>
              </w:rPr>
            </w:pPr>
          </w:p>
        </w:tc>
      </w:tr>
      <w:tr w:rsidR="00BB68E1" w14:paraId="42A11242" w14:textId="77777777">
        <w:tc>
          <w:tcPr>
            <w:tcW w:w="0" w:type="auto"/>
            <w:shd w:val="clear" w:color="auto" w:fill="CCEEFF"/>
            <w:tcMar>
              <w:top w:w="40" w:type="dxa"/>
              <w:left w:w="40" w:type="dxa"/>
              <w:bottom w:w="40" w:type="dxa"/>
              <w:right w:w="40" w:type="dxa"/>
            </w:tcMar>
            <w:vAlign w:val="center"/>
          </w:tcPr>
          <w:p w14:paraId="42A11232"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International total</w:t>
            </w:r>
          </w:p>
        </w:tc>
        <w:tc>
          <w:tcPr>
            <w:tcW w:w="0" w:type="auto"/>
            <w:shd w:val="clear" w:color="auto" w:fill="CCEEFF"/>
            <w:tcMar>
              <w:top w:w="40" w:type="dxa"/>
              <w:left w:w="40" w:type="dxa"/>
              <w:bottom w:w="40" w:type="dxa"/>
              <w:right w:w="40" w:type="dxa"/>
            </w:tcMar>
            <w:vAlign w:val="bottom"/>
          </w:tcPr>
          <w:p w14:paraId="42A1123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123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5,815</w:t>
            </w:r>
          </w:p>
        </w:tc>
        <w:tc>
          <w:tcPr>
            <w:tcW w:w="0" w:type="auto"/>
            <w:tcBorders>
              <w:top w:val="single" w:sz="8" w:space="0" w:color="000000"/>
              <w:bottom w:val="double" w:sz="6" w:space="0" w:color="000000"/>
            </w:tcBorders>
            <w:shd w:val="clear" w:color="auto" w:fill="CCEEFF"/>
            <w:vAlign w:val="bottom"/>
          </w:tcPr>
          <w:p w14:paraId="42A1123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23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123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313</w:t>
            </w:r>
          </w:p>
        </w:tc>
        <w:tc>
          <w:tcPr>
            <w:tcW w:w="0" w:type="auto"/>
            <w:tcBorders>
              <w:top w:val="single" w:sz="8" w:space="0" w:color="000000"/>
              <w:bottom w:val="double" w:sz="6" w:space="0" w:color="000000"/>
            </w:tcBorders>
            <w:shd w:val="clear" w:color="auto" w:fill="CCEEFF"/>
            <w:vAlign w:val="bottom"/>
          </w:tcPr>
          <w:p w14:paraId="42A1123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23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123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w:t>
            </w:r>
          </w:p>
        </w:tc>
        <w:tc>
          <w:tcPr>
            <w:tcW w:w="0" w:type="auto"/>
            <w:tcBorders>
              <w:top w:val="single" w:sz="8" w:space="0" w:color="000000"/>
              <w:bottom w:val="double" w:sz="6" w:space="0" w:color="000000"/>
            </w:tcBorders>
            <w:shd w:val="clear" w:color="auto" w:fill="CCEEFF"/>
            <w:vAlign w:val="bottom"/>
          </w:tcPr>
          <w:p w14:paraId="42A1123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2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123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6,146</w:t>
            </w:r>
          </w:p>
        </w:tc>
        <w:tc>
          <w:tcPr>
            <w:tcW w:w="0" w:type="auto"/>
            <w:tcBorders>
              <w:top w:val="single" w:sz="8" w:space="0" w:color="000000"/>
              <w:bottom w:val="double" w:sz="6" w:space="0" w:color="000000"/>
            </w:tcBorders>
            <w:shd w:val="clear" w:color="auto" w:fill="CCEEFF"/>
            <w:vAlign w:val="bottom"/>
          </w:tcPr>
          <w:p w14:paraId="42A1123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23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124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344,949</w:t>
            </w:r>
          </w:p>
        </w:tc>
        <w:tc>
          <w:tcPr>
            <w:tcW w:w="0" w:type="auto"/>
            <w:tcBorders>
              <w:top w:val="single" w:sz="8" w:space="0" w:color="000000"/>
              <w:bottom w:val="double" w:sz="6" w:space="0" w:color="000000"/>
            </w:tcBorders>
            <w:shd w:val="clear" w:color="auto" w:fill="CCEEFF"/>
            <w:vAlign w:val="bottom"/>
          </w:tcPr>
          <w:p w14:paraId="42A11241" w14:textId="77777777" w:rsidR="00BB68E1" w:rsidRDefault="00BB68E1">
            <w:pPr>
              <w:textAlignment w:val="bottom"/>
              <w:rPr>
                <w:rFonts w:ascii="Times New Roman" w:hAnsi="Times New Roman"/>
                <w:sz w:val="20"/>
                <w:szCs w:val="20"/>
              </w:rPr>
            </w:pPr>
          </w:p>
        </w:tc>
      </w:tr>
    </w:tbl>
    <w:p w14:paraId="42A11243"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BB68E1" w14:paraId="42A11246" w14:textId="77777777">
        <w:trPr>
          <w:tblCellSpacing w:w="0" w:type="dxa"/>
        </w:trPr>
        <w:tc>
          <w:tcPr>
            <w:tcW w:w="480" w:type="dxa"/>
            <w:shd w:val="clear" w:color="auto" w:fill="auto"/>
            <w:vAlign w:val="center"/>
          </w:tcPr>
          <w:p w14:paraId="42A11244" w14:textId="77777777" w:rsidR="00BB68E1" w:rsidRDefault="00BB68E1">
            <w:pPr>
              <w:rPr>
                <w:rFonts w:ascii="Times New Roman" w:hAnsi="Times New Roman"/>
                <w:sz w:val="20"/>
                <w:szCs w:val="20"/>
              </w:rPr>
            </w:pPr>
          </w:p>
        </w:tc>
        <w:tc>
          <w:tcPr>
            <w:tcW w:w="0" w:type="auto"/>
            <w:shd w:val="clear" w:color="auto" w:fill="auto"/>
            <w:vAlign w:val="center"/>
          </w:tcPr>
          <w:p w14:paraId="42A11245" w14:textId="77777777" w:rsidR="00BB68E1" w:rsidRDefault="00BB68E1">
            <w:pPr>
              <w:rPr>
                <w:rFonts w:ascii="Times New Roman" w:hAnsi="Times New Roman"/>
                <w:sz w:val="20"/>
                <w:szCs w:val="20"/>
              </w:rPr>
            </w:pPr>
          </w:p>
        </w:tc>
      </w:tr>
      <w:tr w:rsidR="00BB68E1" w14:paraId="42A11249" w14:textId="77777777">
        <w:trPr>
          <w:tblCellSpacing w:w="0" w:type="dxa"/>
        </w:trPr>
        <w:tc>
          <w:tcPr>
            <w:tcW w:w="0" w:type="auto"/>
            <w:shd w:val="clear" w:color="auto" w:fill="auto"/>
          </w:tcPr>
          <w:p w14:paraId="42A11247"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(1)</w:t>
            </w:r>
          </w:p>
        </w:tc>
        <w:tc>
          <w:tcPr>
            <w:tcW w:w="0" w:type="auto"/>
            <w:shd w:val="clear" w:color="auto" w:fill="auto"/>
          </w:tcPr>
          <w:p w14:paraId="42A11248"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 xml:space="preserve">Walmart International unit counts, with the exception of Canada, are as of December 31, 2019, to correspond with the balance sheet date of the related geographic market. Canada unit counts are </w:t>
            </w:r>
            <w:r>
              <w:rPr>
                <w:rFonts w:ascii="Times New Roman" w:eastAsia="宋体" w:hAnsi="Times New Roman"/>
                <w:sz w:val="16"/>
                <w:szCs w:val="16"/>
              </w:rPr>
              <w:t>as of January 31, 2020.</w:t>
            </w:r>
          </w:p>
        </w:tc>
      </w:tr>
    </w:tbl>
    <w:p w14:paraId="42A1124A"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2538"/>
      </w:tblGrid>
      <w:tr w:rsidR="00BB68E1" w14:paraId="42A1124D" w14:textId="77777777">
        <w:trPr>
          <w:tblCellSpacing w:w="0" w:type="dxa"/>
        </w:trPr>
        <w:tc>
          <w:tcPr>
            <w:tcW w:w="480" w:type="dxa"/>
            <w:shd w:val="clear" w:color="auto" w:fill="auto"/>
            <w:vAlign w:val="center"/>
          </w:tcPr>
          <w:p w14:paraId="42A1124B" w14:textId="77777777" w:rsidR="00BB68E1" w:rsidRDefault="00BB68E1">
            <w:pPr>
              <w:rPr>
                <w:rFonts w:ascii="Times New Roman" w:hAnsi="Times New Roman"/>
                <w:sz w:val="20"/>
                <w:szCs w:val="20"/>
              </w:rPr>
            </w:pPr>
          </w:p>
        </w:tc>
        <w:tc>
          <w:tcPr>
            <w:tcW w:w="0" w:type="auto"/>
            <w:shd w:val="clear" w:color="auto" w:fill="auto"/>
            <w:vAlign w:val="center"/>
          </w:tcPr>
          <w:p w14:paraId="42A1124C" w14:textId="77777777" w:rsidR="00BB68E1" w:rsidRDefault="00BB68E1">
            <w:pPr>
              <w:rPr>
                <w:rFonts w:ascii="Times New Roman" w:hAnsi="Times New Roman"/>
                <w:sz w:val="20"/>
                <w:szCs w:val="20"/>
              </w:rPr>
            </w:pPr>
          </w:p>
        </w:tc>
      </w:tr>
      <w:tr w:rsidR="00BB68E1" w14:paraId="42A11250" w14:textId="77777777">
        <w:trPr>
          <w:tblCellSpacing w:w="0" w:type="dxa"/>
        </w:trPr>
        <w:tc>
          <w:tcPr>
            <w:tcW w:w="0" w:type="auto"/>
            <w:shd w:val="clear" w:color="auto" w:fill="auto"/>
          </w:tcPr>
          <w:p w14:paraId="42A1124E"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(2)</w:t>
            </w:r>
          </w:p>
        </w:tc>
        <w:tc>
          <w:tcPr>
            <w:tcW w:w="0" w:type="auto"/>
            <w:shd w:val="clear" w:color="auto" w:fill="auto"/>
          </w:tcPr>
          <w:p w14:paraId="42A1124F"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Other includes stand-alone gas stations.</w:t>
            </w:r>
          </w:p>
        </w:tc>
      </w:tr>
    </w:tbl>
    <w:p w14:paraId="42A11251"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2182"/>
      </w:tblGrid>
      <w:tr w:rsidR="00BB68E1" w14:paraId="42A11254" w14:textId="77777777">
        <w:trPr>
          <w:tblCellSpacing w:w="0" w:type="dxa"/>
        </w:trPr>
        <w:tc>
          <w:tcPr>
            <w:tcW w:w="480" w:type="dxa"/>
            <w:shd w:val="clear" w:color="auto" w:fill="auto"/>
            <w:vAlign w:val="center"/>
          </w:tcPr>
          <w:p w14:paraId="42A11252" w14:textId="77777777" w:rsidR="00BB68E1" w:rsidRDefault="00BB68E1">
            <w:pPr>
              <w:rPr>
                <w:rFonts w:ascii="Times New Roman" w:hAnsi="Times New Roman"/>
                <w:sz w:val="20"/>
                <w:szCs w:val="20"/>
              </w:rPr>
            </w:pPr>
          </w:p>
        </w:tc>
        <w:tc>
          <w:tcPr>
            <w:tcW w:w="0" w:type="auto"/>
            <w:shd w:val="clear" w:color="auto" w:fill="auto"/>
            <w:vAlign w:val="center"/>
          </w:tcPr>
          <w:p w14:paraId="42A11253" w14:textId="77777777" w:rsidR="00BB68E1" w:rsidRDefault="00BB68E1">
            <w:pPr>
              <w:rPr>
                <w:rFonts w:ascii="Times New Roman" w:hAnsi="Times New Roman"/>
                <w:sz w:val="20"/>
                <w:szCs w:val="20"/>
              </w:rPr>
            </w:pPr>
          </w:p>
        </w:tc>
      </w:tr>
      <w:tr w:rsidR="00BB68E1" w14:paraId="42A11257" w14:textId="77777777">
        <w:trPr>
          <w:tblCellSpacing w:w="0" w:type="dxa"/>
        </w:trPr>
        <w:tc>
          <w:tcPr>
            <w:tcW w:w="0" w:type="auto"/>
            <w:shd w:val="clear" w:color="auto" w:fill="auto"/>
          </w:tcPr>
          <w:p w14:paraId="42A11255"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(3)</w:t>
            </w:r>
          </w:p>
        </w:tc>
        <w:tc>
          <w:tcPr>
            <w:tcW w:w="0" w:type="auto"/>
            <w:shd w:val="clear" w:color="auto" w:fill="auto"/>
          </w:tcPr>
          <w:p w14:paraId="42A11256"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Square feet reported in thousands.</w:t>
            </w:r>
          </w:p>
        </w:tc>
      </w:tr>
    </w:tbl>
    <w:p w14:paraId="42A11258"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BB68E1" w14:paraId="42A1125B" w14:textId="77777777">
        <w:trPr>
          <w:tblCellSpacing w:w="0" w:type="dxa"/>
        </w:trPr>
        <w:tc>
          <w:tcPr>
            <w:tcW w:w="480" w:type="dxa"/>
            <w:shd w:val="clear" w:color="auto" w:fill="auto"/>
            <w:vAlign w:val="center"/>
          </w:tcPr>
          <w:p w14:paraId="42A11259" w14:textId="77777777" w:rsidR="00BB68E1" w:rsidRDefault="00BB68E1">
            <w:pPr>
              <w:rPr>
                <w:rFonts w:ascii="Times New Roman" w:hAnsi="Times New Roman"/>
                <w:sz w:val="20"/>
                <w:szCs w:val="20"/>
              </w:rPr>
            </w:pPr>
          </w:p>
        </w:tc>
        <w:tc>
          <w:tcPr>
            <w:tcW w:w="0" w:type="auto"/>
            <w:shd w:val="clear" w:color="auto" w:fill="auto"/>
            <w:vAlign w:val="center"/>
          </w:tcPr>
          <w:p w14:paraId="42A1125A" w14:textId="77777777" w:rsidR="00BB68E1" w:rsidRDefault="00BB68E1">
            <w:pPr>
              <w:rPr>
                <w:rFonts w:ascii="Times New Roman" w:hAnsi="Times New Roman"/>
                <w:sz w:val="20"/>
                <w:szCs w:val="20"/>
              </w:rPr>
            </w:pPr>
          </w:p>
        </w:tc>
      </w:tr>
      <w:tr w:rsidR="00BB68E1" w14:paraId="42A1125E" w14:textId="77777777">
        <w:trPr>
          <w:tblCellSpacing w:w="0" w:type="dxa"/>
        </w:trPr>
        <w:tc>
          <w:tcPr>
            <w:tcW w:w="0" w:type="auto"/>
            <w:shd w:val="clear" w:color="auto" w:fill="auto"/>
          </w:tcPr>
          <w:p w14:paraId="42A1125C"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(4)</w:t>
            </w:r>
          </w:p>
        </w:tc>
        <w:tc>
          <w:tcPr>
            <w:tcW w:w="0" w:type="auto"/>
            <w:shd w:val="clear" w:color="auto" w:fill="auto"/>
          </w:tcPr>
          <w:p w14:paraId="42A1125D"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 xml:space="preserve">Africa unit counts primarily reside in South Africa, with other locations in Botswana, Ghana, Kenya, Lesotho, Malawi, </w:t>
            </w:r>
            <w:r>
              <w:rPr>
                <w:rFonts w:ascii="Times New Roman" w:eastAsia="宋体" w:hAnsi="Times New Roman"/>
                <w:sz w:val="16"/>
                <w:szCs w:val="16"/>
              </w:rPr>
              <w:t>Mozambique, Namibia, Nigeria, South Africa, Swaziland, Tanzania, Uganda and Zambia.</w:t>
            </w:r>
          </w:p>
        </w:tc>
      </w:tr>
    </w:tbl>
    <w:p w14:paraId="42A1125F"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6447"/>
      </w:tblGrid>
      <w:tr w:rsidR="00BB68E1" w14:paraId="42A11262" w14:textId="77777777">
        <w:trPr>
          <w:tblCellSpacing w:w="0" w:type="dxa"/>
        </w:trPr>
        <w:tc>
          <w:tcPr>
            <w:tcW w:w="480" w:type="dxa"/>
            <w:shd w:val="clear" w:color="auto" w:fill="auto"/>
            <w:vAlign w:val="center"/>
          </w:tcPr>
          <w:p w14:paraId="42A11260" w14:textId="77777777" w:rsidR="00BB68E1" w:rsidRDefault="00BB68E1">
            <w:pPr>
              <w:rPr>
                <w:rFonts w:ascii="Times New Roman" w:hAnsi="Times New Roman"/>
                <w:sz w:val="20"/>
                <w:szCs w:val="20"/>
              </w:rPr>
            </w:pPr>
          </w:p>
        </w:tc>
        <w:tc>
          <w:tcPr>
            <w:tcW w:w="0" w:type="auto"/>
            <w:shd w:val="clear" w:color="auto" w:fill="auto"/>
            <w:vAlign w:val="center"/>
          </w:tcPr>
          <w:p w14:paraId="42A11261" w14:textId="77777777" w:rsidR="00BB68E1" w:rsidRDefault="00BB68E1">
            <w:pPr>
              <w:rPr>
                <w:rFonts w:ascii="Times New Roman" w:hAnsi="Times New Roman"/>
                <w:sz w:val="20"/>
                <w:szCs w:val="20"/>
              </w:rPr>
            </w:pPr>
          </w:p>
        </w:tc>
      </w:tr>
      <w:tr w:rsidR="00BB68E1" w14:paraId="42A11265" w14:textId="77777777">
        <w:trPr>
          <w:tblCellSpacing w:w="0" w:type="dxa"/>
        </w:trPr>
        <w:tc>
          <w:tcPr>
            <w:tcW w:w="0" w:type="auto"/>
            <w:shd w:val="clear" w:color="auto" w:fill="auto"/>
          </w:tcPr>
          <w:p w14:paraId="42A11263"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(5)</w:t>
            </w:r>
          </w:p>
        </w:tc>
        <w:tc>
          <w:tcPr>
            <w:tcW w:w="0" w:type="auto"/>
            <w:shd w:val="clear" w:color="auto" w:fill="auto"/>
          </w:tcPr>
          <w:p w14:paraId="42A11264"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Central America unit counts reside in Costa Rica, El Salvador, Guatemala, Honduras and Nicaragua.</w:t>
            </w:r>
          </w:p>
        </w:tc>
      </w:tr>
    </w:tbl>
    <w:p w14:paraId="42A11266" w14:textId="77777777" w:rsidR="00BB68E1" w:rsidRDefault="00BB68E1">
      <w:pPr>
        <w:spacing w:line="288" w:lineRule="auto"/>
        <w:rPr>
          <w:rFonts w:ascii="Times New Roman" w:hAnsi="Times New Roman"/>
          <w:sz w:val="16"/>
          <w:szCs w:val="16"/>
        </w:rPr>
      </w:pPr>
    </w:p>
    <w:p w14:paraId="42A11267" w14:textId="77777777" w:rsidR="00BB68E1" w:rsidRDefault="00BB68E1">
      <w:pPr>
        <w:spacing w:line="288" w:lineRule="auto"/>
        <w:rPr>
          <w:rFonts w:ascii="Times New Roman" w:hAnsi="Times New Roman"/>
          <w:sz w:val="20"/>
          <w:szCs w:val="20"/>
        </w:rPr>
      </w:pPr>
    </w:p>
    <w:p w14:paraId="42A11268" w14:textId="77777777" w:rsidR="00BB68E1" w:rsidRDefault="00BB68E1">
      <w:pPr>
        <w:rPr>
          <w:rFonts w:ascii="Times New Roman" w:hAnsi="Times New Roman"/>
          <w:sz w:val="20"/>
          <w:szCs w:val="20"/>
        </w:rPr>
      </w:pPr>
    </w:p>
    <w:p w14:paraId="42A11269"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25</w:t>
      </w:r>
    </w:p>
    <w:p w14:paraId="42A1126A" w14:textId="77777777" w:rsidR="00BB68E1" w:rsidRDefault="00BB68E1">
      <w:pPr>
        <w:spacing w:line="288" w:lineRule="auto"/>
        <w:jc w:val="center"/>
        <w:rPr>
          <w:rFonts w:ascii="Times New Roman" w:hAnsi="Times New Roman"/>
          <w:sz w:val="20"/>
          <w:szCs w:val="20"/>
        </w:rPr>
      </w:pPr>
    </w:p>
    <w:p w14:paraId="42A1126B" w14:textId="77777777" w:rsidR="00BB68E1" w:rsidRDefault="005D2D5E">
      <w:r>
        <w:rPr>
          <w:rFonts w:ascii="Times New Roman" w:hAnsi="Times New Roman"/>
          <w:sz w:val="20"/>
          <w:szCs w:val="20"/>
        </w:rPr>
        <w:pict w14:anchorId="42A1428E">
          <v:rect id="_x0000_i1049" style="width:415.3pt;height:1.5pt" o:hralign="center" o:hrstd="t" o:hr="t" fillcolor="#a0a0a0" stroked="f"/>
        </w:pict>
      </w:r>
    </w:p>
    <w:p w14:paraId="42A1126C" w14:textId="77777777" w:rsidR="00BB68E1" w:rsidRDefault="00BB68E1">
      <w:pPr>
        <w:rPr>
          <w:rFonts w:ascii="Times New Roman" w:hAnsi="Times New Roman"/>
          <w:sz w:val="20"/>
          <w:szCs w:val="20"/>
        </w:rPr>
      </w:pPr>
    </w:p>
    <w:p w14:paraId="42A1126D"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Owned and Leased Properties</w:t>
      </w:r>
    </w:p>
    <w:p w14:paraId="42A1126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following table provides further details of our retail units and distribution facilities, including return facilities and dedicated eCommerce fulfillment centers, as of January 31, 2020: </w:t>
      </w:r>
    </w:p>
    <w:tbl>
      <w:tblPr>
        <w:tblW w:w="5000" w:type="pct"/>
        <w:tblCellMar>
          <w:left w:w="0" w:type="dxa"/>
          <w:right w:w="0" w:type="dxa"/>
        </w:tblCellMar>
        <w:tblLook w:val="04A0" w:firstRow="1" w:lastRow="0" w:firstColumn="1" w:lastColumn="0" w:noHBand="0" w:noVBand="1"/>
      </w:tblPr>
      <w:tblGrid>
        <w:gridCol w:w="5794"/>
        <w:gridCol w:w="130"/>
        <w:gridCol w:w="644"/>
        <w:gridCol w:w="63"/>
        <w:gridCol w:w="130"/>
        <w:gridCol w:w="644"/>
        <w:gridCol w:w="75"/>
        <w:gridCol w:w="130"/>
        <w:gridCol w:w="632"/>
        <w:gridCol w:w="64"/>
      </w:tblGrid>
      <w:tr w:rsidR="00BB68E1" w14:paraId="42A11270" w14:textId="77777777">
        <w:tc>
          <w:tcPr>
            <w:tcW w:w="0" w:type="auto"/>
            <w:gridSpan w:val="10"/>
            <w:shd w:val="clear" w:color="auto" w:fill="auto"/>
            <w:vAlign w:val="center"/>
          </w:tcPr>
          <w:p w14:paraId="42A1126F" w14:textId="77777777" w:rsidR="00BB68E1" w:rsidRDefault="00BB68E1">
            <w:pPr>
              <w:rPr>
                <w:rFonts w:ascii="Times New Roman" w:hAnsi="Times New Roman"/>
                <w:sz w:val="20"/>
                <w:szCs w:val="20"/>
              </w:rPr>
            </w:pPr>
          </w:p>
        </w:tc>
      </w:tr>
      <w:tr w:rsidR="00BB68E1" w14:paraId="42A1127B" w14:textId="77777777">
        <w:tc>
          <w:tcPr>
            <w:tcW w:w="3500" w:type="pct"/>
            <w:shd w:val="clear" w:color="auto" w:fill="auto"/>
            <w:vAlign w:val="center"/>
          </w:tcPr>
          <w:p w14:paraId="42A11271" w14:textId="77777777" w:rsidR="00BB68E1" w:rsidRDefault="00BB68E1">
            <w:pPr>
              <w:rPr>
                <w:rFonts w:ascii="Times New Roman" w:hAnsi="Times New Roman"/>
                <w:sz w:val="20"/>
                <w:szCs w:val="20"/>
              </w:rPr>
            </w:pPr>
          </w:p>
        </w:tc>
        <w:tc>
          <w:tcPr>
            <w:tcW w:w="50" w:type="pct"/>
            <w:shd w:val="clear" w:color="auto" w:fill="auto"/>
            <w:vAlign w:val="center"/>
          </w:tcPr>
          <w:p w14:paraId="42A11272" w14:textId="77777777" w:rsidR="00BB68E1" w:rsidRDefault="00BB68E1">
            <w:pPr>
              <w:rPr>
                <w:rFonts w:ascii="Times New Roman" w:hAnsi="Times New Roman"/>
                <w:sz w:val="20"/>
                <w:szCs w:val="20"/>
              </w:rPr>
            </w:pPr>
          </w:p>
        </w:tc>
        <w:tc>
          <w:tcPr>
            <w:tcW w:w="400" w:type="pct"/>
            <w:shd w:val="clear" w:color="auto" w:fill="auto"/>
            <w:vAlign w:val="center"/>
          </w:tcPr>
          <w:p w14:paraId="42A11273" w14:textId="77777777" w:rsidR="00BB68E1" w:rsidRDefault="00BB68E1">
            <w:pPr>
              <w:rPr>
                <w:rFonts w:ascii="Times New Roman" w:hAnsi="Times New Roman"/>
                <w:sz w:val="20"/>
                <w:szCs w:val="20"/>
              </w:rPr>
            </w:pPr>
          </w:p>
        </w:tc>
        <w:tc>
          <w:tcPr>
            <w:tcW w:w="50" w:type="pct"/>
            <w:shd w:val="clear" w:color="auto" w:fill="auto"/>
            <w:vAlign w:val="center"/>
          </w:tcPr>
          <w:p w14:paraId="42A11274" w14:textId="77777777" w:rsidR="00BB68E1" w:rsidRDefault="00BB68E1">
            <w:pPr>
              <w:rPr>
                <w:rFonts w:ascii="Times New Roman" w:hAnsi="Times New Roman"/>
                <w:sz w:val="20"/>
                <w:szCs w:val="20"/>
              </w:rPr>
            </w:pPr>
          </w:p>
        </w:tc>
        <w:tc>
          <w:tcPr>
            <w:tcW w:w="50" w:type="pct"/>
            <w:shd w:val="clear" w:color="auto" w:fill="auto"/>
            <w:vAlign w:val="center"/>
          </w:tcPr>
          <w:p w14:paraId="42A11275" w14:textId="77777777" w:rsidR="00BB68E1" w:rsidRDefault="00BB68E1">
            <w:pPr>
              <w:rPr>
                <w:rFonts w:ascii="Times New Roman" w:hAnsi="Times New Roman"/>
                <w:sz w:val="20"/>
                <w:szCs w:val="20"/>
              </w:rPr>
            </w:pPr>
          </w:p>
        </w:tc>
        <w:tc>
          <w:tcPr>
            <w:tcW w:w="400" w:type="pct"/>
            <w:shd w:val="clear" w:color="auto" w:fill="auto"/>
            <w:vAlign w:val="center"/>
          </w:tcPr>
          <w:p w14:paraId="42A11276" w14:textId="77777777" w:rsidR="00BB68E1" w:rsidRDefault="00BB68E1">
            <w:pPr>
              <w:rPr>
                <w:rFonts w:ascii="Times New Roman" w:hAnsi="Times New Roman"/>
                <w:sz w:val="20"/>
                <w:szCs w:val="20"/>
              </w:rPr>
            </w:pPr>
          </w:p>
        </w:tc>
        <w:tc>
          <w:tcPr>
            <w:tcW w:w="50" w:type="pct"/>
            <w:shd w:val="clear" w:color="auto" w:fill="auto"/>
            <w:vAlign w:val="center"/>
          </w:tcPr>
          <w:p w14:paraId="42A11277" w14:textId="77777777" w:rsidR="00BB68E1" w:rsidRDefault="00BB68E1">
            <w:pPr>
              <w:rPr>
                <w:rFonts w:ascii="Times New Roman" w:hAnsi="Times New Roman"/>
                <w:sz w:val="20"/>
                <w:szCs w:val="20"/>
              </w:rPr>
            </w:pPr>
          </w:p>
        </w:tc>
        <w:tc>
          <w:tcPr>
            <w:tcW w:w="50" w:type="pct"/>
            <w:shd w:val="clear" w:color="auto" w:fill="auto"/>
            <w:vAlign w:val="center"/>
          </w:tcPr>
          <w:p w14:paraId="42A11278" w14:textId="77777777" w:rsidR="00BB68E1" w:rsidRDefault="00BB68E1">
            <w:pPr>
              <w:rPr>
                <w:rFonts w:ascii="Times New Roman" w:hAnsi="Times New Roman"/>
                <w:sz w:val="20"/>
                <w:szCs w:val="20"/>
              </w:rPr>
            </w:pPr>
          </w:p>
        </w:tc>
        <w:tc>
          <w:tcPr>
            <w:tcW w:w="400" w:type="pct"/>
            <w:shd w:val="clear" w:color="auto" w:fill="auto"/>
            <w:vAlign w:val="center"/>
          </w:tcPr>
          <w:p w14:paraId="42A11279" w14:textId="77777777" w:rsidR="00BB68E1" w:rsidRDefault="00BB68E1">
            <w:pPr>
              <w:rPr>
                <w:rFonts w:ascii="Times New Roman" w:hAnsi="Times New Roman"/>
                <w:sz w:val="20"/>
                <w:szCs w:val="20"/>
              </w:rPr>
            </w:pPr>
          </w:p>
        </w:tc>
        <w:tc>
          <w:tcPr>
            <w:tcW w:w="50" w:type="pct"/>
            <w:shd w:val="clear" w:color="auto" w:fill="auto"/>
            <w:vAlign w:val="center"/>
          </w:tcPr>
          <w:p w14:paraId="42A1127A" w14:textId="77777777" w:rsidR="00BB68E1" w:rsidRDefault="00BB68E1">
            <w:pPr>
              <w:rPr>
                <w:rFonts w:ascii="Times New Roman" w:hAnsi="Times New Roman"/>
                <w:sz w:val="20"/>
                <w:szCs w:val="20"/>
              </w:rPr>
            </w:pPr>
          </w:p>
        </w:tc>
      </w:tr>
      <w:tr w:rsidR="00BB68E1" w14:paraId="42A11283" w14:textId="77777777">
        <w:tc>
          <w:tcPr>
            <w:tcW w:w="0" w:type="auto"/>
            <w:shd w:val="clear" w:color="auto" w:fill="auto"/>
            <w:tcMar>
              <w:top w:w="40" w:type="dxa"/>
              <w:left w:w="40" w:type="dxa"/>
              <w:bottom w:w="40" w:type="dxa"/>
              <w:right w:w="40" w:type="dxa"/>
            </w:tcMar>
            <w:vAlign w:val="bottom"/>
          </w:tcPr>
          <w:p w14:paraId="42A112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27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127E"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Owned</w:t>
            </w:r>
          </w:p>
        </w:tc>
        <w:tc>
          <w:tcPr>
            <w:tcW w:w="0" w:type="auto"/>
            <w:shd w:val="clear" w:color="auto" w:fill="auto"/>
            <w:tcMar>
              <w:top w:w="40" w:type="dxa"/>
              <w:left w:w="40" w:type="dxa"/>
              <w:bottom w:w="40" w:type="dxa"/>
              <w:right w:w="40" w:type="dxa"/>
            </w:tcMar>
            <w:vAlign w:val="bottom"/>
          </w:tcPr>
          <w:p w14:paraId="42A1127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1280"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Leased</w:t>
            </w:r>
            <w:r>
              <w:rPr>
                <w:rFonts w:ascii="Times New Roman" w:eastAsia="宋体" w:hAnsi="Times New Roman"/>
                <w:b/>
                <w:bCs/>
                <w:sz w:val="10"/>
                <w:szCs w:val="10"/>
              </w:rPr>
              <w:t>(1)</w:t>
            </w:r>
          </w:p>
        </w:tc>
        <w:tc>
          <w:tcPr>
            <w:tcW w:w="0" w:type="auto"/>
            <w:shd w:val="clear" w:color="auto" w:fill="auto"/>
            <w:tcMar>
              <w:top w:w="40" w:type="dxa"/>
              <w:left w:w="40" w:type="dxa"/>
              <w:bottom w:w="40" w:type="dxa"/>
              <w:right w:w="40" w:type="dxa"/>
            </w:tcMar>
            <w:vAlign w:val="bottom"/>
          </w:tcPr>
          <w:p w14:paraId="42A112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128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BB68E1" w14:paraId="42A1128B" w14:textId="77777777">
        <w:tc>
          <w:tcPr>
            <w:tcW w:w="0" w:type="auto"/>
            <w:shd w:val="clear" w:color="auto" w:fill="CCEEFF"/>
            <w:tcMar>
              <w:top w:w="40" w:type="dxa"/>
              <w:left w:w="40" w:type="dxa"/>
              <w:bottom w:w="40" w:type="dxa"/>
              <w:right w:w="40" w:type="dxa"/>
            </w:tcMar>
            <w:vAlign w:val="center"/>
          </w:tcPr>
          <w:p w14:paraId="42A11284"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 xml:space="preserve">U.S. </w:t>
            </w:r>
            <w:r>
              <w:rPr>
                <w:rFonts w:ascii="Times New Roman" w:eastAsia="宋体" w:hAnsi="Times New Roman"/>
                <w:b/>
                <w:bCs/>
                <w:sz w:val="16"/>
                <w:szCs w:val="16"/>
              </w:rPr>
              <w:t>properties</w:t>
            </w:r>
          </w:p>
        </w:tc>
        <w:tc>
          <w:tcPr>
            <w:tcW w:w="0" w:type="auto"/>
            <w:shd w:val="clear" w:color="auto" w:fill="CCEEFF"/>
            <w:tcMar>
              <w:top w:w="40" w:type="dxa"/>
              <w:left w:w="40" w:type="dxa"/>
              <w:bottom w:w="40" w:type="dxa"/>
              <w:right w:w="40" w:type="dxa"/>
            </w:tcMar>
            <w:vAlign w:val="bottom"/>
          </w:tcPr>
          <w:p w14:paraId="42A1128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42A112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2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42A1128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28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42A1128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296" w14:textId="77777777">
        <w:tc>
          <w:tcPr>
            <w:tcW w:w="0" w:type="auto"/>
            <w:shd w:val="clear" w:color="auto" w:fill="auto"/>
            <w:tcMar>
              <w:top w:w="40" w:type="dxa"/>
              <w:left w:w="40" w:type="dxa"/>
              <w:bottom w:w="40" w:type="dxa"/>
              <w:right w:w="40" w:type="dxa"/>
            </w:tcMar>
            <w:vAlign w:val="center"/>
          </w:tcPr>
          <w:p w14:paraId="42A1128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Walmart U.S. retail units</w:t>
            </w:r>
          </w:p>
        </w:tc>
        <w:tc>
          <w:tcPr>
            <w:tcW w:w="0" w:type="auto"/>
            <w:shd w:val="clear" w:color="auto" w:fill="auto"/>
            <w:tcMar>
              <w:top w:w="40" w:type="dxa"/>
              <w:left w:w="40" w:type="dxa"/>
              <w:bottom w:w="40" w:type="dxa"/>
              <w:right w:w="40" w:type="dxa"/>
            </w:tcMar>
            <w:vAlign w:val="bottom"/>
          </w:tcPr>
          <w:p w14:paraId="42A1128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8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4,069</w:t>
            </w:r>
          </w:p>
        </w:tc>
        <w:tc>
          <w:tcPr>
            <w:tcW w:w="0" w:type="auto"/>
            <w:shd w:val="clear" w:color="auto" w:fill="auto"/>
            <w:vAlign w:val="bottom"/>
          </w:tcPr>
          <w:p w14:paraId="42A1128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29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9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687</w:t>
            </w:r>
          </w:p>
        </w:tc>
        <w:tc>
          <w:tcPr>
            <w:tcW w:w="0" w:type="auto"/>
            <w:shd w:val="clear" w:color="auto" w:fill="auto"/>
            <w:vAlign w:val="bottom"/>
          </w:tcPr>
          <w:p w14:paraId="42A1129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29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9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4,756</w:t>
            </w:r>
          </w:p>
        </w:tc>
        <w:tc>
          <w:tcPr>
            <w:tcW w:w="0" w:type="auto"/>
            <w:shd w:val="clear" w:color="auto" w:fill="auto"/>
            <w:vAlign w:val="bottom"/>
          </w:tcPr>
          <w:p w14:paraId="42A11295" w14:textId="77777777" w:rsidR="00BB68E1" w:rsidRDefault="00BB68E1">
            <w:pPr>
              <w:textAlignment w:val="bottom"/>
              <w:rPr>
                <w:rFonts w:ascii="Times New Roman" w:hAnsi="Times New Roman"/>
                <w:sz w:val="20"/>
                <w:szCs w:val="20"/>
              </w:rPr>
            </w:pPr>
          </w:p>
        </w:tc>
      </w:tr>
      <w:tr w:rsidR="00BB68E1" w14:paraId="42A112A1" w14:textId="77777777">
        <w:tc>
          <w:tcPr>
            <w:tcW w:w="0" w:type="auto"/>
            <w:shd w:val="clear" w:color="auto" w:fill="CCEEFF"/>
            <w:tcMar>
              <w:top w:w="40" w:type="dxa"/>
              <w:left w:w="40" w:type="dxa"/>
              <w:bottom w:w="40" w:type="dxa"/>
              <w:right w:w="40" w:type="dxa"/>
            </w:tcMar>
            <w:vAlign w:val="center"/>
          </w:tcPr>
          <w:p w14:paraId="42A1129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Sam's Club retail units</w:t>
            </w:r>
          </w:p>
        </w:tc>
        <w:tc>
          <w:tcPr>
            <w:tcW w:w="0" w:type="auto"/>
            <w:shd w:val="clear" w:color="auto" w:fill="CCEEFF"/>
            <w:tcMar>
              <w:top w:w="40" w:type="dxa"/>
              <w:left w:w="40" w:type="dxa"/>
              <w:bottom w:w="40" w:type="dxa"/>
              <w:right w:w="40" w:type="dxa"/>
            </w:tcMar>
            <w:vAlign w:val="bottom"/>
          </w:tcPr>
          <w:p w14:paraId="42A1129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29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513</w:t>
            </w:r>
          </w:p>
        </w:tc>
        <w:tc>
          <w:tcPr>
            <w:tcW w:w="0" w:type="auto"/>
            <w:shd w:val="clear" w:color="auto" w:fill="CCEEFF"/>
            <w:vAlign w:val="bottom"/>
          </w:tcPr>
          <w:p w14:paraId="42A1129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29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29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86</w:t>
            </w:r>
          </w:p>
        </w:tc>
        <w:tc>
          <w:tcPr>
            <w:tcW w:w="0" w:type="auto"/>
            <w:shd w:val="clear" w:color="auto" w:fill="CCEEFF"/>
            <w:vAlign w:val="bottom"/>
          </w:tcPr>
          <w:p w14:paraId="42A1129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29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29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599</w:t>
            </w:r>
          </w:p>
        </w:tc>
        <w:tc>
          <w:tcPr>
            <w:tcW w:w="0" w:type="auto"/>
            <w:shd w:val="clear" w:color="auto" w:fill="CCEEFF"/>
            <w:vAlign w:val="bottom"/>
          </w:tcPr>
          <w:p w14:paraId="42A112A0" w14:textId="77777777" w:rsidR="00BB68E1" w:rsidRDefault="00BB68E1">
            <w:pPr>
              <w:textAlignment w:val="bottom"/>
              <w:rPr>
                <w:rFonts w:ascii="Times New Roman" w:hAnsi="Times New Roman"/>
                <w:sz w:val="20"/>
                <w:szCs w:val="20"/>
              </w:rPr>
            </w:pPr>
          </w:p>
        </w:tc>
      </w:tr>
      <w:tr w:rsidR="00BB68E1" w14:paraId="42A112AC" w14:textId="77777777">
        <w:tc>
          <w:tcPr>
            <w:tcW w:w="0" w:type="auto"/>
            <w:shd w:val="clear" w:color="auto" w:fill="auto"/>
            <w:tcMar>
              <w:top w:w="40" w:type="dxa"/>
              <w:left w:w="40" w:type="dxa"/>
              <w:bottom w:w="40" w:type="dxa"/>
              <w:right w:w="40" w:type="dxa"/>
            </w:tcMar>
            <w:vAlign w:val="center"/>
          </w:tcPr>
          <w:p w14:paraId="42A112A2"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            Total U.S. retail units</w:t>
            </w:r>
          </w:p>
        </w:tc>
        <w:tc>
          <w:tcPr>
            <w:tcW w:w="0" w:type="auto"/>
            <w:shd w:val="clear" w:color="auto" w:fill="auto"/>
            <w:tcMar>
              <w:top w:w="40" w:type="dxa"/>
              <w:left w:w="40" w:type="dxa"/>
              <w:bottom w:w="40" w:type="dxa"/>
              <w:right w:w="40" w:type="dxa"/>
            </w:tcMar>
            <w:vAlign w:val="bottom"/>
          </w:tcPr>
          <w:p w14:paraId="42A112A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center"/>
          </w:tcPr>
          <w:p w14:paraId="42A112A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4,582</w:t>
            </w:r>
          </w:p>
        </w:tc>
        <w:tc>
          <w:tcPr>
            <w:tcW w:w="0" w:type="auto"/>
            <w:tcBorders>
              <w:top w:val="single" w:sz="8" w:space="0" w:color="000000"/>
            </w:tcBorders>
            <w:shd w:val="clear" w:color="auto" w:fill="auto"/>
            <w:vAlign w:val="bottom"/>
          </w:tcPr>
          <w:p w14:paraId="42A112A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2A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center"/>
          </w:tcPr>
          <w:p w14:paraId="42A112A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773</w:t>
            </w:r>
          </w:p>
        </w:tc>
        <w:tc>
          <w:tcPr>
            <w:tcW w:w="0" w:type="auto"/>
            <w:tcBorders>
              <w:top w:val="single" w:sz="8" w:space="0" w:color="000000"/>
            </w:tcBorders>
            <w:shd w:val="clear" w:color="auto" w:fill="auto"/>
            <w:vAlign w:val="bottom"/>
          </w:tcPr>
          <w:p w14:paraId="42A112A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2A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center"/>
          </w:tcPr>
          <w:p w14:paraId="42A112A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5,355</w:t>
            </w:r>
          </w:p>
        </w:tc>
        <w:tc>
          <w:tcPr>
            <w:tcW w:w="0" w:type="auto"/>
            <w:tcBorders>
              <w:top w:val="single" w:sz="8" w:space="0" w:color="000000"/>
            </w:tcBorders>
            <w:shd w:val="clear" w:color="auto" w:fill="auto"/>
            <w:vAlign w:val="bottom"/>
          </w:tcPr>
          <w:p w14:paraId="42A112AB" w14:textId="77777777" w:rsidR="00BB68E1" w:rsidRDefault="00BB68E1">
            <w:pPr>
              <w:textAlignment w:val="bottom"/>
              <w:rPr>
                <w:rFonts w:ascii="Times New Roman" w:hAnsi="Times New Roman"/>
                <w:sz w:val="20"/>
                <w:szCs w:val="20"/>
              </w:rPr>
            </w:pPr>
          </w:p>
        </w:tc>
      </w:tr>
      <w:tr w:rsidR="00BB68E1" w14:paraId="42A112B7" w14:textId="77777777">
        <w:tc>
          <w:tcPr>
            <w:tcW w:w="0" w:type="auto"/>
            <w:shd w:val="clear" w:color="auto" w:fill="CCEEFF"/>
            <w:tcMar>
              <w:top w:w="40" w:type="dxa"/>
              <w:left w:w="40" w:type="dxa"/>
              <w:bottom w:w="40" w:type="dxa"/>
              <w:right w:w="40" w:type="dxa"/>
            </w:tcMar>
            <w:vAlign w:val="center"/>
          </w:tcPr>
          <w:p w14:paraId="42A112A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Walmart U.S. distribution facilities</w:t>
            </w:r>
          </w:p>
        </w:tc>
        <w:tc>
          <w:tcPr>
            <w:tcW w:w="0" w:type="auto"/>
            <w:shd w:val="clear" w:color="auto" w:fill="CCEEFF"/>
            <w:tcMar>
              <w:top w:w="40" w:type="dxa"/>
              <w:left w:w="40" w:type="dxa"/>
              <w:bottom w:w="40" w:type="dxa"/>
              <w:right w:w="40" w:type="dxa"/>
            </w:tcMar>
            <w:vAlign w:val="bottom"/>
          </w:tcPr>
          <w:p w14:paraId="42A112A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2A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108</w:t>
            </w:r>
          </w:p>
        </w:tc>
        <w:tc>
          <w:tcPr>
            <w:tcW w:w="0" w:type="auto"/>
            <w:shd w:val="clear" w:color="auto" w:fill="CCEEFF"/>
            <w:vAlign w:val="bottom"/>
          </w:tcPr>
          <w:p w14:paraId="42A112B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2B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2B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54</w:t>
            </w:r>
          </w:p>
        </w:tc>
        <w:tc>
          <w:tcPr>
            <w:tcW w:w="0" w:type="auto"/>
            <w:shd w:val="clear" w:color="auto" w:fill="CCEEFF"/>
            <w:vAlign w:val="bottom"/>
          </w:tcPr>
          <w:p w14:paraId="42A112B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2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2B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162</w:t>
            </w:r>
          </w:p>
        </w:tc>
        <w:tc>
          <w:tcPr>
            <w:tcW w:w="0" w:type="auto"/>
            <w:shd w:val="clear" w:color="auto" w:fill="CCEEFF"/>
            <w:vAlign w:val="bottom"/>
          </w:tcPr>
          <w:p w14:paraId="42A112B6" w14:textId="77777777" w:rsidR="00BB68E1" w:rsidRDefault="00BB68E1">
            <w:pPr>
              <w:textAlignment w:val="bottom"/>
              <w:rPr>
                <w:rFonts w:ascii="Times New Roman" w:hAnsi="Times New Roman"/>
                <w:sz w:val="20"/>
                <w:szCs w:val="20"/>
              </w:rPr>
            </w:pPr>
          </w:p>
        </w:tc>
      </w:tr>
      <w:tr w:rsidR="00BB68E1" w14:paraId="42A112C2" w14:textId="77777777">
        <w:tc>
          <w:tcPr>
            <w:tcW w:w="0" w:type="auto"/>
            <w:shd w:val="clear" w:color="auto" w:fill="auto"/>
            <w:tcMar>
              <w:top w:w="40" w:type="dxa"/>
              <w:left w:w="40" w:type="dxa"/>
              <w:bottom w:w="40" w:type="dxa"/>
              <w:right w:w="40" w:type="dxa"/>
            </w:tcMar>
            <w:vAlign w:val="center"/>
          </w:tcPr>
          <w:p w14:paraId="42A112B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Sam's Club distribution facilities</w:t>
            </w:r>
          </w:p>
        </w:tc>
        <w:tc>
          <w:tcPr>
            <w:tcW w:w="0" w:type="auto"/>
            <w:shd w:val="clear" w:color="auto" w:fill="auto"/>
            <w:tcMar>
              <w:top w:w="40" w:type="dxa"/>
              <w:left w:w="40" w:type="dxa"/>
              <w:bottom w:w="40" w:type="dxa"/>
              <w:right w:w="40" w:type="dxa"/>
            </w:tcMar>
            <w:vAlign w:val="bottom"/>
          </w:tcPr>
          <w:p w14:paraId="42A112B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B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w:t>
            </w:r>
          </w:p>
        </w:tc>
        <w:tc>
          <w:tcPr>
            <w:tcW w:w="0" w:type="auto"/>
            <w:shd w:val="clear" w:color="auto" w:fill="auto"/>
            <w:vAlign w:val="bottom"/>
          </w:tcPr>
          <w:p w14:paraId="42A112B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2B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B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w:t>
            </w:r>
          </w:p>
        </w:tc>
        <w:tc>
          <w:tcPr>
            <w:tcW w:w="0" w:type="auto"/>
            <w:shd w:val="clear" w:color="auto" w:fill="auto"/>
            <w:vAlign w:val="bottom"/>
          </w:tcPr>
          <w:p w14:paraId="42A112B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2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C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w:t>
            </w:r>
          </w:p>
        </w:tc>
        <w:tc>
          <w:tcPr>
            <w:tcW w:w="0" w:type="auto"/>
            <w:shd w:val="clear" w:color="auto" w:fill="auto"/>
            <w:vAlign w:val="bottom"/>
          </w:tcPr>
          <w:p w14:paraId="42A112C1" w14:textId="77777777" w:rsidR="00BB68E1" w:rsidRDefault="00BB68E1">
            <w:pPr>
              <w:textAlignment w:val="bottom"/>
              <w:rPr>
                <w:rFonts w:ascii="Times New Roman" w:hAnsi="Times New Roman"/>
                <w:sz w:val="20"/>
                <w:szCs w:val="20"/>
              </w:rPr>
            </w:pPr>
          </w:p>
        </w:tc>
      </w:tr>
      <w:tr w:rsidR="00BB68E1" w14:paraId="42A112CD" w14:textId="77777777">
        <w:tc>
          <w:tcPr>
            <w:tcW w:w="0" w:type="auto"/>
            <w:shd w:val="clear" w:color="auto" w:fill="CCEEFF"/>
            <w:tcMar>
              <w:top w:w="40" w:type="dxa"/>
              <w:left w:w="40" w:type="dxa"/>
              <w:bottom w:w="40" w:type="dxa"/>
              <w:right w:w="40" w:type="dxa"/>
            </w:tcMar>
            <w:vAlign w:val="center"/>
          </w:tcPr>
          <w:p w14:paraId="42A112C3"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lastRenderedPageBreak/>
              <w:t>Total U.S. distribution facilities</w:t>
            </w:r>
          </w:p>
        </w:tc>
        <w:tc>
          <w:tcPr>
            <w:tcW w:w="0" w:type="auto"/>
            <w:shd w:val="clear" w:color="auto" w:fill="CCEEFF"/>
            <w:tcMar>
              <w:top w:w="40" w:type="dxa"/>
              <w:left w:w="40" w:type="dxa"/>
              <w:bottom w:w="40" w:type="dxa"/>
              <w:right w:w="40" w:type="dxa"/>
            </w:tcMar>
            <w:vAlign w:val="bottom"/>
          </w:tcPr>
          <w:p w14:paraId="42A112C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2C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119</w:t>
            </w:r>
          </w:p>
        </w:tc>
        <w:tc>
          <w:tcPr>
            <w:tcW w:w="0" w:type="auto"/>
            <w:tcBorders>
              <w:top w:val="single" w:sz="8" w:space="0" w:color="000000"/>
            </w:tcBorders>
            <w:shd w:val="clear" w:color="auto" w:fill="CCEEFF"/>
            <w:vAlign w:val="bottom"/>
          </w:tcPr>
          <w:p w14:paraId="42A112C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2C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2C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68</w:t>
            </w:r>
          </w:p>
        </w:tc>
        <w:tc>
          <w:tcPr>
            <w:tcW w:w="0" w:type="auto"/>
            <w:tcBorders>
              <w:top w:val="single" w:sz="8" w:space="0" w:color="000000"/>
            </w:tcBorders>
            <w:shd w:val="clear" w:color="auto" w:fill="CCEEFF"/>
            <w:vAlign w:val="bottom"/>
          </w:tcPr>
          <w:p w14:paraId="42A112C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2C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center"/>
          </w:tcPr>
          <w:p w14:paraId="42A112C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187</w:t>
            </w:r>
          </w:p>
        </w:tc>
        <w:tc>
          <w:tcPr>
            <w:tcW w:w="0" w:type="auto"/>
            <w:tcBorders>
              <w:top w:val="single" w:sz="8" w:space="0" w:color="000000"/>
              <w:bottom w:val="single" w:sz="8" w:space="0" w:color="000000"/>
            </w:tcBorders>
            <w:shd w:val="clear" w:color="auto" w:fill="CCEEFF"/>
            <w:vAlign w:val="bottom"/>
          </w:tcPr>
          <w:p w14:paraId="42A112CC" w14:textId="77777777" w:rsidR="00BB68E1" w:rsidRDefault="00BB68E1">
            <w:pPr>
              <w:textAlignment w:val="bottom"/>
              <w:rPr>
                <w:rFonts w:ascii="Times New Roman" w:hAnsi="Times New Roman"/>
                <w:sz w:val="20"/>
                <w:szCs w:val="20"/>
              </w:rPr>
            </w:pPr>
          </w:p>
        </w:tc>
      </w:tr>
      <w:tr w:rsidR="00BB68E1" w14:paraId="42A112D8" w14:textId="77777777">
        <w:tc>
          <w:tcPr>
            <w:tcW w:w="0" w:type="auto"/>
            <w:shd w:val="clear" w:color="auto" w:fill="auto"/>
            <w:tcMar>
              <w:top w:w="40" w:type="dxa"/>
              <w:left w:w="720" w:type="dxa"/>
              <w:bottom w:w="40" w:type="dxa"/>
              <w:right w:w="40" w:type="dxa"/>
            </w:tcMar>
            <w:vAlign w:val="center"/>
          </w:tcPr>
          <w:p w14:paraId="42A112CE"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U.S. properties</w:t>
            </w:r>
          </w:p>
        </w:tc>
        <w:tc>
          <w:tcPr>
            <w:tcW w:w="0" w:type="auto"/>
            <w:shd w:val="clear" w:color="auto" w:fill="auto"/>
            <w:tcMar>
              <w:top w:w="40" w:type="dxa"/>
              <w:left w:w="40" w:type="dxa"/>
              <w:bottom w:w="40" w:type="dxa"/>
              <w:right w:w="40" w:type="dxa"/>
            </w:tcMar>
            <w:vAlign w:val="bottom"/>
          </w:tcPr>
          <w:p w14:paraId="42A112C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center"/>
          </w:tcPr>
          <w:p w14:paraId="42A112D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4,701</w:t>
            </w:r>
          </w:p>
        </w:tc>
        <w:tc>
          <w:tcPr>
            <w:tcW w:w="0" w:type="auto"/>
            <w:tcBorders>
              <w:top w:val="single" w:sz="8" w:space="0" w:color="000000"/>
              <w:bottom w:val="single" w:sz="8" w:space="0" w:color="000000"/>
            </w:tcBorders>
            <w:shd w:val="clear" w:color="auto" w:fill="auto"/>
            <w:vAlign w:val="bottom"/>
          </w:tcPr>
          <w:p w14:paraId="42A112D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2D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center"/>
          </w:tcPr>
          <w:p w14:paraId="42A112D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841</w:t>
            </w:r>
          </w:p>
        </w:tc>
        <w:tc>
          <w:tcPr>
            <w:tcW w:w="0" w:type="auto"/>
            <w:tcBorders>
              <w:top w:val="single" w:sz="8" w:space="0" w:color="000000"/>
              <w:bottom w:val="single" w:sz="8" w:space="0" w:color="000000"/>
            </w:tcBorders>
            <w:shd w:val="clear" w:color="auto" w:fill="auto"/>
            <w:vAlign w:val="bottom"/>
          </w:tcPr>
          <w:p w14:paraId="42A112D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2D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center"/>
          </w:tcPr>
          <w:p w14:paraId="42A112D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5,542</w:t>
            </w:r>
          </w:p>
        </w:tc>
        <w:tc>
          <w:tcPr>
            <w:tcW w:w="0" w:type="auto"/>
            <w:tcBorders>
              <w:top w:val="single" w:sz="8" w:space="0" w:color="000000"/>
              <w:bottom w:val="single" w:sz="8" w:space="0" w:color="000000"/>
            </w:tcBorders>
            <w:shd w:val="clear" w:color="auto" w:fill="auto"/>
            <w:vAlign w:val="bottom"/>
          </w:tcPr>
          <w:p w14:paraId="42A112D7" w14:textId="77777777" w:rsidR="00BB68E1" w:rsidRDefault="00BB68E1">
            <w:pPr>
              <w:textAlignment w:val="bottom"/>
              <w:rPr>
                <w:rFonts w:ascii="Times New Roman" w:hAnsi="Times New Roman"/>
                <w:sz w:val="20"/>
                <w:szCs w:val="20"/>
              </w:rPr>
            </w:pPr>
          </w:p>
        </w:tc>
      </w:tr>
      <w:tr w:rsidR="00BB68E1" w14:paraId="42A112E0" w14:textId="77777777">
        <w:tc>
          <w:tcPr>
            <w:tcW w:w="0" w:type="auto"/>
            <w:shd w:val="clear" w:color="auto" w:fill="CCEEFF"/>
            <w:tcMar>
              <w:top w:w="40" w:type="dxa"/>
              <w:left w:w="40" w:type="dxa"/>
              <w:bottom w:w="40" w:type="dxa"/>
              <w:right w:w="40" w:type="dxa"/>
            </w:tcMar>
            <w:vAlign w:val="bottom"/>
          </w:tcPr>
          <w:p w14:paraId="42A112D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2D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42A112D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2D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42A112D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2D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42A112D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2E8" w14:textId="77777777">
        <w:tc>
          <w:tcPr>
            <w:tcW w:w="0" w:type="auto"/>
            <w:shd w:val="clear" w:color="auto" w:fill="auto"/>
            <w:tcMar>
              <w:top w:w="40" w:type="dxa"/>
              <w:left w:w="40" w:type="dxa"/>
              <w:bottom w:w="40" w:type="dxa"/>
              <w:right w:w="40" w:type="dxa"/>
            </w:tcMar>
            <w:vAlign w:val="center"/>
          </w:tcPr>
          <w:p w14:paraId="42A112E1"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International properties</w:t>
            </w:r>
          </w:p>
        </w:tc>
        <w:tc>
          <w:tcPr>
            <w:tcW w:w="0" w:type="auto"/>
            <w:shd w:val="clear" w:color="auto" w:fill="auto"/>
            <w:tcMar>
              <w:top w:w="40" w:type="dxa"/>
              <w:left w:w="40" w:type="dxa"/>
              <w:bottom w:w="40" w:type="dxa"/>
              <w:right w:w="40" w:type="dxa"/>
            </w:tcMar>
            <w:vAlign w:val="bottom"/>
          </w:tcPr>
          <w:p w14:paraId="42A112E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12E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2E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12E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2E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12E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2F3" w14:textId="77777777">
        <w:tc>
          <w:tcPr>
            <w:tcW w:w="0" w:type="auto"/>
            <w:shd w:val="clear" w:color="auto" w:fill="CCEEFF"/>
            <w:tcMar>
              <w:top w:w="40" w:type="dxa"/>
              <w:left w:w="40" w:type="dxa"/>
              <w:bottom w:w="40" w:type="dxa"/>
              <w:right w:w="40" w:type="dxa"/>
            </w:tcMar>
            <w:vAlign w:val="center"/>
          </w:tcPr>
          <w:p w14:paraId="42A112E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Africa</w:t>
            </w:r>
          </w:p>
        </w:tc>
        <w:tc>
          <w:tcPr>
            <w:tcW w:w="0" w:type="auto"/>
            <w:shd w:val="clear" w:color="auto" w:fill="CCEEFF"/>
            <w:tcMar>
              <w:top w:w="40" w:type="dxa"/>
              <w:left w:w="40" w:type="dxa"/>
              <w:bottom w:w="40" w:type="dxa"/>
              <w:right w:w="40" w:type="dxa"/>
            </w:tcMar>
            <w:vAlign w:val="bottom"/>
          </w:tcPr>
          <w:p w14:paraId="42A112E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2E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37</w:t>
            </w:r>
          </w:p>
        </w:tc>
        <w:tc>
          <w:tcPr>
            <w:tcW w:w="0" w:type="auto"/>
            <w:shd w:val="clear" w:color="auto" w:fill="CCEEFF"/>
            <w:vAlign w:val="bottom"/>
          </w:tcPr>
          <w:p w14:paraId="42A112E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2E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2E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405</w:t>
            </w:r>
          </w:p>
        </w:tc>
        <w:tc>
          <w:tcPr>
            <w:tcW w:w="0" w:type="auto"/>
            <w:shd w:val="clear" w:color="auto" w:fill="CCEEFF"/>
            <w:vAlign w:val="bottom"/>
          </w:tcPr>
          <w:p w14:paraId="42A112E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2F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2F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442</w:t>
            </w:r>
          </w:p>
        </w:tc>
        <w:tc>
          <w:tcPr>
            <w:tcW w:w="0" w:type="auto"/>
            <w:shd w:val="clear" w:color="auto" w:fill="CCEEFF"/>
            <w:vAlign w:val="bottom"/>
          </w:tcPr>
          <w:p w14:paraId="42A112F2" w14:textId="77777777" w:rsidR="00BB68E1" w:rsidRDefault="00BB68E1">
            <w:pPr>
              <w:textAlignment w:val="bottom"/>
              <w:rPr>
                <w:rFonts w:ascii="Times New Roman" w:hAnsi="Times New Roman"/>
                <w:sz w:val="20"/>
                <w:szCs w:val="20"/>
              </w:rPr>
            </w:pPr>
          </w:p>
        </w:tc>
      </w:tr>
      <w:tr w:rsidR="00BB68E1" w14:paraId="42A112FE" w14:textId="77777777">
        <w:tc>
          <w:tcPr>
            <w:tcW w:w="0" w:type="auto"/>
            <w:shd w:val="clear" w:color="auto" w:fill="auto"/>
            <w:tcMar>
              <w:top w:w="40" w:type="dxa"/>
              <w:left w:w="40" w:type="dxa"/>
              <w:bottom w:w="40" w:type="dxa"/>
              <w:right w:w="40" w:type="dxa"/>
            </w:tcMar>
            <w:vAlign w:val="center"/>
          </w:tcPr>
          <w:p w14:paraId="42A112F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Argentina</w:t>
            </w:r>
          </w:p>
        </w:tc>
        <w:tc>
          <w:tcPr>
            <w:tcW w:w="0" w:type="auto"/>
            <w:shd w:val="clear" w:color="auto" w:fill="auto"/>
            <w:tcMar>
              <w:top w:w="40" w:type="dxa"/>
              <w:left w:w="40" w:type="dxa"/>
              <w:bottom w:w="40" w:type="dxa"/>
              <w:right w:w="40" w:type="dxa"/>
            </w:tcMar>
            <w:vAlign w:val="bottom"/>
          </w:tcPr>
          <w:p w14:paraId="42A112F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F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67</w:t>
            </w:r>
          </w:p>
        </w:tc>
        <w:tc>
          <w:tcPr>
            <w:tcW w:w="0" w:type="auto"/>
            <w:shd w:val="clear" w:color="auto" w:fill="auto"/>
            <w:vAlign w:val="bottom"/>
          </w:tcPr>
          <w:p w14:paraId="42A112F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2F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F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w:t>
            </w:r>
          </w:p>
        </w:tc>
        <w:tc>
          <w:tcPr>
            <w:tcW w:w="0" w:type="auto"/>
            <w:shd w:val="clear" w:color="auto" w:fill="auto"/>
            <w:vAlign w:val="bottom"/>
          </w:tcPr>
          <w:p w14:paraId="42A112F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2F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2F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92</w:t>
            </w:r>
          </w:p>
        </w:tc>
        <w:tc>
          <w:tcPr>
            <w:tcW w:w="0" w:type="auto"/>
            <w:shd w:val="clear" w:color="auto" w:fill="auto"/>
            <w:vAlign w:val="bottom"/>
          </w:tcPr>
          <w:p w14:paraId="42A112FD" w14:textId="77777777" w:rsidR="00BB68E1" w:rsidRDefault="00BB68E1">
            <w:pPr>
              <w:textAlignment w:val="bottom"/>
              <w:rPr>
                <w:rFonts w:ascii="Times New Roman" w:hAnsi="Times New Roman"/>
                <w:sz w:val="20"/>
                <w:szCs w:val="20"/>
              </w:rPr>
            </w:pPr>
          </w:p>
        </w:tc>
      </w:tr>
      <w:tr w:rsidR="00BB68E1" w14:paraId="42A11309" w14:textId="77777777">
        <w:tc>
          <w:tcPr>
            <w:tcW w:w="0" w:type="auto"/>
            <w:shd w:val="clear" w:color="auto" w:fill="CCEEFF"/>
            <w:tcMar>
              <w:top w:w="40" w:type="dxa"/>
              <w:left w:w="40" w:type="dxa"/>
              <w:bottom w:w="40" w:type="dxa"/>
              <w:right w:w="40" w:type="dxa"/>
            </w:tcMar>
            <w:vAlign w:val="center"/>
          </w:tcPr>
          <w:p w14:paraId="42A112F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Canada</w:t>
            </w:r>
          </w:p>
        </w:tc>
        <w:tc>
          <w:tcPr>
            <w:tcW w:w="0" w:type="auto"/>
            <w:shd w:val="clear" w:color="auto" w:fill="CCEEFF"/>
            <w:tcMar>
              <w:top w:w="40" w:type="dxa"/>
              <w:left w:w="40" w:type="dxa"/>
              <w:bottom w:w="40" w:type="dxa"/>
              <w:right w:w="40" w:type="dxa"/>
            </w:tcMar>
            <w:vAlign w:val="bottom"/>
          </w:tcPr>
          <w:p w14:paraId="42A1130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30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124</w:t>
            </w:r>
          </w:p>
        </w:tc>
        <w:tc>
          <w:tcPr>
            <w:tcW w:w="0" w:type="auto"/>
            <w:shd w:val="clear" w:color="auto" w:fill="CCEEFF"/>
            <w:vAlign w:val="bottom"/>
          </w:tcPr>
          <w:p w14:paraId="42A1130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30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30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284</w:t>
            </w:r>
          </w:p>
        </w:tc>
        <w:tc>
          <w:tcPr>
            <w:tcW w:w="0" w:type="auto"/>
            <w:shd w:val="clear" w:color="auto" w:fill="CCEEFF"/>
            <w:vAlign w:val="bottom"/>
          </w:tcPr>
          <w:p w14:paraId="42A1130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30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30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408</w:t>
            </w:r>
          </w:p>
        </w:tc>
        <w:tc>
          <w:tcPr>
            <w:tcW w:w="0" w:type="auto"/>
            <w:shd w:val="clear" w:color="auto" w:fill="CCEEFF"/>
            <w:vAlign w:val="bottom"/>
          </w:tcPr>
          <w:p w14:paraId="42A11308" w14:textId="77777777" w:rsidR="00BB68E1" w:rsidRDefault="00BB68E1">
            <w:pPr>
              <w:textAlignment w:val="bottom"/>
              <w:rPr>
                <w:rFonts w:ascii="Times New Roman" w:hAnsi="Times New Roman"/>
                <w:sz w:val="20"/>
                <w:szCs w:val="20"/>
              </w:rPr>
            </w:pPr>
          </w:p>
        </w:tc>
      </w:tr>
      <w:tr w:rsidR="00BB68E1" w14:paraId="42A11314" w14:textId="77777777">
        <w:tc>
          <w:tcPr>
            <w:tcW w:w="0" w:type="auto"/>
            <w:shd w:val="clear" w:color="auto" w:fill="auto"/>
            <w:tcMar>
              <w:top w:w="40" w:type="dxa"/>
              <w:left w:w="40" w:type="dxa"/>
              <w:bottom w:w="40" w:type="dxa"/>
              <w:right w:w="40" w:type="dxa"/>
            </w:tcMar>
            <w:vAlign w:val="center"/>
          </w:tcPr>
          <w:p w14:paraId="42A1130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Central America</w:t>
            </w:r>
          </w:p>
        </w:tc>
        <w:tc>
          <w:tcPr>
            <w:tcW w:w="0" w:type="auto"/>
            <w:shd w:val="clear" w:color="auto" w:fill="auto"/>
            <w:tcMar>
              <w:top w:w="40" w:type="dxa"/>
              <w:left w:w="40" w:type="dxa"/>
              <w:bottom w:w="40" w:type="dxa"/>
              <w:right w:w="40" w:type="dxa"/>
            </w:tcMar>
            <w:vAlign w:val="bottom"/>
          </w:tcPr>
          <w:p w14:paraId="42A1130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30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346</w:t>
            </w:r>
          </w:p>
        </w:tc>
        <w:tc>
          <w:tcPr>
            <w:tcW w:w="0" w:type="auto"/>
            <w:shd w:val="clear" w:color="auto" w:fill="auto"/>
            <w:vAlign w:val="bottom"/>
          </w:tcPr>
          <w:p w14:paraId="42A1130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3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30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490</w:t>
            </w:r>
          </w:p>
        </w:tc>
        <w:tc>
          <w:tcPr>
            <w:tcW w:w="0" w:type="auto"/>
            <w:shd w:val="clear" w:color="auto" w:fill="auto"/>
            <w:vAlign w:val="bottom"/>
          </w:tcPr>
          <w:p w14:paraId="42A1131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31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31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836</w:t>
            </w:r>
          </w:p>
        </w:tc>
        <w:tc>
          <w:tcPr>
            <w:tcW w:w="0" w:type="auto"/>
            <w:shd w:val="clear" w:color="auto" w:fill="auto"/>
            <w:vAlign w:val="bottom"/>
          </w:tcPr>
          <w:p w14:paraId="42A11313" w14:textId="77777777" w:rsidR="00BB68E1" w:rsidRDefault="00BB68E1">
            <w:pPr>
              <w:textAlignment w:val="bottom"/>
              <w:rPr>
                <w:rFonts w:ascii="Times New Roman" w:hAnsi="Times New Roman"/>
                <w:sz w:val="20"/>
                <w:szCs w:val="20"/>
              </w:rPr>
            </w:pPr>
          </w:p>
        </w:tc>
      </w:tr>
      <w:tr w:rsidR="00BB68E1" w14:paraId="42A1131F" w14:textId="77777777">
        <w:tc>
          <w:tcPr>
            <w:tcW w:w="0" w:type="auto"/>
            <w:shd w:val="clear" w:color="auto" w:fill="CCEEFF"/>
            <w:tcMar>
              <w:top w:w="40" w:type="dxa"/>
              <w:left w:w="40" w:type="dxa"/>
              <w:bottom w:w="40" w:type="dxa"/>
              <w:right w:w="40" w:type="dxa"/>
            </w:tcMar>
            <w:vAlign w:val="center"/>
          </w:tcPr>
          <w:p w14:paraId="42A1131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Chile</w:t>
            </w:r>
          </w:p>
        </w:tc>
        <w:tc>
          <w:tcPr>
            <w:tcW w:w="0" w:type="auto"/>
            <w:shd w:val="clear" w:color="auto" w:fill="CCEEFF"/>
            <w:tcMar>
              <w:top w:w="40" w:type="dxa"/>
              <w:left w:w="40" w:type="dxa"/>
              <w:bottom w:w="40" w:type="dxa"/>
              <w:right w:w="40" w:type="dxa"/>
            </w:tcMar>
            <w:vAlign w:val="bottom"/>
          </w:tcPr>
          <w:p w14:paraId="42A1131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31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196</w:t>
            </w:r>
          </w:p>
        </w:tc>
        <w:tc>
          <w:tcPr>
            <w:tcW w:w="0" w:type="auto"/>
            <w:shd w:val="clear" w:color="auto" w:fill="CCEEFF"/>
            <w:vAlign w:val="bottom"/>
          </w:tcPr>
          <w:p w14:paraId="42A1131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31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31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171</w:t>
            </w:r>
          </w:p>
        </w:tc>
        <w:tc>
          <w:tcPr>
            <w:tcW w:w="0" w:type="auto"/>
            <w:shd w:val="clear" w:color="auto" w:fill="CCEEFF"/>
            <w:vAlign w:val="bottom"/>
          </w:tcPr>
          <w:p w14:paraId="42A1131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31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31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367</w:t>
            </w:r>
          </w:p>
        </w:tc>
        <w:tc>
          <w:tcPr>
            <w:tcW w:w="0" w:type="auto"/>
            <w:shd w:val="clear" w:color="auto" w:fill="CCEEFF"/>
            <w:vAlign w:val="bottom"/>
          </w:tcPr>
          <w:p w14:paraId="42A1131E" w14:textId="77777777" w:rsidR="00BB68E1" w:rsidRDefault="00BB68E1">
            <w:pPr>
              <w:textAlignment w:val="bottom"/>
              <w:rPr>
                <w:rFonts w:ascii="Times New Roman" w:hAnsi="Times New Roman"/>
                <w:sz w:val="20"/>
                <w:szCs w:val="20"/>
              </w:rPr>
            </w:pPr>
          </w:p>
        </w:tc>
      </w:tr>
      <w:tr w:rsidR="00BB68E1" w14:paraId="42A1132A" w14:textId="77777777">
        <w:tc>
          <w:tcPr>
            <w:tcW w:w="0" w:type="auto"/>
            <w:shd w:val="clear" w:color="auto" w:fill="auto"/>
            <w:tcMar>
              <w:top w:w="40" w:type="dxa"/>
              <w:left w:w="40" w:type="dxa"/>
              <w:bottom w:w="40" w:type="dxa"/>
              <w:right w:w="40" w:type="dxa"/>
            </w:tcMar>
            <w:vAlign w:val="center"/>
          </w:tcPr>
          <w:p w14:paraId="42A1132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China</w:t>
            </w:r>
          </w:p>
        </w:tc>
        <w:tc>
          <w:tcPr>
            <w:tcW w:w="0" w:type="auto"/>
            <w:shd w:val="clear" w:color="auto" w:fill="auto"/>
            <w:tcMar>
              <w:top w:w="40" w:type="dxa"/>
              <w:left w:w="40" w:type="dxa"/>
              <w:bottom w:w="40" w:type="dxa"/>
              <w:right w:w="40" w:type="dxa"/>
            </w:tcMar>
            <w:vAlign w:val="bottom"/>
          </w:tcPr>
          <w:p w14:paraId="42A1132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32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auto"/>
            <w:vAlign w:val="bottom"/>
          </w:tcPr>
          <w:p w14:paraId="42A1132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32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32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436</w:t>
            </w:r>
          </w:p>
        </w:tc>
        <w:tc>
          <w:tcPr>
            <w:tcW w:w="0" w:type="auto"/>
            <w:shd w:val="clear" w:color="auto" w:fill="auto"/>
            <w:vAlign w:val="bottom"/>
          </w:tcPr>
          <w:p w14:paraId="42A1132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32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32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438</w:t>
            </w:r>
          </w:p>
        </w:tc>
        <w:tc>
          <w:tcPr>
            <w:tcW w:w="0" w:type="auto"/>
            <w:shd w:val="clear" w:color="auto" w:fill="auto"/>
            <w:vAlign w:val="bottom"/>
          </w:tcPr>
          <w:p w14:paraId="42A11329" w14:textId="77777777" w:rsidR="00BB68E1" w:rsidRDefault="00BB68E1">
            <w:pPr>
              <w:textAlignment w:val="bottom"/>
              <w:rPr>
                <w:rFonts w:ascii="Times New Roman" w:hAnsi="Times New Roman"/>
                <w:sz w:val="20"/>
                <w:szCs w:val="20"/>
              </w:rPr>
            </w:pPr>
          </w:p>
        </w:tc>
      </w:tr>
      <w:tr w:rsidR="00BB68E1" w14:paraId="42A11335" w14:textId="77777777">
        <w:tc>
          <w:tcPr>
            <w:tcW w:w="0" w:type="auto"/>
            <w:shd w:val="clear" w:color="auto" w:fill="CCEEFF"/>
            <w:tcMar>
              <w:top w:w="40" w:type="dxa"/>
              <w:left w:w="40" w:type="dxa"/>
              <w:bottom w:w="40" w:type="dxa"/>
              <w:right w:w="40" w:type="dxa"/>
            </w:tcMar>
            <w:vAlign w:val="center"/>
          </w:tcPr>
          <w:p w14:paraId="42A1132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India</w:t>
            </w:r>
          </w:p>
        </w:tc>
        <w:tc>
          <w:tcPr>
            <w:tcW w:w="0" w:type="auto"/>
            <w:shd w:val="clear" w:color="auto" w:fill="CCEEFF"/>
            <w:tcMar>
              <w:top w:w="40" w:type="dxa"/>
              <w:left w:w="40" w:type="dxa"/>
              <w:bottom w:w="40" w:type="dxa"/>
              <w:right w:w="40" w:type="dxa"/>
            </w:tcMar>
            <w:vAlign w:val="bottom"/>
          </w:tcPr>
          <w:p w14:paraId="42A1132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32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CCEEFF"/>
            <w:vAlign w:val="bottom"/>
          </w:tcPr>
          <w:p w14:paraId="42A1132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32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33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w:t>
            </w:r>
          </w:p>
        </w:tc>
        <w:tc>
          <w:tcPr>
            <w:tcW w:w="0" w:type="auto"/>
            <w:shd w:val="clear" w:color="auto" w:fill="CCEEFF"/>
            <w:vAlign w:val="bottom"/>
          </w:tcPr>
          <w:p w14:paraId="42A1133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33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33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CCEEFF"/>
            <w:vAlign w:val="bottom"/>
          </w:tcPr>
          <w:p w14:paraId="42A11334" w14:textId="77777777" w:rsidR="00BB68E1" w:rsidRDefault="00BB68E1">
            <w:pPr>
              <w:textAlignment w:val="bottom"/>
              <w:rPr>
                <w:rFonts w:ascii="Times New Roman" w:hAnsi="Times New Roman"/>
                <w:sz w:val="20"/>
                <w:szCs w:val="20"/>
              </w:rPr>
            </w:pPr>
          </w:p>
        </w:tc>
      </w:tr>
      <w:tr w:rsidR="00BB68E1" w14:paraId="42A11340" w14:textId="77777777">
        <w:tc>
          <w:tcPr>
            <w:tcW w:w="0" w:type="auto"/>
            <w:shd w:val="clear" w:color="auto" w:fill="auto"/>
            <w:tcMar>
              <w:top w:w="40" w:type="dxa"/>
              <w:left w:w="40" w:type="dxa"/>
              <w:bottom w:w="40" w:type="dxa"/>
              <w:right w:w="40" w:type="dxa"/>
            </w:tcMar>
            <w:vAlign w:val="center"/>
          </w:tcPr>
          <w:p w14:paraId="42A1133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Japan</w:t>
            </w:r>
          </w:p>
        </w:tc>
        <w:tc>
          <w:tcPr>
            <w:tcW w:w="0" w:type="auto"/>
            <w:shd w:val="clear" w:color="auto" w:fill="auto"/>
            <w:tcMar>
              <w:top w:w="40" w:type="dxa"/>
              <w:left w:w="40" w:type="dxa"/>
              <w:bottom w:w="40" w:type="dxa"/>
              <w:right w:w="40" w:type="dxa"/>
            </w:tcMar>
            <w:vAlign w:val="bottom"/>
          </w:tcPr>
          <w:p w14:paraId="42A1133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33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54</w:t>
            </w:r>
          </w:p>
        </w:tc>
        <w:tc>
          <w:tcPr>
            <w:tcW w:w="0" w:type="auto"/>
            <w:shd w:val="clear" w:color="auto" w:fill="auto"/>
            <w:vAlign w:val="bottom"/>
          </w:tcPr>
          <w:p w14:paraId="42A1133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33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33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279</w:t>
            </w:r>
          </w:p>
        </w:tc>
        <w:tc>
          <w:tcPr>
            <w:tcW w:w="0" w:type="auto"/>
            <w:shd w:val="clear" w:color="auto" w:fill="auto"/>
            <w:vAlign w:val="bottom"/>
          </w:tcPr>
          <w:p w14:paraId="42A1133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33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33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333</w:t>
            </w:r>
          </w:p>
        </w:tc>
        <w:tc>
          <w:tcPr>
            <w:tcW w:w="0" w:type="auto"/>
            <w:shd w:val="clear" w:color="auto" w:fill="auto"/>
            <w:vAlign w:val="bottom"/>
          </w:tcPr>
          <w:p w14:paraId="42A1133F" w14:textId="77777777" w:rsidR="00BB68E1" w:rsidRDefault="00BB68E1">
            <w:pPr>
              <w:textAlignment w:val="bottom"/>
              <w:rPr>
                <w:rFonts w:ascii="Times New Roman" w:hAnsi="Times New Roman"/>
                <w:sz w:val="20"/>
                <w:szCs w:val="20"/>
              </w:rPr>
            </w:pPr>
          </w:p>
        </w:tc>
      </w:tr>
      <w:tr w:rsidR="00BB68E1" w14:paraId="42A1134B" w14:textId="77777777">
        <w:tc>
          <w:tcPr>
            <w:tcW w:w="0" w:type="auto"/>
            <w:shd w:val="clear" w:color="auto" w:fill="CCEEFF"/>
            <w:tcMar>
              <w:top w:w="40" w:type="dxa"/>
              <w:left w:w="40" w:type="dxa"/>
              <w:bottom w:w="40" w:type="dxa"/>
              <w:right w:w="40" w:type="dxa"/>
            </w:tcMar>
            <w:vAlign w:val="center"/>
          </w:tcPr>
          <w:p w14:paraId="42A1134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Mexico</w:t>
            </w:r>
          </w:p>
        </w:tc>
        <w:tc>
          <w:tcPr>
            <w:tcW w:w="0" w:type="auto"/>
            <w:shd w:val="clear" w:color="auto" w:fill="CCEEFF"/>
            <w:tcMar>
              <w:top w:w="40" w:type="dxa"/>
              <w:left w:w="40" w:type="dxa"/>
              <w:bottom w:w="40" w:type="dxa"/>
              <w:right w:w="40" w:type="dxa"/>
            </w:tcMar>
            <w:vAlign w:val="bottom"/>
          </w:tcPr>
          <w:p w14:paraId="42A1134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34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693</w:t>
            </w:r>
          </w:p>
        </w:tc>
        <w:tc>
          <w:tcPr>
            <w:tcW w:w="0" w:type="auto"/>
            <w:shd w:val="clear" w:color="auto" w:fill="CCEEFF"/>
            <w:vAlign w:val="bottom"/>
          </w:tcPr>
          <w:p w14:paraId="42A1134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34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34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1,878</w:t>
            </w:r>
          </w:p>
        </w:tc>
        <w:tc>
          <w:tcPr>
            <w:tcW w:w="0" w:type="auto"/>
            <w:shd w:val="clear" w:color="auto" w:fill="CCEEFF"/>
            <w:vAlign w:val="bottom"/>
          </w:tcPr>
          <w:p w14:paraId="42A1134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34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34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2,571</w:t>
            </w:r>
          </w:p>
        </w:tc>
        <w:tc>
          <w:tcPr>
            <w:tcW w:w="0" w:type="auto"/>
            <w:shd w:val="clear" w:color="auto" w:fill="CCEEFF"/>
            <w:vAlign w:val="bottom"/>
          </w:tcPr>
          <w:p w14:paraId="42A1134A" w14:textId="77777777" w:rsidR="00BB68E1" w:rsidRDefault="00BB68E1">
            <w:pPr>
              <w:textAlignment w:val="bottom"/>
              <w:rPr>
                <w:rFonts w:ascii="Times New Roman" w:hAnsi="Times New Roman"/>
                <w:sz w:val="20"/>
                <w:szCs w:val="20"/>
              </w:rPr>
            </w:pPr>
          </w:p>
        </w:tc>
      </w:tr>
      <w:tr w:rsidR="00BB68E1" w14:paraId="42A11356" w14:textId="77777777">
        <w:tc>
          <w:tcPr>
            <w:tcW w:w="0" w:type="auto"/>
            <w:shd w:val="clear" w:color="auto" w:fill="auto"/>
            <w:tcMar>
              <w:top w:w="40" w:type="dxa"/>
              <w:left w:w="40" w:type="dxa"/>
              <w:bottom w:w="40" w:type="dxa"/>
              <w:right w:w="40" w:type="dxa"/>
            </w:tcMar>
            <w:vAlign w:val="center"/>
          </w:tcPr>
          <w:p w14:paraId="42A1134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United Kingdom</w:t>
            </w:r>
          </w:p>
        </w:tc>
        <w:tc>
          <w:tcPr>
            <w:tcW w:w="0" w:type="auto"/>
            <w:shd w:val="clear" w:color="auto" w:fill="auto"/>
            <w:tcMar>
              <w:top w:w="40" w:type="dxa"/>
              <w:left w:w="40" w:type="dxa"/>
              <w:bottom w:w="40" w:type="dxa"/>
              <w:right w:w="40" w:type="dxa"/>
            </w:tcMar>
            <w:vAlign w:val="bottom"/>
          </w:tcPr>
          <w:p w14:paraId="42A113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34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432</w:t>
            </w:r>
          </w:p>
        </w:tc>
        <w:tc>
          <w:tcPr>
            <w:tcW w:w="0" w:type="auto"/>
            <w:shd w:val="clear" w:color="auto" w:fill="auto"/>
            <w:vAlign w:val="bottom"/>
          </w:tcPr>
          <w:p w14:paraId="42A1134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35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35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199</w:t>
            </w:r>
          </w:p>
        </w:tc>
        <w:tc>
          <w:tcPr>
            <w:tcW w:w="0" w:type="auto"/>
            <w:shd w:val="clear" w:color="auto" w:fill="auto"/>
            <w:vAlign w:val="bottom"/>
          </w:tcPr>
          <w:p w14:paraId="42A1135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35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35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631</w:t>
            </w:r>
          </w:p>
        </w:tc>
        <w:tc>
          <w:tcPr>
            <w:tcW w:w="0" w:type="auto"/>
            <w:shd w:val="clear" w:color="auto" w:fill="auto"/>
            <w:vAlign w:val="bottom"/>
          </w:tcPr>
          <w:p w14:paraId="42A11355" w14:textId="77777777" w:rsidR="00BB68E1" w:rsidRDefault="00BB68E1">
            <w:pPr>
              <w:textAlignment w:val="bottom"/>
              <w:rPr>
                <w:rFonts w:ascii="Times New Roman" w:hAnsi="Times New Roman"/>
                <w:sz w:val="20"/>
                <w:szCs w:val="20"/>
              </w:rPr>
            </w:pPr>
          </w:p>
        </w:tc>
      </w:tr>
      <w:tr w:rsidR="00BB68E1" w14:paraId="42A11361" w14:textId="77777777">
        <w:tc>
          <w:tcPr>
            <w:tcW w:w="0" w:type="auto"/>
            <w:shd w:val="clear" w:color="auto" w:fill="CCEEFF"/>
            <w:tcMar>
              <w:top w:w="40" w:type="dxa"/>
              <w:left w:w="40" w:type="dxa"/>
              <w:bottom w:w="40" w:type="dxa"/>
              <w:right w:w="40" w:type="dxa"/>
            </w:tcMar>
            <w:vAlign w:val="center"/>
          </w:tcPr>
          <w:p w14:paraId="42A11357"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            Total International retail units</w:t>
            </w:r>
          </w:p>
        </w:tc>
        <w:tc>
          <w:tcPr>
            <w:tcW w:w="0" w:type="auto"/>
            <w:shd w:val="clear" w:color="auto" w:fill="CCEEFF"/>
            <w:tcMar>
              <w:top w:w="40" w:type="dxa"/>
              <w:left w:w="40" w:type="dxa"/>
              <w:bottom w:w="40" w:type="dxa"/>
              <w:right w:w="40" w:type="dxa"/>
            </w:tcMar>
            <w:vAlign w:val="bottom"/>
          </w:tcPr>
          <w:p w14:paraId="42A1135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35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1,953</w:t>
            </w:r>
          </w:p>
        </w:tc>
        <w:tc>
          <w:tcPr>
            <w:tcW w:w="0" w:type="auto"/>
            <w:tcBorders>
              <w:top w:val="single" w:sz="8" w:space="0" w:color="000000"/>
            </w:tcBorders>
            <w:shd w:val="clear" w:color="auto" w:fill="CCEEFF"/>
            <w:vAlign w:val="bottom"/>
          </w:tcPr>
          <w:p w14:paraId="42A1135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35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35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4,193</w:t>
            </w:r>
          </w:p>
        </w:tc>
        <w:tc>
          <w:tcPr>
            <w:tcW w:w="0" w:type="auto"/>
            <w:tcBorders>
              <w:top w:val="single" w:sz="8" w:space="0" w:color="000000"/>
            </w:tcBorders>
            <w:shd w:val="clear" w:color="auto" w:fill="CCEEFF"/>
            <w:vAlign w:val="bottom"/>
          </w:tcPr>
          <w:p w14:paraId="42A1135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35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35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6,146</w:t>
            </w:r>
          </w:p>
        </w:tc>
        <w:tc>
          <w:tcPr>
            <w:tcW w:w="0" w:type="auto"/>
            <w:tcBorders>
              <w:top w:val="single" w:sz="8" w:space="0" w:color="000000"/>
            </w:tcBorders>
            <w:shd w:val="clear" w:color="auto" w:fill="CCEEFF"/>
            <w:vAlign w:val="bottom"/>
          </w:tcPr>
          <w:p w14:paraId="42A11360" w14:textId="77777777" w:rsidR="00BB68E1" w:rsidRDefault="00BB68E1">
            <w:pPr>
              <w:textAlignment w:val="bottom"/>
              <w:rPr>
                <w:rFonts w:ascii="Times New Roman" w:hAnsi="Times New Roman"/>
                <w:sz w:val="20"/>
                <w:szCs w:val="20"/>
              </w:rPr>
            </w:pPr>
          </w:p>
        </w:tc>
      </w:tr>
      <w:tr w:rsidR="00BB68E1" w14:paraId="42A1136C" w14:textId="77777777">
        <w:tc>
          <w:tcPr>
            <w:tcW w:w="0" w:type="auto"/>
            <w:shd w:val="clear" w:color="auto" w:fill="auto"/>
            <w:tcMar>
              <w:top w:w="40" w:type="dxa"/>
              <w:left w:w="40" w:type="dxa"/>
              <w:bottom w:w="40" w:type="dxa"/>
              <w:right w:w="40" w:type="dxa"/>
            </w:tcMar>
            <w:vAlign w:val="center"/>
          </w:tcPr>
          <w:p w14:paraId="42A1136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International distribution facilities</w:t>
            </w:r>
          </w:p>
        </w:tc>
        <w:tc>
          <w:tcPr>
            <w:tcW w:w="0" w:type="auto"/>
            <w:shd w:val="clear" w:color="auto" w:fill="auto"/>
            <w:tcMar>
              <w:top w:w="40" w:type="dxa"/>
              <w:left w:w="40" w:type="dxa"/>
              <w:bottom w:w="40" w:type="dxa"/>
              <w:right w:w="40" w:type="dxa"/>
            </w:tcMar>
            <w:vAlign w:val="bottom"/>
          </w:tcPr>
          <w:p w14:paraId="42A1136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36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34</w:t>
            </w:r>
          </w:p>
        </w:tc>
        <w:tc>
          <w:tcPr>
            <w:tcW w:w="0" w:type="auto"/>
            <w:shd w:val="clear" w:color="auto" w:fill="auto"/>
            <w:vAlign w:val="bottom"/>
          </w:tcPr>
          <w:p w14:paraId="42A1136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36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36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187</w:t>
            </w:r>
          </w:p>
        </w:tc>
        <w:tc>
          <w:tcPr>
            <w:tcW w:w="0" w:type="auto"/>
            <w:shd w:val="clear" w:color="auto" w:fill="auto"/>
            <w:vAlign w:val="bottom"/>
          </w:tcPr>
          <w:p w14:paraId="42A1136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36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36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221</w:t>
            </w:r>
          </w:p>
        </w:tc>
        <w:tc>
          <w:tcPr>
            <w:tcW w:w="0" w:type="auto"/>
            <w:shd w:val="clear" w:color="auto" w:fill="auto"/>
            <w:vAlign w:val="bottom"/>
          </w:tcPr>
          <w:p w14:paraId="42A1136B" w14:textId="77777777" w:rsidR="00BB68E1" w:rsidRDefault="00BB68E1">
            <w:pPr>
              <w:textAlignment w:val="bottom"/>
              <w:rPr>
                <w:rFonts w:ascii="Times New Roman" w:hAnsi="Times New Roman"/>
                <w:sz w:val="20"/>
                <w:szCs w:val="20"/>
              </w:rPr>
            </w:pPr>
          </w:p>
        </w:tc>
      </w:tr>
      <w:tr w:rsidR="00BB68E1" w14:paraId="42A11377" w14:textId="77777777">
        <w:tc>
          <w:tcPr>
            <w:tcW w:w="0" w:type="auto"/>
            <w:shd w:val="clear" w:color="auto" w:fill="CCEEFF"/>
            <w:tcMar>
              <w:top w:w="40" w:type="dxa"/>
              <w:left w:w="720" w:type="dxa"/>
              <w:bottom w:w="40" w:type="dxa"/>
              <w:right w:w="40" w:type="dxa"/>
            </w:tcMar>
            <w:vAlign w:val="center"/>
          </w:tcPr>
          <w:p w14:paraId="42A1136D"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International properties</w:t>
            </w:r>
          </w:p>
        </w:tc>
        <w:tc>
          <w:tcPr>
            <w:tcW w:w="0" w:type="auto"/>
            <w:shd w:val="clear" w:color="auto" w:fill="CCEEFF"/>
            <w:tcMar>
              <w:top w:w="40" w:type="dxa"/>
              <w:left w:w="40" w:type="dxa"/>
              <w:bottom w:w="40" w:type="dxa"/>
              <w:right w:w="40" w:type="dxa"/>
            </w:tcMar>
            <w:vAlign w:val="bottom"/>
          </w:tcPr>
          <w:p w14:paraId="42A113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center"/>
          </w:tcPr>
          <w:p w14:paraId="42A1136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1,987</w:t>
            </w:r>
          </w:p>
        </w:tc>
        <w:tc>
          <w:tcPr>
            <w:tcW w:w="0" w:type="auto"/>
            <w:tcBorders>
              <w:top w:val="single" w:sz="8" w:space="0" w:color="000000"/>
              <w:bottom w:val="single" w:sz="8" w:space="0" w:color="000000"/>
            </w:tcBorders>
            <w:shd w:val="clear" w:color="auto" w:fill="CCEEFF"/>
            <w:vAlign w:val="bottom"/>
          </w:tcPr>
          <w:p w14:paraId="42A1137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37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center"/>
          </w:tcPr>
          <w:p w14:paraId="42A1137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4,380</w:t>
            </w:r>
          </w:p>
        </w:tc>
        <w:tc>
          <w:tcPr>
            <w:tcW w:w="0" w:type="auto"/>
            <w:tcBorders>
              <w:top w:val="single" w:sz="8" w:space="0" w:color="000000"/>
              <w:bottom w:val="single" w:sz="8" w:space="0" w:color="000000"/>
            </w:tcBorders>
            <w:shd w:val="clear" w:color="auto" w:fill="CCEEFF"/>
            <w:vAlign w:val="bottom"/>
          </w:tcPr>
          <w:p w14:paraId="42A1137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37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center"/>
          </w:tcPr>
          <w:p w14:paraId="42A1137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6,367</w:t>
            </w:r>
          </w:p>
        </w:tc>
        <w:tc>
          <w:tcPr>
            <w:tcW w:w="0" w:type="auto"/>
            <w:tcBorders>
              <w:top w:val="single" w:sz="8" w:space="0" w:color="000000"/>
              <w:bottom w:val="single" w:sz="8" w:space="0" w:color="000000"/>
            </w:tcBorders>
            <w:shd w:val="clear" w:color="auto" w:fill="CCEEFF"/>
            <w:vAlign w:val="bottom"/>
          </w:tcPr>
          <w:p w14:paraId="42A11376" w14:textId="77777777" w:rsidR="00BB68E1" w:rsidRDefault="00BB68E1">
            <w:pPr>
              <w:textAlignment w:val="bottom"/>
              <w:rPr>
                <w:rFonts w:ascii="Times New Roman" w:hAnsi="Times New Roman"/>
                <w:sz w:val="20"/>
                <w:szCs w:val="20"/>
              </w:rPr>
            </w:pPr>
          </w:p>
        </w:tc>
      </w:tr>
      <w:tr w:rsidR="00BB68E1" w14:paraId="42A11382" w14:textId="77777777">
        <w:tc>
          <w:tcPr>
            <w:tcW w:w="0" w:type="auto"/>
            <w:shd w:val="clear" w:color="auto" w:fill="auto"/>
            <w:tcMar>
              <w:top w:w="40" w:type="dxa"/>
              <w:left w:w="40" w:type="dxa"/>
              <w:bottom w:w="40" w:type="dxa"/>
              <w:right w:w="40" w:type="dxa"/>
            </w:tcMar>
            <w:vAlign w:val="center"/>
          </w:tcPr>
          <w:p w14:paraId="42A11378"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properties</w:t>
            </w:r>
          </w:p>
        </w:tc>
        <w:tc>
          <w:tcPr>
            <w:tcW w:w="0" w:type="auto"/>
            <w:shd w:val="clear" w:color="auto" w:fill="auto"/>
            <w:tcMar>
              <w:top w:w="40" w:type="dxa"/>
              <w:left w:w="40" w:type="dxa"/>
              <w:bottom w:w="40" w:type="dxa"/>
              <w:right w:w="40" w:type="dxa"/>
            </w:tcMar>
            <w:vAlign w:val="bottom"/>
          </w:tcPr>
          <w:p w14:paraId="42A1137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137A" w14:textId="77777777" w:rsidR="00BB68E1" w:rsidRDefault="005D2D5E">
            <w:pPr>
              <w:jc w:val="right"/>
              <w:textAlignment w:val="center"/>
              <w:rPr>
                <w:rFonts w:ascii="Times New Roman" w:hAnsi="Times New Roman"/>
                <w:sz w:val="16"/>
                <w:szCs w:val="16"/>
              </w:rPr>
            </w:pPr>
            <w:r>
              <w:rPr>
                <w:rFonts w:ascii="Times New Roman" w:eastAsia="宋体" w:hAnsi="Times New Roman"/>
                <w:b/>
                <w:bCs/>
                <w:sz w:val="16"/>
                <w:szCs w:val="16"/>
              </w:rPr>
              <w:t>6,688</w:t>
            </w:r>
          </w:p>
        </w:tc>
        <w:tc>
          <w:tcPr>
            <w:tcW w:w="0" w:type="auto"/>
            <w:tcBorders>
              <w:top w:val="single" w:sz="8" w:space="0" w:color="000000"/>
              <w:bottom w:val="double" w:sz="6" w:space="0" w:color="000000"/>
            </w:tcBorders>
            <w:shd w:val="clear" w:color="auto" w:fill="auto"/>
            <w:vAlign w:val="bottom"/>
          </w:tcPr>
          <w:p w14:paraId="42A1137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3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137D" w14:textId="77777777" w:rsidR="00BB68E1" w:rsidRDefault="005D2D5E">
            <w:pPr>
              <w:jc w:val="right"/>
              <w:textAlignment w:val="center"/>
              <w:rPr>
                <w:rFonts w:ascii="Times New Roman" w:hAnsi="Times New Roman"/>
                <w:sz w:val="16"/>
                <w:szCs w:val="16"/>
              </w:rPr>
            </w:pPr>
            <w:r>
              <w:rPr>
                <w:rFonts w:ascii="Times New Roman" w:eastAsia="宋体" w:hAnsi="Times New Roman"/>
                <w:b/>
                <w:bCs/>
                <w:sz w:val="16"/>
                <w:szCs w:val="16"/>
              </w:rPr>
              <w:t>5,221</w:t>
            </w:r>
          </w:p>
        </w:tc>
        <w:tc>
          <w:tcPr>
            <w:tcW w:w="0" w:type="auto"/>
            <w:tcBorders>
              <w:top w:val="single" w:sz="8" w:space="0" w:color="000000"/>
              <w:bottom w:val="double" w:sz="6" w:space="0" w:color="000000"/>
            </w:tcBorders>
            <w:shd w:val="clear" w:color="auto" w:fill="auto"/>
            <w:vAlign w:val="bottom"/>
          </w:tcPr>
          <w:p w14:paraId="42A1137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37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1380" w14:textId="77777777" w:rsidR="00BB68E1" w:rsidRDefault="005D2D5E">
            <w:pPr>
              <w:jc w:val="right"/>
              <w:textAlignment w:val="center"/>
              <w:rPr>
                <w:rFonts w:ascii="Times New Roman" w:hAnsi="Times New Roman"/>
                <w:sz w:val="16"/>
                <w:szCs w:val="16"/>
              </w:rPr>
            </w:pPr>
            <w:r>
              <w:rPr>
                <w:rFonts w:ascii="Times New Roman" w:eastAsia="宋体" w:hAnsi="Times New Roman"/>
                <w:b/>
                <w:bCs/>
                <w:sz w:val="16"/>
                <w:szCs w:val="16"/>
              </w:rPr>
              <w:t>11,909</w:t>
            </w:r>
          </w:p>
        </w:tc>
        <w:tc>
          <w:tcPr>
            <w:tcW w:w="0" w:type="auto"/>
            <w:tcBorders>
              <w:top w:val="single" w:sz="8" w:space="0" w:color="000000"/>
              <w:bottom w:val="double" w:sz="6" w:space="0" w:color="000000"/>
            </w:tcBorders>
            <w:shd w:val="clear" w:color="auto" w:fill="auto"/>
            <w:vAlign w:val="bottom"/>
          </w:tcPr>
          <w:p w14:paraId="42A11381" w14:textId="77777777" w:rsidR="00BB68E1" w:rsidRDefault="00BB68E1">
            <w:pPr>
              <w:textAlignment w:val="bottom"/>
              <w:rPr>
                <w:rFonts w:ascii="Times New Roman" w:hAnsi="Times New Roman"/>
                <w:sz w:val="20"/>
                <w:szCs w:val="20"/>
              </w:rPr>
            </w:pPr>
          </w:p>
        </w:tc>
      </w:tr>
      <w:tr w:rsidR="00BB68E1" w14:paraId="42A1138A" w14:textId="77777777">
        <w:tc>
          <w:tcPr>
            <w:tcW w:w="0" w:type="auto"/>
            <w:shd w:val="clear" w:color="auto" w:fill="CCEEFF"/>
            <w:tcMar>
              <w:top w:w="40" w:type="dxa"/>
              <w:left w:w="40" w:type="dxa"/>
              <w:bottom w:w="40" w:type="dxa"/>
              <w:right w:w="40" w:type="dxa"/>
            </w:tcMar>
            <w:vAlign w:val="bottom"/>
          </w:tcPr>
          <w:p w14:paraId="42A1138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3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42A1138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3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42A113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38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42A1138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395" w14:textId="77777777">
        <w:tc>
          <w:tcPr>
            <w:tcW w:w="0" w:type="auto"/>
            <w:shd w:val="clear" w:color="auto" w:fill="auto"/>
            <w:tcMar>
              <w:top w:w="40" w:type="dxa"/>
              <w:left w:w="40" w:type="dxa"/>
              <w:bottom w:w="40" w:type="dxa"/>
              <w:right w:w="40" w:type="dxa"/>
            </w:tcMar>
            <w:vAlign w:val="center"/>
          </w:tcPr>
          <w:p w14:paraId="42A1138B"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retail units</w:t>
            </w:r>
          </w:p>
        </w:tc>
        <w:tc>
          <w:tcPr>
            <w:tcW w:w="0" w:type="auto"/>
            <w:shd w:val="clear" w:color="auto" w:fill="auto"/>
            <w:tcMar>
              <w:top w:w="40" w:type="dxa"/>
              <w:left w:w="40" w:type="dxa"/>
              <w:bottom w:w="40" w:type="dxa"/>
              <w:right w:w="40" w:type="dxa"/>
            </w:tcMar>
            <w:vAlign w:val="bottom"/>
          </w:tcPr>
          <w:p w14:paraId="42A1138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38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6,535</w:t>
            </w:r>
          </w:p>
        </w:tc>
        <w:tc>
          <w:tcPr>
            <w:tcW w:w="0" w:type="auto"/>
            <w:shd w:val="clear" w:color="auto" w:fill="auto"/>
            <w:vAlign w:val="bottom"/>
          </w:tcPr>
          <w:p w14:paraId="42A1138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38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39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4,966</w:t>
            </w:r>
          </w:p>
        </w:tc>
        <w:tc>
          <w:tcPr>
            <w:tcW w:w="0" w:type="auto"/>
            <w:shd w:val="clear" w:color="auto" w:fill="auto"/>
            <w:vAlign w:val="bottom"/>
          </w:tcPr>
          <w:p w14:paraId="42A1139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39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39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11,501</w:t>
            </w:r>
          </w:p>
        </w:tc>
        <w:tc>
          <w:tcPr>
            <w:tcW w:w="0" w:type="auto"/>
            <w:shd w:val="clear" w:color="auto" w:fill="auto"/>
            <w:vAlign w:val="bottom"/>
          </w:tcPr>
          <w:p w14:paraId="42A11394" w14:textId="77777777" w:rsidR="00BB68E1" w:rsidRDefault="00BB68E1">
            <w:pPr>
              <w:textAlignment w:val="bottom"/>
              <w:rPr>
                <w:rFonts w:ascii="Times New Roman" w:hAnsi="Times New Roman"/>
                <w:sz w:val="20"/>
                <w:szCs w:val="20"/>
              </w:rPr>
            </w:pPr>
          </w:p>
        </w:tc>
      </w:tr>
      <w:tr w:rsidR="00BB68E1" w14:paraId="42A113A0" w14:textId="77777777">
        <w:tc>
          <w:tcPr>
            <w:tcW w:w="0" w:type="auto"/>
            <w:shd w:val="clear" w:color="auto" w:fill="CCEEFF"/>
            <w:tcMar>
              <w:top w:w="40" w:type="dxa"/>
              <w:left w:w="40" w:type="dxa"/>
              <w:bottom w:w="40" w:type="dxa"/>
              <w:right w:w="40" w:type="dxa"/>
            </w:tcMar>
            <w:vAlign w:val="center"/>
          </w:tcPr>
          <w:p w14:paraId="42A11396"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distribution facilities</w:t>
            </w:r>
          </w:p>
        </w:tc>
        <w:tc>
          <w:tcPr>
            <w:tcW w:w="0" w:type="auto"/>
            <w:shd w:val="clear" w:color="auto" w:fill="CCEEFF"/>
            <w:tcMar>
              <w:top w:w="40" w:type="dxa"/>
              <w:left w:w="40" w:type="dxa"/>
              <w:bottom w:w="40" w:type="dxa"/>
              <w:right w:w="40" w:type="dxa"/>
            </w:tcMar>
            <w:vAlign w:val="bottom"/>
          </w:tcPr>
          <w:p w14:paraId="42A1139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center"/>
          </w:tcPr>
          <w:p w14:paraId="42A1139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153</w:t>
            </w:r>
          </w:p>
        </w:tc>
        <w:tc>
          <w:tcPr>
            <w:tcW w:w="0" w:type="auto"/>
            <w:tcBorders>
              <w:bottom w:val="single" w:sz="8" w:space="0" w:color="000000"/>
            </w:tcBorders>
            <w:shd w:val="clear" w:color="auto" w:fill="CCEEFF"/>
            <w:vAlign w:val="bottom"/>
          </w:tcPr>
          <w:p w14:paraId="42A1139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39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center"/>
          </w:tcPr>
          <w:p w14:paraId="42A1139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255</w:t>
            </w:r>
          </w:p>
        </w:tc>
        <w:tc>
          <w:tcPr>
            <w:tcW w:w="0" w:type="auto"/>
            <w:tcBorders>
              <w:bottom w:val="single" w:sz="8" w:space="0" w:color="000000"/>
            </w:tcBorders>
            <w:shd w:val="clear" w:color="auto" w:fill="CCEEFF"/>
            <w:vAlign w:val="bottom"/>
          </w:tcPr>
          <w:p w14:paraId="42A1139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39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39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408</w:t>
            </w:r>
          </w:p>
        </w:tc>
        <w:tc>
          <w:tcPr>
            <w:tcW w:w="0" w:type="auto"/>
            <w:shd w:val="clear" w:color="auto" w:fill="CCEEFF"/>
            <w:vAlign w:val="bottom"/>
          </w:tcPr>
          <w:p w14:paraId="42A1139F" w14:textId="77777777" w:rsidR="00BB68E1" w:rsidRDefault="00BB68E1">
            <w:pPr>
              <w:textAlignment w:val="bottom"/>
              <w:rPr>
                <w:rFonts w:ascii="Times New Roman" w:hAnsi="Times New Roman"/>
                <w:sz w:val="20"/>
                <w:szCs w:val="20"/>
              </w:rPr>
            </w:pPr>
          </w:p>
        </w:tc>
      </w:tr>
      <w:tr w:rsidR="00BB68E1" w14:paraId="42A113AB" w14:textId="77777777">
        <w:tc>
          <w:tcPr>
            <w:tcW w:w="0" w:type="auto"/>
            <w:shd w:val="clear" w:color="auto" w:fill="auto"/>
            <w:tcMar>
              <w:top w:w="40" w:type="dxa"/>
              <w:left w:w="40" w:type="dxa"/>
              <w:bottom w:w="40" w:type="dxa"/>
              <w:right w:w="40" w:type="dxa"/>
            </w:tcMar>
            <w:vAlign w:val="center"/>
          </w:tcPr>
          <w:p w14:paraId="42A113A1"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properties</w:t>
            </w:r>
          </w:p>
        </w:tc>
        <w:tc>
          <w:tcPr>
            <w:tcW w:w="0" w:type="auto"/>
            <w:shd w:val="clear" w:color="auto" w:fill="auto"/>
            <w:tcMar>
              <w:top w:w="40" w:type="dxa"/>
              <w:left w:w="40" w:type="dxa"/>
              <w:bottom w:w="40" w:type="dxa"/>
              <w:right w:w="40" w:type="dxa"/>
            </w:tcMar>
            <w:vAlign w:val="bottom"/>
          </w:tcPr>
          <w:p w14:paraId="42A113A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13A3" w14:textId="77777777" w:rsidR="00BB68E1" w:rsidRDefault="005D2D5E">
            <w:pPr>
              <w:jc w:val="right"/>
              <w:textAlignment w:val="center"/>
              <w:rPr>
                <w:rFonts w:ascii="Times New Roman" w:hAnsi="Times New Roman"/>
                <w:sz w:val="16"/>
                <w:szCs w:val="16"/>
              </w:rPr>
            </w:pPr>
            <w:r>
              <w:rPr>
                <w:rFonts w:ascii="Times New Roman" w:eastAsia="宋体" w:hAnsi="Times New Roman"/>
                <w:b/>
                <w:bCs/>
                <w:sz w:val="16"/>
                <w:szCs w:val="16"/>
              </w:rPr>
              <w:t>6,688</w:t>
            </w:r>
          </w:p>
        </w:tc>
        <w:tc>
          <w:tcPr>
            <w:tcW w:w="0" w:type="auto"/>
            <w:tcBorders>
              <w:top w:val="single" w:sz="8" w:space="0" w:color="000000"/>
              <w:bottom w:val="double" w:sz="6" w:space="0" w:color="000000"/>
            </w:tcBorders>
            <w:shd w:val="clear" w:color="auto" w:fill="auto"/>
            <w:vAlign w:val="bottom"/>
          </w:tcPr>
          <w:p w14:paraId="42A113A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3A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13A6" w14:textId="77777777" w:rsidR="00BB68E1" w:rsidRDefault="005D2D5E">
            <w:pPr>
              <w:jc w:val="right"/>
              <w:textAlignment w:val="center"/>
              <w:rPr>
                <w:rFonts w:ascii="Times New Roman" w:hAnsi="Times New Roman"/>
                <w:sz w:val="16"/>
                <w:szCs w:val="16"/>
              </w:rPr>
            </w:pPr>
            <w:r>
              <w:rPr>
                <w:rFonts w:ascii="Times New Roman" w:eastAsia="宋体" w:hAnsi="Times New Roman"/>
                <w:b/>
                <w:bCs/>
                <w:sz w:val="16"/>
                <w:szCs w:val="16"/>
              </w:rPr>
              <w:t>5,221</w:t>
            </w:r>
          </w:p>
        </w:tc>
        <w:tc>
          <w:tcPr>
            <w:tcW w:w="0" w:type="auto"/>
            <w:tcBorders>
              <w:top w:val="single" w:sz="8" w:space="0" w:color="000000"/>
              <w:bottom w:val="double" w:sz="6" w:space="0" w:color="000000"/>
            </w:tcBorders>
            <w:shd w:val="clear" w:color="auto" w:fill="auto"/>
            <w:vAlign w:val="bottom"/>
          </w:tcPr>
          <w:p w14:paraId="42A113A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3A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13A9" w14:textId="77777777" w:rsidR="00BB68E1" w:rsidRDefault="005D2D5E">
            <w:pPr>
              <w:jc w:val="right"/>
              <w:textAlignment w:val="center"/>
              <w:rPr>
                <w:rFonts w:ascii="Times New Roman" w:hAnsi="Times New Roman"/>
                <w:sz w:val="16"/>
                <w:szCs w:val="16"/>
              </w:rPr>
            </w:pPr>
            <w:r>
              <w:rPr>
                <w:rFonts w:ascii="Times New Roman" w:eastAsia="宋体" w:hAnsi="Times New Roman"/>
                <w:b/>
                <w:bCs/>
                <w:sz w:val="16"/>
                <w:szCs w:val="16"/>
              </w:rPr>
              <w:t>11,909</w:t>
            </w:r>
          </w:p>
        </w:tc>
        <w:tc>
          <w:tcPr>
            <w:tcW w:w="0" w:type="auto"/>
            <w:tcBorders>
              <w:top w:val="single" w:sz="8" w:space="0" w:color="000000"/>
              <w:bottom w:val="double" w:sz="6" w:space="0" w:color="000000"/>
            </w:tcBorders>
            <w:shd w:val="clear" w:color="auto" w:fill="auto"/>
            <w:vAlign w:val="bottom"/>
          </w:tcPr>
          <w:p w14:paraId="42A113AA" w14:textId="77777777" w:rsidR="00BB68E1" w:rsidRDefault="00BB68E1">
            <w:pPr>
              <w:textAlignment w:val="bottom"/>
              <w:rPr>
                <w:rFonts w:ascii="Times New Roman" w:hAnsi="Times New Roman"/>
                <w:sz w:val="20"/>
                <w:szCs w:val="20"/>
              </w:rPr>
            </w:pPr>
          </w:p>
        </w:tc>
      </w:tr>
    </w:tbl>
    <w:p w14:paraId="42A113AC"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6448"/>
      </w:tblGrid>
      <w:tr w:rsidR="00BB68E1" w14:paraId="42A113AF" w14:textId="77777777">
        <w:trPr>
          <w:tblCellSpacing w:w="0" w:type="dxa"/>
        </w:trPr>
        <w:tc>
          <w:tcPr>
            <w:tcW w:w="480" w:type="dxa"/>
            <w:shd w:val="clear" w:color="auto" w:fill="auto"/>
            <w:vAlign w:val="center"/>
          </w:tcPr>
          <w:p w14:paraId="42A113AD" w14:textId="77777777" w:rsidR="00BB68E1" w:rsidRDefault="00BB68E1">
            <w:pPr>
              <w:rPr>
                <w:rFonts w:ascii="Times New Roman" w:hAnsi="Times New Roman"/>
                <w:sz w:val="20"/>
                <w:szCs w:val="20"/>
              </w:rPr>
            </w:pPr>
          </w:p>
        </w:tc>
        <w:tc>
          <w:tcPr>
            <w:tcW w:w="0" w:type="auto"/>
            <w:shd w:val="clear" w:color="auto" w:fill="auto"/>
            <w:vAlign w:val="center"/>
          </w:tcPr>
          <w:p w14:paraId="42A113AE" w14:textId="77777777" w:rsidR="00BB68E1" w:rsidRDefault="00BB68E1">
            <w:pPr>
              <w:rPr>
                <w:rFonts w:ascii="Times New Roman" w:hAnsi="Times New Roman"/>
                <w:sz w:val="20"/>
                <w:szCs w:val="20"/>
              </w:rPr>
            </w:pPr>
          </w:p>
        </w:tc>
      </w:tr>
      <w:tr w:rsidR="00BB68E1" w14:paraId="42A113B2" w14:textId="77777777">
        <w:trPr>
          <w:tblCellSpacing w:w="0" w:type="dxa"/>
        </w:trPr>
        <w:tc>
          <w:tcPr>
            <w:tcW w:w="0" w:type="auto"/>
            <w:shd w:val="clear" w:color="auto" w:fill="auto"/>
          </w:tcPr>
          <w:p w14:paraId="42A113B0"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(1)</w:t>
            </w:r>
          </w:p>
        </w:tc>
        <w:tc>
          <w:tcPr>
            <w:tcW w:w="0" w:type="auto"/>
            <w:shd w:val="clear" w:color="auto" w:fill="auto"/>
          </w:tcPr>
          <w:p w14:paraId="42A113B1"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 xml:space="preserve">Also includes U.S. and </w:t>
            </w:r>
            <w:r>
              <w:rPr>
                <w:rFonts w:ascii="Times New Roman" w:eastAsia="宋体" w:hAnsi="Times New Roman"/>
                <w:sz w:val="16"/>
                <w:szCs w:val="16"/>
              </w:rPr>
              <w:t>international distribution facilities which are third-party owned and operated.</w:t>
            </w:r>
          </w:p>
        </w:tc>
      </w:tr>
    </w:tbl>
    <w:p w14:paraId="42A113B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We own office facilities in Bentonville, Arkansas, that serve as our principal office and own and lease office facilities throughout the U.S. and </w:t>
      </w:r>
      <w:r>
        <w:rPr>
          <w:rFonts w:ascii="Times New Roman" w:eastAsia="宋体" w:hAnsi="Times New Roman"/>
          <w:sz w:val="20"/>
          <w:szCs w:val="20"/>
        </w:rPr>
        <w:t>internationally for operations as well as for field and market management. The land on which our stores are located is either owned or leased by the Company. We use independent contractors to construct our buildings. All store leases provide for annual ren</w:t>
      </w:r>
      <w:r>
        <w:rPr>
          <w:rFonts w:ascii="Times New Roman" w:eastAsia="宋体" w:hAnsi="Times New Roman"/>
          <w:sz w:val="20"/>
          <w:szCs w:val="20"/>
        </w:rPr>
        <w:t>tals, some of which escalate during the original lease or provide for additional rent based on sales volume. Substantially all of the Company's store and club leases have renewal options, some of which include rent escalation clauses.</w:t>
      </w:r>
    </w:p>
    <w:p w14:paraId="42A113B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For further informati</w:t>
      </w:r>
      <w:r>
        <w:rPr>
          <w:rFonts w:ascii="Times New Roman" w:eastAsia="宋体" w:hAnsi="Times New Roman"/>
          <w:sz w:val="20"/>
          <w:szCs w:val="20"/>
        </w:rPr>
        <w:t>on on our distribution centers, see the caption "Distribution" provided for each of our segments under "</w:t>
      </w:r>
      <w:hyperlink r:id="rId82" w:anchor="s56BB582E1F7151349909909831A40BD4" w:history="1">
        <w:r>
          <w:rPr>
            <w:rStyle w:val="a5"/>
            <w:rFonts w:ascii="Times New Roman" w:eastAsia="宋体" w:hAnsi="Times New Roman"/>
            <w:sz w:val="20"/>
            <w:szCs w:val="20"/>
          </w:rPr>
          <w:t>Item 1. Business</w:t>
        </w:r>
      </w:hyperlink>
      <w:r>
        <w:rPr>
          <w:rFonts w:ascii="Times New Roman" w:eastAsia="宋体" w:hAnsi="Times New Roman"/>
          <w:sz w:val="20"/>
          <w:szCs w:val="20"/>
        </w:rPr>
        <w:t>."</w:t>
      </w:r>
    </w:p>
    <w:p w14:paraId="42A113B5" w14:textId="77777777" w:rsidR="00BB68E1" w:rsidRDefault="00BB68E1">
      <w:pPr>
        <w:spacing w:line="288" w:lineRule="auto"/>
        <w:rPr>
          <w:rFonts w:ascii="Times New Roman" w:hAnsi="Times New Roman"/>
          <w:sz w:val="20"/>
          <w:szCs w:val="20"/>
        </w:rPr>
      </w:pPr>
    </w:p>
    <w:p w14:paraId="42A113B6" w14:textId="77777777" w:rsidR="00BB68E1" w:rsidRDefault="00BB68E1">
      <w:pPr>
        <w:rPr>
          <w:rFonts w:ascii="Times New Roman" w:hAnsi="Times New Roman"/>
          <w:sz w:val="20"/>
          <w:szCs w:val="20"/>
        </w:rPr>
      </w:pPr>
    </w:p>
    <w:p w14:paraId="42A113B7"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26</w:t>
      </w:r>
    </w:p>
    <w:p w14:paraId="42A113B8" w14:textId="77777777" w:rsidR="00BB68E1" w:rsidRDefault="00BB68E1">
      <w:pPr>
        <w:spacing w:line="288" w:lineRule="auto"/>
        <w:jc w:val="center"/>
        <w:rPr>
          <w:rFonts w:ascii="Times New Roman" w:hAnsi="Times New Roman"/>
          <w:sz w:val="20"/>
          <w:szCs w:val="20"/>
        </w:rPr>
      </w:pPr>
    </w:p>
    <w:p w14:paraId="42A113B9" w14:textId="77777777" w:rsidR="00BB68E1" w:rsidRDefault="005D2D5E">
      <w:r>
        <w:rPr>
          <w:rFonts w:ascii="Times New Roman" w:hAnsi="Times New Roman"/>
          <w:sz w:val="20"/>
          <w:szCs w:val="20"/>
        </w:rPr>
        <w:pict w14:anchorId="42A1428F">
          <v:rect id="_x0000_i1050" style="width:415.3pt;height:1.5pt" o:hralign="center" o:hrstd="t" o:hr="t" fillcolor="#a0a0a0" stroked="f"/>
        </w:pict>
      </w:r>
    </w:p>
    <w:p w14:paraId="42A113BA" w14:textId="77777777" w:rsidR="00BB68E1" w:rsidRDefault="00BB68E1">
      <w:pPr>
        <w:rPr>
          <w:rFonts w:ascii="Times New Roman" w:hAnsi="Times New Roman"/>
          <w:sz w:val="20"/>
          <w:szCs w:val="20"/>
        </w:rPr>
      </w:pPr>
    </w:p>
    <w:tbl>
      <w:tblPr>
        <w:tblW w:w="3928" w:type="pct"/>
        <w:tblCellMar>
          <w:left w:w="0" w:type="dxa"/>
          <w:right w:w="0" w:type="dxa"/>
        </w:tblCellMar>
        <w:tblLook w:val="04A0" w:firstRow="1" w:lastRow="0" w:firstColumn="1" w:lastColumn="0" w:noHBand="0" w:noVBand="1"/>
      </w:tblPr>
      <w:tblGrid>
        <w:gridCol w:w="913"/>
        <w:gridCol w:w="5612"/>
      </w:tblGrid>
      <w:tr w:rsidR="00BB68E1" w14:paraId="42A113BC" w14:textId="77777777">
        <w:tc>
          <w:tcPr>
            <w:tcW w:w="0" w:type="auto"/>
            <w:gridSpan w:val="2"/>
            <w:shd w:val="clear" w:color="auto" w:fill="auto"/>
            <w:vAlign w:val="center"/>
          </w:tcPr>
          <w:p w14:paraId="42A113BB" w14:textId="77777777" w:rsidR="00BB68E1" w:rsidRDefault="00BB68E1">
            <w:pPr>
              <w:rPr>
                <w:rFonts w:ascii="Times New Roman" w:hAnsi="Times New Roman"/>
                <w:sz w:val="20"/>
                <w:szCs w:val="20"/>
              </w:rPr>
            </w:pPr>
          </w:p>
        </w:tc>
      </w:tr>
      <w:tr w:rsidR="00BB68E1" w14:paraId="42A113BF" w14:textId="77777777">
        <w:tc>
          <w:tcPr>
            <w:tcW w:w="700" w:type="pct"/>
            <w:shd w:val="clear" w:color="auto" w:fill="auto"/>
            <w:vAlign w:val="center"/>
          </w:tcPr>
          <w:p w14:paraId="42A113BD" w14:textId="77777777" w:rsidR="00BB68E1" w:rsidRDefault="00BB68E1">
            <w:pPr>
              <w:rPr>
                <w:rFonts w:ascii="Times New Roman" w:hAnsi="Times New Roman"/>
                <w:sz w:val="20"/>
                <w:szCs w:val="20"/>
              </w:rPr>
            </w:pPr>
          </w:p>
        </w:tc>
        <w:tc>
          <w:tcPr>
            <w:tcW w:w="4300" w:type="pct"/>
            <w:shd w:val="clear" w:color="auto" w:fill="auto"/>
            <w:vAlign w:val="center"/>
          </w:tcPr>
          <w:p w14:paraId="42A113BE" w14:textId="77777777" w:rsidR="00BB68E1" w:rsidRDefault="00BB68E1">
            <w:pPr>
              <w:rPr>
                <w:rFonts w:ascii="Times New Roman" w:hAnsi="Times New Roman"/>
                <w:sz w:val="20"/>
                <w:szCs w:val="20"/>
              </w:rPr>
            </w:pPr>
          </w:p>
        </w:tc>
      </w:tr>
      <w:tr w:rsidR="00BB68E1" w14:paraId="42A113C2" w14:textId="77777777">
        <w:tc>
          <w:tcPr>
            <w:tcW w:w="0" w:type="auto"/>
            <w:shd w:val="clear" w:color="auto" w:fill="auto"/>
            <w:tcMar>
              <w:top w:w="40" w:type="dxa"/>
              <w:left w:w="40" w:type="dxa"/>
              <w:bottom w:w="40" w:type="dxa"/>
              <w:right w:w="40" w:type="dxa"/>
            </w:tcMar>
          </w:tcPr>
          <w:p w14:paraId="42A113C0"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3.</w:t>
            </w:r>
          </w:p>
        </w:tc>
        <w:tc>
          <w:tcPr>
            <w:tcW w:w="0" w:type="auto"/>
            <w:shd w:val="clear" w:color="auto" w:fill="auto"/>
            <w:tcMar>
              <w:top w:w="40" w:type="dxa"/>
              <w:left w:w="40" w:type="dxa"/>
              <w:bottom w:w="40" w:type="dxa"/>
              <w:right w:w="40" w:type="dxa"/>
            </w:tcMar>
          </w:tcPr>
          <w:p w14:paraId="42A113C1"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LEGAL PROCEEDINGS</w:t>
            </w:r>
          </w:p>
        </w:tc>
      </w:tr>
    </w:tbl>
    <w:p w14:paraId="42A113C3"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I. SUPPLEMENTAL INFORMATION:</w:t>
      </w:r>
      <w:r>
        <w:rPr>
          <w:rFonts w:ascii="Times New Roman" w:eastAsia="宋体" w:hAnsi="Times New Roman"/>
          <w:sz w:val="20"/>
          <w:szCs w:val="20"/>
        </w:rPr>
        <w:t xml:space="preserve"> We discuss certain legal proceedings in </w:t>
      </w:r>
      <w:hyperlink r:id="rId83" w:anchor="s690E1B30602F5A19B538C0DDCD5CA9FB" w:history="1">
        <w:r>
          <w:rPr>
            <w:rStyle w:val="a5"/>
            <w:rFonts w:ascii="Times New Roman" w:eastAsia="宋体" w:hAnsi="Times New Roman"/>
            <w:sz w:val="20"/>
            <w:szCs w:val="20"/>
          </w:rPr>
          <w:t>Note 10</w:t>
        </w:r>
      </w:hyperlink>
      <w:r>
        <w:rPr>
          <w:rFonts w:ascii="Times New Roman" w:eastAsia="宋体" w:hAnsi="Times New Roman"/>
          <w:sz w:val="20"/>
          <w:szCs w:val="20"/>
        </w:rPr>
        <w:t xml:space="preserve"> to our Consolidated Financial Statements, entitled "Contingencies," which is included in </w:t>
      </w:r>
      <w:hyperlink r:id="rId84" w:anchor="sFCE629F46DEA5012B13798FF82B77CC9" w:history="1">
        <w:r>
          <w:rPr>
            <w:rStyle w:val="a5"/>
            <w:rFonts w:ascii="Times New Roman" w:eastAsia="宋体" w:hAnsi="Times New Roman"/>
            <w:sz w:val="20"/>
            <w:szCs w:val="20"/>
          </w:rPr>
          <w:t>Part II, Item 8.</w:t>
        </w:r>
      </w:hyperlink>
      <w:r>
        <w:rPr>
          <w:rFonts w:ascii="Times New Roman" w:eastAsia="宋体" w:hAnsi="Times New Roman"/>
          <w:sz w:val="20"/>
          <w:szCs w:val="20"/>
        </w:rPr>
        <w:t xml:space="preserve"> Financial Statements and Supplementary Data of this Annual Report on Form 10-K. We r</w:t>
      </w:r>
      <w:r>
        <w:rPr>
          <w:rFonts w:ascii="Times New Roman" w:eastAsia="宋体" w:hAnsi="Times New Roman"/>
          <w:sz w:val="20"/>
          <w:szCs w:val="20"/>
        </w:rPr>
        <w:t xml:space="preserve">efer you to that discussion for important information concerning those legal proceedings, including the basis for such actions and, where known, the relief sought. </w:t>
      </w:r>
    </w:p>
    <w:p w14:paraId="42A113C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 xml:space="preserve">We provide the following additional information concerning those legal </w:t>
      </w:r>
      <w:r>
        <w:rPr>
          <w:rFonts w:ascii="Times New Roman" w:eastAsia="宋体" w:hAnsi="Times New Roman"/>
          <w:sz w:val="20"/>
          <w:szCs w:val="20"/>
        </w:rPr>
        <w:t>proceedings, including the name of the lawsuit, the court in which the lawsuit is pending, and the date on which the petition commencing the lawsuit was filed.</w:t>
      </w:r>
    </w:p>
    <w:p w14:paraId="42A113C5"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 xml:space="preserve">Asda Equal Value Claims: </w:t>
      </w:r>
      <w:r>
        <w:rPr>
          <w:rFonts w:ascii="Times New Roman" w:eastAsia="宋体" w:hAnsi="Times New Roman"/>
          <w:sz w:val="20"/>
          <w:szCs w:val="20"/>
        </w:rPr>
        <w:t>Ms S Brierley &amp; Others v ASDA Stores Ltd (2406372/2008 &amp; Others - Manch</w:t>
      </w:r>
      <w:r>
        <w:rPr>
          <w:rFonts w:ascii="Times New Roman" w:eastAsia="宋体" w:hAnsi="Times New Roman"/>
          <w:sz w:val="20"/>
          <w:szCs w:val="20"/>
        </w:rPr>
        <w:t xml:space="preserve">ester Employment Tribunal); ASDA Stores Ltd v Brierley &amp; Ors (A2/2016/0973 - United Kingdom Court of Appeal); ASDA Stores Ltd v Ms S Brierley &amp; Others (UKEAT/0059/16/DM - United Kingdom Employment Appeal Tribunal); ASDA Stores Ltd v Ms S Brierley &amp; Others </w:t>
      </w:r>
      <w:r>
        <w:rPr>
          <w:rFonts w:ascii="Times New Roman" w:eastAsia="宋体" w:hAnsi="Times New Roman"/>
          <w:sz w:val="20"/>
          <w:szCs w:val="20"/>
        </w:rPr>
        <w:t>(UKEAT/0009/16/JOJ - United Kingdom Employment Appeal Tribunal).</w:t>
      </w:r>
    </w:p>
    <w:p w14:paraId="42A113C6"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National Prescription Opiate Litigation:</w:t>
      </w:r>
      <w:r>
        <w:rPr>
          <w:rFonts w:ascii="Times New Roman" w:eastAsia="宋体" w:hAnsi="Times New Roman"/>
          <w:i/>
          <w:iCs/>
          <w:sz w:val="20"/>
          <w:szCs w:val="20"/>
        </w:rPr>
        <w:t xml:space="preserve"> In re National Prescription Opiate Litigation</w:t>
      </w:r>
      <w:r>
        <w:rPr>
          <w:rFonts w:ascii="Times New Roman" w:eastAsia="宋体" w:hAnsi="Times New Roman"/>
          <w:sz w:val="20"/>
          <w:szCs w:val="20"/>
        </w:rPr>
        <w:t xml:space="preserve"> (MDL No. 2804) (the "MDL"). The MDL is pending in the U.S. District Court for the Northern District of O</w:t>
      </w:r>
      <w:r>
        <w:rPr>
          <w:rFonts w:ascii="Times New Roman" w:eastAsia="宋体" w:hAnsi="Times New Roman"/>
          <w:sz w:val="20"/>
          <w:szCs w:val="20"/>
        </w:rPr>
        <w:t>hio and includes over 2,000 cases as of March 6, 2020; some cases are in the process of being transferred to the MDL or have remand motions pending; and there are over 200 additional state cases, including those remanded to state court, pending as of March</w:t>
      </w:r>
      <w:r>
        <w:rPr>
          <w:rFonts w:ascii="Times New Roman" w:eastAsia="宋体" w:hAnsi="Times New Roman"/>
          <w:sz w:val="20"/>
          <w:szCs w:val="20"/>
        </w:rPr>
        <w:t> 6, 2020. The case citations for the state cases are listed on Exhibit 99.1 to this Form 10-K.</w:t>
      </w:r>
    </w:p>
    <w:p w14:paraId="42A113C7"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 xml:space="preserve">II. CERTAIN OTHER MATTERS: </w:t>
      </w:r>
      <w:r>
        <w:rPr>
          <w:rFonts w:ascii="Times New Roman" w:eastAsia="宋体" w:hAnsi="Times New Roman"/>
          <w:sz w:val="20"/>
          <w:szCs w:val="20"/>
        </w:rPr>
        <w:t>The Company has received grand jury subpoenas issued by the United States Attorney’s Office for the Middle District of Pennsylvania se</w:t>
      </w:r>
      <w:r>
        <w:rPr>
          <w:rFonts w:ascii="Times New Roman" w:eastAsia="宋体" w:hAnsi="Times New Roman"/>
          <w:sz w:val="20"/>
          <w:szCs w:val="20"/>
        </w:rPr>
        <w:t>eking documents regarding the Company’s consumer fraud program and anti-money laundering compliance related to the Company’s money transfer services, where Walmart is an agent. The most recent subpoena was issued in January 2020. The Company has been respo</w:t>
      </w:r>
      <w:r>
        <w:rPr>
          <w:rFonts w:ascii="Times New Roman" w:eastAsia="宋体" w:hAnsi="Times New Roman"/>
          <w:sz w:val="20"/>
          <w:szCs w:val="20"/>
        </w:rPr>
        <w:t xml:space="preserve">nding to these subpoenas. The Company has also been responding to civil investigative demands from the United States Federal Trade Commission related to money transfers and the Company’s anti-fraud program. Due to the investigative stage of these matters, </w:t>
      </w:r>
      <w:r>
        <w:rPr>
          <w:rFonts w:ascii="Times New Roman" w:eastAsia="宋体" w:hAnsi="Times New Roman"/>
          <w:sz w:val="20"/>
          <w:szCs w:val="20"/>
        </w:rPr>
        <w:t>the Company is unable to predict the outcome of the investigations by the governmental entities. While the Company does not currently believe that the outcome of these matters will have a material adverse effect on its business, financial condition, result</w:t>
      </w:r>
      <w:r>
        <w:rPr>
          <w:rFonts w:ascii="Times New Roman" w:eastAsia="宋体" w:hAnsi="Times New Roman"/>
          <w:sz w:val="20"/>
          <w:szCs w:val="20"/>
        </w:rPr>
        <w:t xml:space="preserve">s of operations or cash flows, the Company can provide no assurance as to the scope and outcome of these matters and whether its business, financial position, results of operations or cash flows will not be materially adversely affected. </w:t>
      </w:r>
    </w:p>
    <w:p w14:paraId="42A113C8"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III. ENVIRONMENTA</w:t>
      </w:r>
      <w:r>
        <w:rPr>
          <w:rFonts w:ascii="Times New Roman" w:eastAsia="宋体" w:hAnsi="Times New Roman"/>
          <w:b/>
          <w:bCs/>
          <w:sz w:val="20"/>
          <w:szCs w:val="20"/>
        </w:rPr>
        <w:t>L MATTERS:</w:t>
      </w:r>
      <w:r>
        <w:rPr>
          <w:rFonts w:ascii="Times New Roman" w:eastAsia="宋体" w:hAnsi="Times New Roman"/>
          <w:sz w:val="20"/>
          <w:szCs w:val="20"/>
        </w:rPr>
        <w:t xml:space="preserve"> Item 103 of SEC Regulation S-K requires disclosure of certain environmental matters. The following matters are disclosed in accordance with that requirement. For the matters listed below, management does not believe any possible loss or the rang</w:t>
      </w:r>
      <w:r>
        <w:rPr>
          <w:rFonts w:ascii="Times New Roman" w:eastAsia="宋体" w:hAnsi="Times New Roman"/>
          <w:sz w:val="20"/>
          <w:szCs w:val="20"/>
        </w:rPr>
        <w:t>e of any possible loss that may be incurred in connection with each matter, individually or in the aggregate, will be material to the Company's financial condition or results of operations.</w:t>
      </w:r>
    </w:p>
    <w:p w14:paraId="42A113C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In September 2018, the United States Environmental </w:t>
      </w:r>
      <w:r>
        <w:rPr>
          <w:rFonts w:ascii="Times New Roman" w:eastAsia="宋体" w:hAnsi="Times New Roman"/>
          <w:sz w:val="20"/>
          <w:szCs w:val="20"/>
        </w:rPr>
        <w:t>Protection Agency (the “EPA”) notified the Company that it had initiated an administrative penalty action by issuing a Draft Consent Agreement and Final Order. The letter accompanying the Draft Consent Agreement and Final Order alleges that the Company dis</w:t>
      </w:r>
      <w:r>
        <w:rPr>
          <w:rFonts w:ascii="Times New Roman" w:eastAsia="宋体" w:hAnsi="Times New Roman"/>
          <w:sz w:val="20"/>
          <w:szCs w:val="20"/>
        </w:rPr>
        <w:t>tributed and/or sold three unregistered pesticide products from March to June, 2017. The EPA is seeking a penalty of $960,000. The manufacturer of the product is responsible for ensuring that a FIFRA-regulated product is properly registered prior to its sa</w:t>
      </w:r>
      <w:r>
        <w:rPr>
          <w:rFonts w:ascii="Times New Roman" w:eastAsia="宋体" w:hAnsi="Times New Roman"/>
          <w:sz w:val="20"/>
          <w:szCs w:val="20"/>
        </w:rPr>
        <w:t>le. The Company is cooperating with the EPA.</w:t>
      </w:r>
    </w:p>
    <w:p w14:paraId="42A113C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In January 2018, the Environmental Prosecutor of the State of Chiapas (Procuraduría Ambiental del Estado de Chiapas) in Mexico imposed a fine of approximately $163,000 for the absence of an Environmental Impact </w:t>
      </w:r>
      <w:r>
        <w:rPr>
          <w:rFonts w:ascii="Times New Roman" w:eastAsia="宋体" w:hAnsi="Times New Roman"/>
          <w:sz w:val="20"/>
          <w:szCs w:val="20"/>
        </w:rPr>
        <w:t>Authorization License related to the store Mi Bodega Las Rosas. The Company is challenging the fine.</w:t>
      </w:r>
    </w:p>
    <w:p w14:paraId="42A113CB"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April 2017, the California Air Resources Board (the "ARB") notified the Company that it had taken the position that retailers are required to use unclai</w:t>
      </w:r>
      <w:r>
        <w:rPr>
          <w:rFonts w:ascii="Times New Roman" w:eastAsia="宋体" w:hAnsi="Times New Roman"/>
          <w:sz w:val="20"/>
          <w:szCs w:val="20"/>
        </w:rPr>
        <w:t>med deposits collected on sales of small containers of automotive refrigerant to fund certain consumer education programs. The ARB alleged that the Company had improperly retained approximately $4.2 million in unclaimed deposits and has sought reimbursemen</w:t>
      </w:r>
      <w:r>
        <w:rPr>
          <w:rFonts w:ascii="Times New Roman" w:eastAsia="宋体" w:hAnsi="Times New Roman"/>
          <w:sz w:val="20"/>
          <w:szCs w:val="20"/>
        </w:rPr>
        <w:t>t. The Company has denied any wrongdoing.</w:t>
      </w:r>
    </w:p>
    <w:p w14:paraId="42A113C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April 2013, a subsidiary of the Company, Corporacion de Compañias Agroindustriales, operating in Costa Rica, became aware that the Municipality of Curridabat is seeking a penalty of approximately $380,000 in con</w:t>
      </w:r>
      <w:r>
        <w:rPr>
          <w:rFonts w:ascii="Times New Roman" w:eastAsia="宋体" w:hAnsi="Times New Roman"/>
          <w:sz w:val="20"/>
          <w:szCs w:val="20"/>
        </w:rPr>
        <w:t xml:space="preserve">nection with the construction of a retaining wall for a perishables distribution center </w:t>
      </w:r>
      <w:r>
        <w:rPr>
          <w:rFonts w:ascii="Times New Roman" w:eastAsia="宋体" w:hAnsi="Times New Roman"/>
          <w:sz w:val="20"/>
          <w:szCs w:val="20"/>
        </w:rPr>
        <w:lastRenderedPageBreak/>
        <w:t>that is situated along a protected river bank. The subsidiary obtained permits from the Municipality and the Secretaria Técnica Nacional Ambiental at the time of constr</w:t>
      </w:r>
      <w:r>
        <w:rPr>
          <w:rFonts w:ascii="Times New Roman" w:eastAsia="宋体" w:hAnsi="Times New Roman"/>
          <w:sz w:val="20"/>
          <w:szCs w:val="20"/>
        </w:rPr>
        <w:t>uction, but the Municipality now alleges that the wall is non-conforming.</w:t>
      </w:r>
    </w:p>
    <w:tbl>
      <w:tblPr>
        <w:tblW w:w="2456" w:type="pct"/>
        <w:tblCellMar>
          <w:left w:w="0" w:type="dxa"/>
          <w:right w:w="0" w:type="dxa"/>
        </w:tblCellMar>
        <w:tblLook w:val="04A0" w:firstRow="1" w:lastRow="0" w:firstColumn="1" w:lastColumn="0" w:noHBand="0" w:noVBand="1"/>
      </w:tblPr>
      <w:tblGrid>
        <w:gridCol w:w="898"/>
        <w:gridCol w:w="3182"/>
      </w:tblGrid>
      <w:tr w:rsidR="00BB68E1" w14:paraId="42A113CE" w14:textId="77777777">
        <w:tc>
          <w:tcPr>
            <w:tcW w:w="0" w:type="auto"/>
            <w:gridSpan w:val="2"/>
            <w:shd w:val="clear" w:color="auto" w:fill="auto"/>
            <w:vAlign w:val="center"/>
          </w:tcPr>
          <w:p w14:paraId="42A113CD" w14:textId="77777777" w:rsidR="00BB68E1" w:rsidRDefault="00BB68E1">
            <w:pPr>
              <w:rPr>
                <w:rFonts w:ascii="Times New Roman" w:hAnsi="Times New Roman"/>
                <w:sz w:val="20"/>
                <w:szCs w:val="20"/>
              </w:rPr>
            </w:pPr>
          </w:p>
        </w:tc>
      </w:tr>
      <w:tr w:rsidR="00BB68E1" w14:paraId="42A113D1" w14:textId="77777777">
        <w:tc>
          <w:tcPr>
            <w:tcW w:w="1100" w:type="pct"/>
            <w:shd w:val="clear" w:color="auto" w:fill="auto"/>
            <w:vAlign w:val="center"/>
          </w:tcPr>
          <w:p w14:paraId="42A113CF" w14:textId="77777777" w:rsidR="00BB68E1" w:rsidRDefault="00BB68E1">
            <w:pPr>
              <w:rPr>
                <w:rFonts w:ascii="Times New Roman" w:hAnsi="Times New Roman"/>
                <w:sz w:val="20"/>
                <w:szCs w:val="20"/>
              </w:rPr>
            </w:pPr>
          </w:p>
        </w:tc>
        <w:tc>
          <w:tcPr>
            <w:tcW w:w="3900" w:type="pct"/>
            <w:shd w:val="clear" w:color="auto" w:fill="auto"/>
            <w:vAlign w:val="center"/>
          </w:tcPr>
          <w:p w14:paraId="42A113D0" w14:textId="77777777" w:rsidR="00BB68E1" w:rsidRDefault="00BB68E1">
            <w:pPr>
              <w:rPr>
                <w:rFonts w:ascii="Times New Roman" w:hAnsi="Times New Roman"/>
                <w:sz w:val="20"/>
                <w:szCs w:val="20"/>
              </w:rPr>
            </w:pPr>
          </w:p>
        </w:tc>
      </w:tr>
      <w:tr w:rsidR="00BB68E1" w14:paraId="42A113D4" w14:textId="77777777">
        <w:tc>
          <w:tcPr>
            <w:tcW w:w="0" w:type="auto"/>
            <w:shd w:val="clear" w:color="auto" w:fill="auto"/>
            <w:tcMar>
              <w:top w:w="40" w:type="dxa"/>
              <w:left w:w="40" w:type="dxa"/>
              <w:bottom w:w="40" w:type="dxa"/>
              <w:right w:w="40" w:type="dxa"/>
            </w:tcMar>
          </w:tcPr>
          <w:p w14:paraId="42A113D2"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4.</w:t>
            </w:r>
          </w:p>
        </w:tc>
        <w:tc>
          <w:tcPr>
            <w:tcW w:w="0" w:type="auto"/>
            <w:shd w:val="clear" w:color="auto" w:fill="auto"/>
            <w:tcMar>
              <w:top w:w="40" w:type="dxa"/>
              <w:left w:w="40" w:type="dxa"/>
              <w:bottom w:w="40" w:type="dxa"/>
              <w:right w:w="40" w:type="dxa"/>
            </w:tcMar>
          </w:tcPr>
          <w:p w14:paraId="42A113D3"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MINE SAFETY DISCLOSURES</w:t>
            </w:r>
          </w:p>
        </w:tc>
      </w:tr>
    </w:tbl>
    <w:p w14:paraId="42A113D5"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Not applicable.</w:t>
      </w:r>
    </w:p>
    <w:p w14:paraId="42A113D6" w14:textId="77777777" w:rsidR="00BB68E1" w:rsidRDefault="00BB68E1">
      <w:pPr>
        <w:rPr>
          <w:rFonts w:ascii="Times New Roman" w:hAnsi="Times New Roman"/>
          <w:sz w:val="20"/>
          <w:szCs w:val="20"/>
        </w:rPr>
      </w:pPr>
    </w:p>
    <w:p w14:paraId="42A113D7"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27</w:t>
      </w:r>
    </w:p>
    <w:p w14:paraId="42A113D8" w14:textId="77777777" w:rsidR="00BB68E1" w:rsidRDefault="00BB68E1">
      <w:pPr>
        <w:spacing w:line="288" w:lineRule="auto"/>
        <w:jc w:val="center"/>
        <w:rPr>
          <w:rFonts w:ascii="Times New Roman" w:hAnsi="Times New Roman"/>
          <w:sz w:val="20"/>
          <w:szCs w:val="20"/>
        </w:rPr>
      </w:pPr>
    </w:p>
    <w:p w14:paraId="42A113D9" w14:textId="77777777" w:rsidR="00BB68E1" w:rsidRDefault="005D2D5E">
      <w:r>
        <w:rPr>
          <w:rFonts w:ascii="Times New Roman" w:hAnsi="Times New Roman"/>
          <w:sz w:val="20"/>
          <w:szCs w:val="20"/>
        </w:rPr>
        <w:pict w14:anchorId="42A14290">
          <v:rect id="_x0000_i1051" style="width:415.3pt;height:1.5pt" o:hralign="center" o:hrstd="t" o:hr="t" fillcolor="#a0a0a0" stroked="f"/>
        </w:pict>
      </w:r>
    </w:p>
    <w:p w14:paraId="42A113DA" w14:textId="77777777" w:rsidR="00BB68E1" w:rsidRDefault="00BB68E1">
      <w:pPr>
        <w:rPr>
          <w:rFonts w:ascii="Times New Roman" w:hAnsi="Times New Roman"/>
          <w:sz w:val="20"/>
          <w:szCs w:val="20"/>
        </w:rPr>
      </w:pPr>
    </w:p>
    <w:p w14:paraId="42A113DB"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u w:val="single"/>
        </w:rPr>
        <w:t>PART II</w:t>
      </w:r>
    </w:p>
    <w:tbl>
      <w:tblPr>
        <w:tblW w:w="4990" w:type="pct"/>
        <w:tblCellMar>
          <w:left w:w="0" w:type="dxa"/>
          <w:right w:w="0" w:type="dxa"/>
        </w:tblCellMar>
        <w:tblLook w:val="04A0" w:firstRow="1" w:lastRow="0" w:firstColumn="1" w:lastColumn="0" w:noHBand="0" w:noVBand="1"/>
      </w:tblPr>
      <w:tblGrid>
        <w:gridCol w:w="912"/>
        <w:gridCol w:w="7377"/>
      </w:tblGrid>
      <w:tr w:rsidR="00BB68E1" w14:paraId="42A113DD" w14:textId="77777777">
        <w:tc>
          <w:tcPr>
            <w:tcW w:w="0" w:type="auto"/>
            <w:gridSpan w:val="2"/>
            <w:shd w:val="clear" w:color="auto" w:fill="auto"/>
            <w:vAlign w:val="center"/>
          </w:tcPr>
          <w:p w14:paraId="42A113DC" w14:textId="77777777" w:rsidR="00BB68E1" w:rsidRDefault="00BB68E1">
            <w:pPr>
              <w:rPr>
                <w:rFonts w:ascii="Times New Roman" w:hAnsi="Times New Roman"/>
                <w:sz w:val="20"/>
                <w:szCs w:val="20"/>
              </w:rPr>
            </w:pPr>
          </w:p>
        </w:tc>
      </w:tr>
      <w:tr w:rsidR="00BB68E1" w14:paraId="42A113E0" w14:textId="77777777">
        <w:tc>
          <w:tcPr>
            <w:tcW w:w="550" w:type="pct"/>
            <w:shd w:val="clear" w:color="auto" w:fill="auto"/>
            <w:vAlign w:val="center"/>
          </w:tcPr>
          <w:p w14:paraId="42A113DE" w14:textId="77777777" w:rsidR="00BB68E1" w:rsidRDefault="00BB68E1">
            <w:pPr>
              <w:rPr>
                <w:rFonts w:ascii="Times New Roman" w:hAnsi="Times New Roman"/>
                <w:sz w:val="20"/>
                <w:szCs w:val="20"/>
              </w:rPr>
            </w:pPr>
          </w:p>
        </w:tc>
        <w:tc>
          <w:tcPr>
            <w:tcW w:w="4450" w:type="pct"/>
            <w:shd w:val="clear" w:color="auto" w:fill="auto"/>
            <w:vAlign w:val="center"/>
          </w:tcPr>
          <w:p w14:paraId="42A113DF" w14:textId="77777777" w:rsidR="00BB68E1" w:rsidRDefault="00BB68E1">
            <w:pPr>
              <w:rPr>
                <w:rFonts w:ascii="Times New Roman" w:hAnsi="Times New Roman"/>
                <w:sz w:val="20"/>
                <w:szCs w:val="20"/>
              </w:rPr>
            </w:pPr>
          </w:p>
        </w:tc>
      </w:tr>
      <w:tr w:rsidR="00BB68E1" w14:paraId="42A113E3" w14:textId="77777777">
        <w:tc>
          <w:tcPr>
            <w:tcW w:w="0" w:type="auto"/>
            <w:shd w:val="clear" w:color="auto" w:fill="auto"/>
            <w:tcMar>
              <w:top w:w="40" w:type="dxa"/>
              <w:left w:w="40" w:type="dxa"/>
              <w:bottom w:w="40" w:type="dxa"/>
              <w:right w:w="40" w:type="dxa"/>
            </w:tcMar>
          </w:tcPr>
          <w:p w14:paraId="42A113E1"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5.</w:t>
            </w:r>
          </w:p>
        </w:tc>
        <w:tc>
          <w:tcPr>
            <w:tcW w:w="0" w:type="auto"/>
            <w:shd w:val="clear" w:color="auto" w:fill="auto"/>
            <w:tcMar>
              <w:top w:w="40" w:type="dxa"/>
              <w:left w:w="40" w:type="dxa"/>
              <w:bottom w:w="40" w:type="dxa"/>
              <w:right w:w="40" w:type="dxa"/>
            </w:tcMar>
          </w:tcPr>
          <w:p w14:paraId="42A113E2"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 xml:space="preserve">MARKET FOR REGISTRANT'S COMMON EQUITY, RELATED STOCKHOLDER MATTERS AND ISSUER PURCHASES OF </w:t>
            </w:r>
            <w:r>
              <w:rPr>
                <w:rFonts w:ascii="Times New Roman" w:eastAsia="宋体" w:hAnsi="Times New Roman"/>
                <w:b/>
                <w:bCs/>
                <w:sz w:val="20"/>
                <w:szCs w:val="20"/>
                <w:u w:val="single"/>
              </w:rPr>
              <w:t>EQUITY SECURITIES</w:t>
            </w:r>
          </w:p>
        </w:tc>
      </w:tr>
    </w:tbl>
    <w:p w14:paraId="42A113E4"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Market for Common Stock</w:t>
      </w:r>
    </w:p>
    <w:p w14:paraId="42A113E5"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Walmart's common stock is listed for trading on the New York Stock Exchange, which is the primary market for Walmart's common stock. The common stock trades under the symbol "WMT."</w:t>
      </w:r>
    </w:p>
    <w:p w14:paraId="42A113E6"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Holders of Record of Common Stoc</w:t>
      </w:r>
      <w:r>
        <w:rPr>
          <w:rFonts w:ascii="Times New Roman" w:eastAsia="宋体" w:hAnsi="Times New Roman"/>
          <w:b/>
          <w:bCs/>
          <w:sz w:val="20"/>
          <w:szCs w:val="20"/>
        </w:rPr>
        <w:t>k</w:t>
      </w:r>
    </w:p>
    <w:p w14:paraId="42A113E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As of March 18, 2020, there were 217,840 holders of record of Walmart's common stock.</w:t>
      </w:r>
    </w:p>
    <w:p w14:paraId="42A113E8"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Stock Performance Chart</w:t>
      </w:r>
    </w:p>
    <w:p w14:paraId="42A113E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This graph compares the cumulative total shareholder return on Walmart's common stock during the five fiscal years ending through fiscal 2020 to</w:t>
      </w:r>
      <w:r>
        <w:rPr>
          <w:rFonts w:ascii="Times New Roman" w:eastAsia="宋体" w:hAnsi="Times New Roman"/>
          <w:sz w:val="20"/>
          <w:szCs w:val="20"/>
        </w:rPr>
        <w:t xml:space="preserve"> the cumulative total returns on the S&amp;P 500 Retailing Index and the S&amp;P 500 Index. The comparison assumes $100 was invested on February 1, 2015, in shares of our common stock and in each of the indices shown and assumes that all of the dividends were rein</w:t>
      </w:r>
      <w:r>
        <w:rPr>
          <w:rFonts w:ascii="Times New Roman" w:eastAsia="宋体" w:hAnsi="Times New Roman"/>
          <w:sz w:val="20"/>
          <w:szCs w:val="20"/>
        </w:rPr>
        <w:t>vested.</w:t>
      </w:r>
    </w:p>
    <w:p w14:paraId="42A113EA" w14:textId="77777777" w:rsidR="00BB68E1" w:rsidRDefault="00BB68E1">
      <w:pPr>
        <w:spacing w:line="288" w:lineRule="auto"/>
        <w:jc w:val="center"/>
        <w:rPr>
          <w:rFonts w:ascii="Times New Roman" w:hAnsi="Times New Roman"/>
          <w:sz w:val="20"/>
          <w:szCs w:val="20"/>
        </w:rPr>
      </w:pPr>
    </w:p>
    <w:p w14:paraId="42A113EB"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/Walmart/./Inline XBRL Viewer11_files/chart-e0136b22e41054aca47.jpg"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2A14291" wp14:editId="42A14292">
            <wp:extent cx="304800" cy="304800"/>
            <wp:effectExtent l="0" t="0" r="0" b="0"/>
            <wp:docPr id="1" name="图片 6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1618" w:type="pct"/>
        <w:jc w:val="center"/>
        <w:tblCellMar>
          <w:left w:w="0" w:type="dxa"/>
          <w:right w:w="0" w:type="dxa"/>
        </w:tblCellMar>
        <w:tblLook w:val="04A0" w:firstRow="1" w:lastRow="0" w:firstColumn="1" w:lastColumn="0" w:noHBand="0" w:noVBand="1"/>
      </w:tblPr>
      <w:tblGrid>
        <w:gridCol w:w="2688"/>
      </w:tblGrid>
      <w:tr w:rsidR="00BB68E1" w14:paraId="42A113ED" w14:textId="77777777">
        <w:trPr>
          <w:jc w:val="center"/>
        </w:trPr>
        <w:tc>
          <w:tcPr>
            <w:tcW w:w="0" w:type="auto"/>
            <w:shd w:val="clear" w:color="auto" w:fill="auto"/>
            <w:vAlign w:val="center"/>
          </w:tcPr>
          <w:p w14:paraId="42A113EC" w14:textId="77777777" w:rsidR="00BB68E1" w:rsidRDefault="00BB68E1">
            <w:pPr>
              <w:rPr>
                <w:rFonts w:ascii="Times New Roman" w:hAnsi="Times New Roman"/>
                <w:sz w:val="20"/>
                <w:szCs w:val="20"/>
              </w:rPr>
            </w:pPr>
          </w:p>
        </w:tc>
      </w:tr>
      <w:tr w:rsidR="00BB68E1" w14:paraId="42A113EF" w14:textId="77777777">
        <w:trPr>
          <w:jc w:val="center"/>
        </w:trPr>
        <w:tc>
          <w:tcPr>
            <w:tcW w:w="5000" w:type="pct"/>
            <w:shd w:val="clear" w:color="auto" w:fill="auto"/>
            <w:vAlign w:val="center"/>
          </w:tcPr>
          <w:p w14:paraId="42A113EE" w14:textId="77777777" w:rsidR="00BB68E1" w:rsidRDefault="00BB68E1">
            <w:pPr>
              <w:rPr>
                <w:rFonts w:ascii="Times New Roman" w:hAnsi="Times New Roman"/>
                <w:sz w:val="20"/>
                <w:szCs w:val="20"/>
              </w:rPr>
            </w:pPr>
          </w:p>
        </w:tc>
      </w:tr>
      <w:tr w:rsidR="00BB68E1" w14:paraId="42A113F3" w14:textId="77777777">
        <w:trPr>
          <w:jc w:val="center"/>
        </w:trPr>
        <w:tc>
          <w:tcPr>
            <w:tcW w:w="0" w:type="auto"/>
            <w:shd w:val="clear" w:color="auto" w:fill="auto"/>
            <w:tcMar>
              <w:top w:w="40" w:type="dxa"/>
              <w:left w:w="40" w:type="dxa"/>
              <w:bottom w:w="40" w:type="dxa"/>
              <w:right w:w="40" w:type="dxa"/>
            </w:tcMar>
          </w:tcPr>
          <w:p w14:paraId="42A113F0" w14:textId="77777777" w:rsidR="00BB68E1" w:rsidRDefault="005D2D5E">
            <w:pPr>
              <w:jc w:val="center"/>
              <w:textAlignment w:val="top"/>
              <w:rPr>
                <w:rFonts w:ascii="Times New Roman" w:hAnsi="Times New Roman"/>
                <w:sz w:val="14"/>
                <w:szCs w:val="14"/>
              </w:rPr>
            </w:pPr>
            <w:r>
              <w:rPr>
                <w:rFonts w:ascii="Times New Roman" w:eastAsia="宋体" w:hAnsi="Times New Roman"/>
                <w:b/>
                <w:bCs/>
                <w:sz w:val="14"/>
                <w:szCs w:val="14"/>
              </w:rPr>
              <w:t>*Assumes $100 Invested on February 1, 2015</w:t>
            </w:r>
          </w:p>
          <w:p w14:paraId="42A113F1" w14:textId="77777777" w:rsidR="00BB68E1" w:rsidRDefault="005D2D5E">
            <w:pPr>
              <w:jc w:val="center"/>
              <w:textAlignment w:val="top"/>
              <w:rPr>
                <w:rFonts w:ascii="Times New Roman" w:hAnsi="Times New Roman"/>
                <w:sz w:val="14"/>
                <w:szCs w:val="14"/>
              </w:rPr>
            </w:pPr>
            <w:r>
              <w:rPr>
                <w:rFonts w:ascii="Times New Roman" w:eastAsia="宋体" w:hAnsi="Times New Roman"/>
                <w:b/>
                <w:bCs/>
                <w:sz w:val="14"/>
                <w:szCs w:val="14"/>
              </w:rPr>
              <w:t xml:space="preserve">Assumes Dividends Reinvested </w:t>
            </w:r>
            <w:r>
              <w:rPr>
                <w:rFonts w:ascii="Times New Roman" w:eastAsia="宋体" w:hAnsi="Times New Roman"/>
                <w:b/>
                <w:bCs/>
                <w:sz w:val="14"/>
                <w:szCs w:val="14"/>
              </w:rPr>
              <w:br/>
              <w:t>Fiscal Year Ending January 31, 2020</w:t>
            </w:r>
          </w:p>
          <w:p w14:paraId="42A113F2" w14:textId="77777777" w:rsidR="00BB68E1" w:rsidRDefault="00BB68E1">
            <w:pPr>
              <w:jc w:val="center"/>
              <w:textAlignment w:val="top"/>
              <w:rPr>
                <w:rFonts w:ascii="Times New Roman" w:hAnsi="Times New Roman"/>
                <w:sz w:val="14"/>
                <w:szCs w:val="14"/>
              </w:rPr>
            </w:pPr>
          </w:p>
        </w:tc>
      </w:tr>
    </w:tbl>
    <w:p w14:paraId="42A113F4" w14:textId="77777777" w:rsidR="00BB68E1" w:rsidRDefault="00BB68E1">
      <w:pPr>
        <w:rPr>
          <w:vanish/>
        </w:rPr>
      </w:pPr>
    </w:p>
    <w:tbl>
      <w:tblPr>
        <w:tblW w:w="4990" w:type="pct"/>
        <w:jc w:val="center"/>
        <w:tblCellMar>
          <w:left w:w="0" w:type="dxa"/>
          <w:right w:w="0" w:type="dxa"/>
        </w:tblCellMar>
        <w:tblLook w:val="04A0" w:firstRow="1" w:lastRow="0" w:firstColumn="1" w:lastColumn="0" w:noHBand="0" w:noVBand="1"/>
      </w:tblPr>
      <w:tblGrid>
        <w:gridCol w:w="1887"/>
        <w:gridCol w:w="120"/>
        <w:gridCol w:w="810"/>
        <w:gridCol w:w="64"/>
        <w:gridCol w:w="86"/>
        <w:gridCol w:w="120"/>
        <w:gridCol w:w="810"/>
        <w:gridCol w:w="64"/>
        <w:gridCol w:w="86"/>
        <w:gridCol w:w="120"/>
        <w:gridCol w:w="811"/>
        <w:gridCol w:w="65"/>
        <w:gridCol w:w="86"/>
        <w:gridCol w:w="120"/>
        <w:gridCol w:w="811"/>
        <w:gridCol w:w="65"/>
        <w:gridCol w:w="86"/>
        <w:gridCol w:w="120"/>
        <w:gridCol w:w="811"/>
        <w:gridCol w:w="65"/>
        <w:gridCol w:w="86"/>
        <w:gridCol w:w="120"/>
        <w:gridCol w:w="811"/>
        <w:gridCol w:w="65"/>
      </w:tblGrid>
      <w:tr w:rsidR="00BB68E1" w14:paraId="42A113F6" w14:textId="77777777">
        <w:trPr>
          <w:jc w:val="center"/>
        </w:trPr>
        <w:tc>
          <w:tcPr>
            <w:tcW w:w="0" w:type="auto"/>
            <w:gridSpan w:val="24"/>
            <w:shd w:val="clear" w:color="auto" w:fill="auto"/>
            <w:vAlign w:val="center"/>
          </w:tcPr>
          <w:p w14:paraId="42A113F5" w14:textId="77777777" w:rsidR="00BB68E1" w:rsidRDefault="00BB68E1">
            <w:pPr>
              <w:rPr>
                <w:rFonts w:ascii="Times New Roman" w:hAnsi="Times New Roman"/>
                <w:sz w:val="20"/>
                <w:szCs w:val="20"/>
              </w:rPr>
            </w:pPr>
          </w:p>
        </w:tc>
      </w:tr>
      <w:tr w:rsidR="00BB68E1" w14:paraId="42A1140F" w14:textId="77777777">
        <w:trPr>
          <w:jc w:val="center"/>
        </w:trPr>
        <w:tc>
          <w:tcPr>
            <w:tcW w:w="1150" w:type="pct"/>
            <w:shd w:val="clear" w:color="auto" w:fill="auto"/>
            <w:vAlign w:val="center"/>
          </w:tcPr>
          <w:p w14:paraId="42A113F7" w14:textId="77777777" w:rsidR="00BB68E1" w:rsidRDefault="00BB68E1">
            <w:pPr>
              <w:rPr>
                <w:rFonts w:ascii="Times New Roman" w:hAnsi="Times New Roman"/>
                <w:sz w:val="20"/>
                <w:szCs w:val="20"/>
              </w:rPr>
            </w:pPr>
          </w:p>
        </w:tc>
        <w:tc>
          <w:tcPr>
            <w:tcW w:w="50" w:type="pct"/>
            <w:shd w:val="clear" w:color="auto" w:fill="auto"/>
            <w:vAlign w:val="center"/>
          </w:tcPr>
          <w:p w14:paraId="42A113F8" w14:textId="77777777" w:rsidR="00BB68E1" w:rsidRDefault="00BB68E1">
            <w:pPr>
              <w:rPr>
                <w:rFonts w:ascii="Times New Roman" w:hAnsi="Times New Roman"/>
                <w:sz w:val="20"/>
                <w:szCs w:val="20"/>
              </w:rPr>
            </w:pPr>
          </w:p>
        </w:tc>
        <w:tc>
          <w:tcPr>
            <w:tcW w:w="500" w:type="pct"/>
            <w:shd w:val="clear" w:color="auto" w:fill="auto"/>
            <w:vAlign w:val="center"/>
          </w:tcPr>
          <w:p w14:paraId="42A113F9" w14:textId="77777777" w:rsidR="00BB68E1" w:rsidRDefault="00BB68E1">
            <w:pPr>
              <w:rPr>
                <w:rFonts w:ascii="Times New Roman" w:hAnsi="Times New Roman"/>
                <w:sz w:val="20"/>
                <w:szCs w:val="20"/>
              </w:rPr>
            </w:pPr>
          </w:p>
        </w:tc>
        <w:tc>
          <w:tcPr>
            <w:tcW w:w="50" w:type="pct"/>
            <w:shd w:val="clear" w:color="auto" w:fill="auto"/>
            <w:vAlign w:val="center"/>
          </w:tcPr>
          <w:p w14:paraId="42A113FA" w14:textId="77777777" w:rsidR="00BB68E1" w:rsidRDefault="00BB68E1">
            <w:pPr>
              <w:rPr>
                <w:rFonts w:ascii="Times New Roman" w:hAnsi="Times New Roman"/>
                <w:sz w:val="20"/>
                <w:szCs w:val="20"/>
              </w:rPr>
            </w:pPr>
          </w:p>
        </w:tc>
        <w:tc>
          <w:tcPr>
            <w:tcW w:w="50" w:type="pct"/>
            <w:shd w:val="clear" w:color="auto" w:fill="auto"/>
            <w:vAlign w:val="center"/>
          </w:tcPr>
          <w:p w14:paraId="42A113FB" w14:textId="77777777" w:rsidR="00BB68E1" w:rsidRDefault="00BB68E1">
            <w:pPr>
              <w:rPr>
                <w:rFonts w:ascii="Times New Roman" w:hAnsi="Times New Roman"/>
                <w:sz w:val="20"/>
                <w:szCs w:val="20"/>
              </w:rPr>
            </w:pPr>
          </w:p>
        </w:tc>
        <w:tc>
          <w:tcPr>
            <w:tcW w:w="50" w:type="pct"/>
            <w:shd w:val="clear" w:color="auto" w:fill="auto"/>
            <w:vAlign w:val="center"/>
          </w:tcPr>
          <w:p w14:paraId="42A113FC" w14:textId="77777777" w:rsidR="00BB68E1" w:rsidRDefault="00BB68E1">
            <w:pPr>
              <w:rPr>
                <w:rFonts w:ascii="Times New Roman" w:hAnsi="Times New Roman"/>
                <w:sz w:val="20"/>
                <w:szCs w:val="20"/>
              </w:rPr>
            </w:pPr>
          </w:p>
        </w:tc>
        <w:tc>
          <w:tcPr>
            <w:tcW w:w="500" w:type="pct"/>
            <w:shd w:val="clear" w:color="auto" w:fill="auto"/>
            <w:vAlign w:val="center"/>
          </w:tcPr>
          <w:p w14:paraId="42A113FD" w14:textId="77777777" w:rsidR="00BB68E1" w:rsidRDefault="00BB68E1">
            <w:pPr>
              <w:rPr>
                <w:rFonts w:ascii="Times New Roman" w:hAnsi="Times New Roman"/>
                <w:sz w:val="20"/>
                <w:szCs w:val="20"/>
              </w:rPr>
            </w:pPr>
          </w:p>
        </w:tc>
        <w:tc>
          <w:tcPr>
            <w:tcW w:w="50" w:type="pct"/>
            <w:shd w:val="clear" w:color="auto" w:fill="auto"/>
            <w:vAlign w:val="center"/>
          </w:tcPr>
          <w:p w14:paraId="42A113FE" w14:textId="77777777" w:rsidR="00BB68E1" w:rsidRDefault="00BB68E1">
            <w:pPr>
              <w:rPr>
                <w:rFonts w:ascii="Times New Roman" w:hAnsi="Times New Roman"/>
                <w:sz w:val="20"/>
                <w:szCs w:val="20"/>
              </w:rPr>
            </w:pPr>
          </w:p>
        </w:tc>
        <w:tc>
          <w:tcPr>
            <w:tcW w:w="50" w:type="pct"/>
            <w:shd w:val="clear" w:color="auto" w:fill="auto"/>
            <w:vAlign w:val="center"/>
          </w:tcPr>
          <w:p w14:paraId="42A113FF" w14:textId="77777777" w:rsidR="00BB68E1" w:rsidRDefault="00BB68E1">
            <w:pPr>
              <w:rPr>
                <w:rFonts w:ascii="Times New Roman" w:hAnsi="Times New Roman"/>
                <w:sz w:val="20"/>
                <w:szCs w:val="20"/>
              </w:rPr>
            </w:pPr>
          </w:p>
        </w:tc>
        <w:tc>
          <w:tcPr>
            <w:tcW w:w="50" w:type="pct"/>
            <w:shd w:val="clear" w:color="auto" w:fill="auto"/>
            <w:vAlign w:val="center"/>
          </w:tcPr>
          <w:p w14:paraId="42A11400" w14:textId="77777777" w:rsidR="00BB68E1" w:rsidRDefault="00BB68E1">
            <w:pPr>
              <w:rPr>
                <w:rFonts w:ascii="Times New Roman" w:hAnsi="Times New Roman"/>
                <w:sz w:val="20"/>
                <w:szCs w:val="20"/>
              </w:rPr>
            </w:pPr>
          </w:p>
        </w:tc>
        <w:tc>
          <w:tcPr>
            <w:tcW w:w="500" w:type="pct"/>
            <w:shd w:val="clear" w:color="auto" w:fill="auto"/>
            <w:vAlign w:val="center"/>
          </w:tcPr>
          <w:p w14:paraId="42A11401" w14:textId="77777777" w:rsidR="00BB68E1" w:rsidRDefault="00BB68E1">
            <w:pPr>
              <w:rPr>
                <w:rFonts w:ascii="Times New Roman" w:hAnsi="Times New Roman"/>
                <w:sz w:val="20"/>
                <w:szCs w:val="20"/>
              </w:rPr>
            </w:pPr>
          </w:p>
        </w:tc>
        <w:tc>
          <w:tcPr>
            <w:tcW w:w="50" w:type="pct"/>
            <w:shd w:val="clear" w:color="auto" w:fill="auto"/>
            <w:vAlign w:val="center"/>
          </w:tcPr>
          <w:p w14:paraId="42A11402" w14:textId="77777777" w:rsidR="00BB68E1" w:rsidRDefault="00BB68E1">
            <w:pPr>
              <w:rPr>
                <w:rFonts w:ascii="Times New Roman" w:hAnsi="Times New Roman"/>
                <w:sz w:val="20"/>
                <w:szCs w:val="20"/>
              </w:rPr>
            </w:pPr>
          </w:p>
        </w:tc>
        <w:tc>
          <w:tcPr>
            <w:tcW w:w="50" w:type="pct"/>
            <w:shd w:val="clear" w:color="auto" w:fill="auto"/>
            <w:vAlign w:val="center"/>
          </w:tcPr>
          <w:p w14:paraId="42A11403" w14:textId="77777777" w:rsidR="00BB68E1" w:rsidRDefault="00BB68E1">
            <w:pPr>
              <w:rPr>
                <w:rFonts w:ascii="Times New Roman" w:hAnsi="Times New Roman"/>
                <w:sz w:val="20"/>
                <w:szCs w:val="20"/>
              </w:rPr>
            </w:pPr>
          </w:p>
        </w:tc>
        <w:tc>
          <w:tcPr>
            <w:tcW w:w="50" w:type="pct"/>
            <w:shd w:val="clear" w:color="auto" w:fill="auto"/>
            <w:vAlign w:val="center"/>
          </w:tcPr>
          <w:p w14:paraId="42A11404" w14:textId="77777777" w:rsidR="00BB68E1" w:rsidRDefault="00BB68E1">
            <w:pPr>
              <w:rPr>
                <w:rFonts w:ascii="Times New Roman" w:hAnsi="Times New Roman"/>
                <w:sz w:val="20"/>
                <w:szCs w:val="20"/>
              </w:rPr>
            </w:pPr>
          </w:p>
        </w:tc>
        <w:tc>
          <w:tcPr>
            <w:tcW w:w="500" w:type="pct"/>
            <w:shd w:val="clear" w:color="auto" w:fill="auto"/>
            <w:vAlign w:val="center"/>
          </w:tcPr>
          <w:p w14:paraId="42A11405" w14:textId="77777777" w:rsidR="00BB68E1" w:rsidRDefault="00BB68E1">
            <w:pPr>
              <w:rPr>
                <w:rFonts w:ascii="Times New Roman" w:hAnsi="Times New Roman"/>
                <w:sz w:val="20"/>
                <w:szCs w:val="20"/>
              </w:rPr>
            </w:pPr>
          </w:p>
        </w:tc>
        <w:tc>
          <w:tcPr>
            <w:tcW w:w="50" w:type="pct"/>
            <w:shd w:val="clear" w:color="auto" w:fill="auto"/>
            <w:vAlign w:val="center"/>
          </w:tcPr>
          <w:p w14:paraId="42A11406" w14:textId="77777777" w:rsidR="00BB68E1" w:rsidRDefault="00BB68E1">
            <w:pPr>
              <w:rPr>
                <w:rFonts w:ascii="Times New Roman" w:hAnsi="Times New Roman"/>
                <w:sz w:val="20"/>
                <w:szCs w:val="20"/>
              </w:rPr>
            </w:pPr>
          </w:p>
        </w:tc>
        <w:tc>
          <w:tcPr>
            <w:tcW w:w="50" w:type="pct"/>
            <w:shd w:val="clear" w:color="auto" w:fill="auto"/>
            <w:vAlign w:val="center"/>
          </w:tcPr>
          <w:p w14:paraId="42A11407" w14:textId="77777777" w:rsidR="00BB68E1" w:rsidRDefault="00BB68E1">
            <w:pPr>
              <w:rPr>
                <w:rFonts w:ascii="Times New Roman" w:hAnsi="Times New Roman"/>
                <w:sz w:val="20"/>
                <w:szCs w:val="20"/>
              </w:rPr>
            </w:pPr>
          </w:p>
        </w:tc>
        <w:tc>
          <w:tcPr>
            <w:tcW w:w="50" w:type="pct"/>
            <w:shd w:val="clear" w:color="auto" w:fill="auto"/>
            <w:vAlign w:val="center"/>
          </w:tcPr>
          <w:p w14:paraId="42A11408" w14:textId="77777777" w:rsidR="00BB68E1" w:rsidRDefault="00BB68E1">
            <w:pPr>
              <w:rPr>
                <w:rFonts w:ascii="Times New Roman" w:hAnsi="Times New Roman"/>
                <w:sz w:val="20"/>
                <w:szCs w:val="20"/>
              </w:rPr>
            </w:pPr>
          </w:p>
        </w:tc>
        <w:tc>
          <w:tcPr>
            <w:tcW w:w="500" w:type="pct"/>
            <w:shd w:val="clear" w:color="auto" w:fill="auto"/>
            <w:vAlign w:val="center"/>
          </w:tcPr>
          <w:p w14:paraId="42A11409" w14:textId="77777777" w:rsidR="00BB68E1" w:rsidRDefault="00BB68E1">
            <w:pPr>
              <w:rPr>
                <w:rFonts w:ascii="Times New Roman" w:hAnsi="Times New Roman"/>
                <w:sz w:val="20"/>
                <w:szCs w:val="20"/>
              </w:rPr>
            </w:pPr>
          </w:p>
        </w:tc>
        <w:tc>
          <w:tcPr>
            <w:tcW w:w="50" w:type="pct"/>
            <w:shd w:val="clear" w:color="auto" w:fill="auto"/>
            <w:vAlign w:val="center"/>
          </w:tcPr>
          <w:p w14:paraId="42A1140A" w14:textId="77777777" w:rsidR="00BB68E1" w:rsidRDefault="00BB68E1">
            <w:pPr>
              <w:rPr>
                <w:rFonts w:ascii="Times New Roman" w:hAnsi="Times New Roman"/>
                <w:sz w:val="20"/>
                <w:szCs w:val="20"/>
              </w:rPr>
            </w:pPr>
          </w:p>
        </w:tc>
        <w:tc>
          <w:tcPr>
            <w:tcW w:w="50" w:type="pct"/>
            <w:shd w:val="clear" w:color="auto" w:fill="auto"/>
            <w:vAlign w:val="center"/>
          </w:tcPr>
          <w:p w14:paraId="42A1140B" w14:textId="77777777" w:rsidR="00BB68E1" w:rsidRDefault="00BB68E1">
            <w:pPr>
              <w:rPr>
                <w:rFonts w:ascii="Times New Roman" w:hAnsi="Times New Roman"/>
                <w:sz w:val="20"/>
                <w:szCs w:val="20"/>
              </w:rPr>
            </w:pPr>
          </w:p>
        </w:tc>
        <w:tc>
          <w:tcPr>
            <w:tcW w:w="50" w:type="pct"/>
            <w:shd w:val="clear" w:color="auto" w:fill="auto"/>
            <w:vAlign w:val="center"/>
          </w:tcPr>
          <w:p w14:paraId="42A1140C" w14:textId="77777777" w:rsidR="00BB68E1" w:rsidRDefault="00BB68E1">
            <w:pPr>
              <w:rPr>
                <w:rFonts w:ascii="Times New Roman" w:hAnsi="Times New Roman"/>
                <w:sz w:val="20"/>
                <w:szCs w:val="20"/>
              </w:rPr>
            </w:pPr>
          </w:p>
        </w:tc>
        <w:tc>
          <w:tcPr>
            <w:tcW w:w="500" w:type="pct"/>
            <w:shd w:val="clear" w:color="auto" w:fill="auto"/>
            <w:vAlign w:val="center"/>
          </w:tcPr>
          <w:p w14:paraId="42A1140D" w14:textId="77777777" w:rsidR="00BB68E1" w:rsidRDefault="00BB68E1">
            <w:pPr>
              <w:rPr>
                <w:rFonts w:ascii="Times New Roman" w:hAnsi="Times New Roman"/>
                <w:sz w:val="20"/>
                <w:szCs w:val="20"/>
              </w:rPr>
            </w:pPr>
          </w:p>
        </w:tc>
        <w:tc>
          <w:tcPr>
            <w:tcW w:w="50" w:type="pct"/>
            <w:shd w:val="clear" w:color="auto" w:fill="auto"/>
            <w:vAlign w:val="center"/>
          </w:tcPr>
          <w:p w14:paraId="42A1140E" w14:textId="77777777" w:rsidR="00BB68E1" w:rsidRDefault="00BB68E1">
            <w:pPr>
              <w:rPr>
                <w:rFonts w:ascii="Times New Roman" w:hAnsi="Times New Roman"/>
                <w:sz w:val="20"/>
                <w:szCs w:val="20"/>
              </w:rPr>
            </w:pPr>
          </w:p>
        </w:tc>
      </w:tr>
      <w:tr w:rsidR="00BB68E1" w14:paraId="42A11412" w14:textId="77777777">
        <w:trPr>
          <w:jc w:val="center"/>
        </w:trPr>
        <w:tc>
          <w:tcPr>
            <w:tcW w:w="0" w:type="auto"/>
            <w:shd w:val="clear" w:color="auto" w:fill="auto"/>
            <w:tcMar>
              <w:top w:w="40" w:type="dxa"/>
              <w:left w:w="40" w:type="dxa"/>
              <w:bottom w:w="40" w:type="dxa"/>
              <w:right w:w="40" w:type="dxa"/>
            </w:tcMar>
            <w:vAlign w:val="bottom"/>
          </w:tcPr>
          <w:p w14:paraId="42A1141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center"/>
          </w:tcPr>
          <w:p w14:paraId="42A11411"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141F" w14:textId="77777777">
        <w:trPr>
          <w:jc w:val="center"/>
        </w:trPr>
        <w:tc>
          <w:tcPr>
            <w:tcW w:w="0" w:type="auto"/>
            <w:shd w:val="clear" w:color="auto" w:fill="auto"/>
            <w:tcMar>
              <w:top w:w="40" w:type="dxa"/>
              <w:left w:w="40" w:type="dxa"/>
              <w:bottom w:w="40" w:type="dxa"/>
              <w:right w:w="40" w:type="dxa"/>
            </w:tcMar>
            <w:vAlign w:val="center"/>
          </w:tcPr>
          <w:p w14:paraId="42A11413" w14:textId="77777777" w:rsidR="00BB68E1" w:rsidRDefault="00BB68E1">
            <w:pPr>
              <w:textAlignment w:val="center"/>
              <w:rPr>
                <w:rFonts w:ascii="Times New Roman" w:hAnsi="Times New Roman"/>
                <w:sz w:val="16"/>
                <w:szCs w:val="16"/>
              </w:rPr>
            </w:pP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1414"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2015</w:t>
            </w:r>
          </w:p>
        </w:tc>
        <w:tc>
          <w:tcPr>
            <w:tcW w:w="0" w:type="auto"/>
            <w:shd w:val="clear" w:color="auto" w:fill="auto"/>
            <w:tcMar>
              <w:top w:w="40" w:type="dxa"/>
              <w:left w:w="40" w:type="dxa"/>
              <w:bottom w:w="40" w:type="dxa"/>
              <w:right w:w="40" w:type="dxa"/>
            </w:tcMar>
            <w:vAlign w:val="center"/>
          </w:tcPr>
          <w:p w14:paraId="42A11415" w14:textId="77777777" w:rsidR="00BB68E1" w:rsidRDefault="00BB68E1">
            <w:pPr>
              <w:jc w:val="center"/>
              <w:textAlignment w:val="center"/>
              <w:rPr>
                <w:rFonts w:ascii="Times New Roman" w:hAnsi="Times New Roman"/>
                <w:sz w:val="16"/>
                <w:szCs w:val="16"/>
              </w:rPr>
            </w:pP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1416"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2016</w:t>
            </w:r>
          </w:p>
        </w:tc>
        <w:tc>
          <w:tcPr>
            <w:tcW w:w="0" w:type="auto"/>
            <w:shd w:val="clear" w:color="auto" w:fill="auto"/>
            <w:tcMar>
              <w:top w:w="40" w:type="dxa"/>
              <w:left w:w="40" w:type="dxa"/>
              <w:bottom w:w="40" w:type="dxa"/>
              <w:right w:w="40" w:type="dxa"/>
            </w:tcMar>
            <w:vAlign w:val="center"/>
          </w:tcPr>
          <w:p w14:paraId="42A11417" w14:textId="77777777" w:rsidR="00BB68E1" w:rsidRDefault="00BB68E1">
            <w:pPr>
              <w:jc w:val="center"/>
              <w:textAlignment w:val="center"/>
              <w:rPr>
                <w:rFonts w:ascii="Times New Roman" w:hAnsi="Times New Roman"/>
                <w:sz w:val="16"/>
                <w:szCs w:val="16"/>
              </w:rPr>
            </w:pP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1418"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2017</w:t>
            </w:r>
          </w:p>
        </w:tc>
        <w:tc>
          <w:tcPr>
            <w:tcW w:w="0" w:type="auto"/>
            <w:shd w:val="clear" w:color="auto" w:fill="auto"/>
            <w:tcMar>
              <w:top w:w="40" w:type="dxa"/>
              <w:left w:w="40" w:type="dxa"/>
              <w:bottom w:w="40" w:type="dxa"/>
              <w:right w:w="40" w:type="dxa"/>
            </w:tcMar>
            <w:vAlign w:val="center"/>
          </w:tcPr>
          <w:p w14:paraId="42A11419" w14:textId="77777777" w:rsidR="00BB68E1" w:rsidRDefault="00BB68E1">
            <w:pPr>
              <w:jc w:val="center"/>
              <w:textAlignment w:val="center"/>
              <w:rPr>
                <w:rFonts w:ascii="Times New Roman" w:hAnsi="Times New Roman"/>
                <w:sz w:val="16"/>
                <w:szCs w:val="16"/>
              </w:rPr>
            </w:pP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141A"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center"/>
          </w:tcPr>
          <w:p w14:paraId="42A1141B" w14:textId="77777777" w:rsidR="00BB68E1" w:rsidRDefault="00BB68E1">
            <w:pPr>
              <w:jc w:val="center"/>
              <w:textAlignment w:val="center"/>
              <w:rPr>
                <w:rFonts w:ascii="Times New Roman" w:hAnsi="Times New Roman"/>
                <w:sz w:val="16"/>
                <w:szCs w:val="16"/>
              </w:rPr>
            </w:pP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141C"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center"/>
          </w:tcPr>
          <w:p w14:paraId="42A1141D" w14:textId="77777777" w:rsidR="00BB68E1" w:rsidRDefault="00BB68E1">
            <w:pPr>
              <w:jc w:val="center"/>
              <w:textAlignment w:val="center"/>
              <w:rPr>
                <w:rFonts w:ascii="Times New Roman" w:hAnsi="Times New Roman"/>
                <w:sz w:val="16"/>
                <w:szCs w:val="16"/>
              </w:rPr>
            </w:pP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141E"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2020</w:t>
            </w:r>
          </w:p>
        </w:tc>
      </w:tr>
      <w:tr w:rsidR="00BB68E1" w14:paraId="42A11438" w14:textId="77777777">
        <w:trPr>
          <w:jc w:val="center"/>
        </w:trPr>
        <w:tc>
          <w:tcPr>
            <w:tcW w:w="0" w:type="auto"/>
            <w:shd w:val="clear" w:color="auto" w:fill="CCEEFF"/>
            <w:tcMar>
              <w:top w:w="40" w:type="dxa"/>
              <w:left w:w="40" w:type="dxa"/>
              <w:bottom w:w="40" w:type="dxa"/>
              <w:right w:w="40" w:type="dxa"/>
            </w:tcMar>
            <w:vAlign w:val="center"/>
          </w:tcPr>
          <w:p w14:paraId="42A1142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Walmart Inc.</w:t>
            </w:r>
          </w:p>
        </w:tc>
        <w:tc>
          <w:tcPr>
            <w:tcW w:w="0" w:type="auto"/>
            <w:shd w:val="clear" w:color="auto" w:fill="CCEEFF"/>
            <w:tcMar>
              <w:top w:w="40" w:type="dxa"/>
              <w:left w:w="40" w:type="dxa"/>
              <w:bottom w:w="40" w:type="dxa"/>
            </w:tcMar>
            <w:vAlign w:val="center"/>
          </w:tcPr>
          <w:p w14:paraId="42A1142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42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100.00</w:t>
            </w:r>
          </w:p>
        </w:tc>
        <w:tc>
          <w:tcPr>
            <w:tcW w:w="0" w:type="auto"/>
            <w:shd w:val="clear" w:color="auto" w:fill="CCEEFF"/>
            <w:vAlign w:val="bottom"/>
          </w:tcPr>
          <w:p w14:paraId="42A1142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424" w14:textId="77777777" w:rsidR="00BB68E1" w:rsidRDefault="00BB68E1">
            <w:pPr>
              <w:jc w:val="right"/>
              <w:textAlignment w:val="center"/>
              <w:rPr>
                <w:rFonts w:ascii="Times New Roman" w:hAnsi="Times New Roman"/>
                <w:sz w:val="16"/>
                <w:szCs w:val="16"/>
              </w:rPr>
            </w:pPr>
          </w:p>
        </w:tc>
        <w:tc>
          <w:tcPr>
            <w:tcW w:w="0" w:type="auto"/>
            <w:tcBorders>
              <w:top w:val="single" w:sz="8" w:space="0" w:color="000000"/>
            </w:tcBorders>
            <w:shd w:val="clear" w:color="auto" w:fill="CCEEFF"/>
            <w:tcMar>
              <w:top w:w="40" w:type="dxa"/>
              <w:left w:w="40" w:type="dxa"/>
              <w:bottom w:w="40" w:type="dxa"/>
            </w:tcMar>
            <w:vAlign w:val="center"/>
          </w:tcPr>
          <w:p w14:paraId="42A1142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42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80.25</w:t>
            </w:r>
          </w:p>
        </w:tc>
        <w:tc>
          <w:tcPr>
            <w:tcW w:w="0" w:type="auto"/>
            <w:tcBorders>
              <w:top w:val="single" w:sz="8" w:space="0" w:color="000000"/>
            </w:tcBorders>
            <w:shd w:val="clear" w:color="auto" w:fill="CCEEFF"/>
            <w:vAlign w:val="bottom"/>
          </w:tcPr>
          <w:p w14:paraId="42A1142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428" w14:textId="77777777" w:rsidR="00BB68E1" w:rsidRDefault="00BB68E1">
            <w:pPr>
              <w:jc w:val="right"/>
              <w:textAlignment w:val="center"/>
              <w:rPr>
                <w:rFonts w:ascii="Times New Roman" w:hAnsi="Times New Roman"/>
                <w:sz w:val="16"/>
                <w:szCs w:val="16"/>
              </w:rPr>
            </w:pPr>
          </w:p>
        </w:tc>
        <w:tc>
          <w:tcPr>
            <w:tcW w:w="0" w:type="auto"/>
            <w:tcBorders>
              <w:top w:val="single" w:sz="8" w:space="0" w:color="000000"/>
            </w:tcBorders>
            <w:shd w:val="clear" w:color="auto" w:fill="CCEEFF"/>
            <w:tcMar>
              <w:top w:w="40" w:type="dxa"/>
              <w:left w:w="40" w:type="dxa"/>
              <w:bottom w:w="40" w:type="dxa"/>
            </w:tcMar>
            <w:vAlign w:val="center"/>
          </w:tcPr>
          <w:p w14:paraId="42A1142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42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83.06</w:t>
            </w:r>
          </w:p>
        </w:tc>
        <w:tc>
          <w:tcPr>
            <w:tcW w:w="0" w:type="auto"/>
            <w:tcBorders>
              <w:top w:val="single" w:sz="8" w:space="0" w:color="000000"/>
            </w:tcBorders>
            <w:shd w:val="clear" w:color="auto" w:fill="CCEEFF"/>
            <w:vAlign w:val="bottom"/>
          </w:tcPr>
          <w:p w14:paraId="42A1142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42C" w14:textId="77777777" w:rsidR="00BB68E1" w:rsidRDefault="00BB68E1">
            <w:pPr>
              <w:jc w:val="right"/>
              <w:textAlignment w:val="center"/>
              <w:rPr>
                <w:rFonts w:ascii="Times New Roman" w:hAnsi="Times New Roman"/>
                <w:sz w:val="16"/>
                <w:szCs w:val="16"/>
              </w:rPr>
            </w:pPr>
          </w:p>
        </w:tc>
        <w:tc>
          <w:tcPr>
            <w:tcW w:w="0" w:type="auto"/>
            <w:tcBorders>
              <w:top w:val="single" w:sz="8" w:space="0" w:color="000000"/>
            </w:tcBorders>
            <w:shd w:val="clear" w:color="auto" w:fill="CCEEFF"/>
            <w:tcMar>
              <w:top w:w="40" w:type="dxa"/>
              <w:left w:w="40" w:type="dxa"/>
              <w:bottom w:w="40" w:type="dxa"/>
            </w:tcMar>
            <w:vAlign w:val="center"/>
          </w:tcPr>
          <w:p w14:paraId="42A1142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42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136.08</w:t>
            </w:r>
          </w:p>
        </w:tc>
        <w:tc>
          <w:tcPr>
            <w:tcW w:w="0" w:type="auto"/>
            <w:tcBorders>
              <w:top w:val="single" w:sz="8" w:space="0" w:color="000000"/>
            </w:tcBorders>
            <w:shd w:val="clear" w:color="auto" w:fill="CCEEFF"/>
            <w:vAlign w:val="bottom"/>
          </w:tcPr>
          <w:p w14:paraId="42A1142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430" w14:textId="77777777" w:rsidR="00BB68E1" w:rsidRDefault="00BB68E1">
            <w:pPr>
              <w:jc w:val="right"/>
              <w:textAlignment w:val="center"/>
              <w:rPr>
                <w:rFonts w:ascii="Times New Roman" w:hAnsi="Times New Roman"/>
                <w:sz w:val="16"/>
                <w:szCs w:val="16"/>
              </w:rPr>
            </w:pPr>
          </w:p>
        </w:tc>
        <w:tc>
          <w:tcPr>
            <w:tcW w:w="0" w:type="auto"/>
            <w:tcBorders>
              <w:top w:val="single" w:sz="8" w:space="0" w:color="000000"/>
            </w:tcBorders>
            <w:shd w:val="clear" w:color="auto" w:fill="CCEEFF"/>
            <w:tcMar>
              <w:top w:w="40" w:type="dxa"/>
              <w:left w:w="40" w:type="dxa"/>
              <w:bottom w:w="40" w:type="dxa"/>
            </w:tcMar>
            <w:vAlign w:val="center"/>
          </w:tcPr>
          <w:p w14:paraId="42A1143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43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125.24</w:t>
            </w:r>
          </w:p>
        </w:tc>
        <w:tc>
          <w:tcPr>
            <w:tcW w:w="0" w:type="auto"/>
            <w:tcBorders>
              <w:top w:val="single" w:sz="8" w:space="0" w:color="000000"/>
            </w:tcBorders>
            <w:shd w:val="clear" w:color="auto" w:fill="CCEEFF"/>
            <w:vAlign w:val="bottom"/>
          </w:tcPr>
          <w:p w14:paraId="42A1143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434" w14:textId="77777777" w:rsidR="00BB68E1" w:rsidRDefault="00BB68E1">
            <w:pPr>
              <w:jc w:val="right"/>
              <w:textAlignment w:val="center"/>
              <w:rPr>
                <w:rFonts w:ascii="Times New Roman" w:hAnsi="Times New Roman"/>
                <w:sz w:val="16"/>
                <w:szCs w:val="16"/>
              </w:rPr>
            </w:pPr>
          </w:p>
        </w:tc>
        <w:tc>
          <w:tcPr>
            <w:tcW w:w="0" w:type="auto"/>
            <w:tcBorders>
              <w:top w:val="single" w:sz="8" w:space="0" w:color="000000"/>
            </w:tcBorders>
            <w:shd w:val="clear" w:color="auto" w:fill="CCEEFF"/>
            <w:tcMar>
              <w:top w:w="40" w:type="dxa"/>
              <w:left w:w="40" w:type="dxa"/>
              <w:bottom w:w="40" w:type="dxa"/>
            </w:tcMar>
            <w:vAlign w:val="center"/>
          </w:tcPr>
          <w:p w14:paraId="42A1143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43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152.65</w:t>
            </w:r>
          </w:p>
        </w:tc>
        <w:tc>
          <w:tcPr>
            <w:tcW w:w="0" w:type="auto"/>
            <w:tcBorders>
              <w:top w:val="single" w:sz="8" w:space="0" w:color="000000"/>
            </w:tcBorders>
            <w:shd w:val="clear" w:color="auto" w:fill="CCEEFF"/>
            <w:vAlign w:val="bottom"/>
          </w:tcPr>
          <w:p w14:paraId="42A11437" w14:textId="77777777" w:rsidR="00BB68E1" w:rsidRDefault="00BB68E1">
            <w:pPr>
              <w:textAlignment w:val="bottom"/>
              <w:rPr>
                <w:rFonts w:ascii="Times New Roman" w:hAnsi="Times New Roman"/>
                <w:sz w:val="20"/>
                <w:szCs w:val="20"/>
              </w:rPr>
            </w:pPr>
          </w:p>
        </w:tc>
      </w:tr>
      <w:tr w:rsidR="00BB68E1" w14:paraId="42A1144B" w14:textId="77777777">
        <w:trPr>
          <w:jc w:val="center"/>
        </w:trPr>
        <w:tc>
          <w:tcPr>
            <w:tcW w:w="0" w:type="auto"/>
            <w:shd w:val="clear" w:color="auto" w:fill="auto"/>
            <w:tcMar>
              <w:top w:w="40" w:type="dxa"/>
              <w:left w:w="40" w:type="dxa"/>
              <w:bottom w:w="40" w:type="dxa"/>
              <w:right w:w="40" w:type="dxa"/>
            </w:tcMar>
            <w:vAlign w:val="center"/>
          </w:tcPr>
          <w:p w14:paraId="42A1143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S&amp;P 500 Index</w:t>
            </w:r>
          </w:p>
        </w:tc>
        <w:tc>
          <w:tcPr>
            <w:tcW w:w="0" w:type="auto"/>
            <w:gridSpan w:val="2"/>
            <w:shd w:val="clear" w:color="auto" w:fill="auto"/>
            <w:tcMar>
              <w:top w:w="40" w:type="dxa"/>
              <w:left w:w="40" w:type="dxa"/>
              <w:bottom w:w="40" w:type="dxa"/>
            </w:tcMar>
            <w:vAlign w:val="center"/>
          </w:tcPr>
          <w:p w14:paraId="42A1143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100.00</w:t>
            </w:r>
          </w:p>
        </w:tc>
        <w:tc>
          <w:tcPr>
            <w:tcW w:w="0" w:type="auto"/>
            <w:shd w:val="clear" w:color="auto" w:fill="auto"/>
            <w:vAlign w:val="bottom"/>
          </w:tcPr>
          <w:p w14:paraId="42A1143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43C" w14:textId="77777777" w:rsidR="00BB68E1" w:rsidRDefault="00BB68E1">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2A1143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99.33</w:t>
            </w:r>
          </w:p>
        </w:tc>
        <w:tc>
          <w:tcPr>
            <w:tcW w:w="0" w:type="auto"/>
            <w:shd w:val="clear" w:color="auto" w:fill="auto"/>
            <w:vAlign w:val="bottom"/>
          </w:tcPr>
          <w:p w14:paraId="42A1143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43F" w14:textId="77777777" w:rsidR="00BB68E1" w:rsidRDefault="00BB68E1">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2A1144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119.24</w:t>
            </w:r>
          </w:p>
        </w:tc>
        <w:tc>
          <w:tcPr>
            <w:tcW w:w="0" w:type="auto"/>
            <w:shd w:val="clear" w:color="auto" w:fill="auto"/>
            <w:vAlign w:val="bottom"/>
          </w:tcPr>
          <w:p w14:paraId="42A1144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442" w14:textId="77777777" w:rsidR="00BB68E1" w:rsidRDefault="00BB68E1">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2A1144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150.73</w:t>
            </w:r>
          </w:p>
        </w:tc>
        <w:tc>
          <w:tcPr>
            <w:tcW w:w="0" w:type="auto"/>
            <w:shd w:val="clear" w:color="auto" w:fill="auto"/>
            <w:vAlign w:val="bottom"/>
          </w:tcPr>
          <w:p w14:paraId="42A1144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445" w14:textId="77777777" w:rsidR="00BB68E1" w:rsidRDefault="00BB68E1">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2A1144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147.24</w:t>
            </w:r>
          </w:p>
        </w:tc>
        <w:tc>
          <w:tcPr>
            <w:tcW w:w="0" w:type="auto"/>
            <w:shd w:val="clear" w:color="auto" w:fill="auto"/>
            <w:vAlign w:val="bottom"/>
          </w:tcPr>
          <w:p w14:paraId="42A1144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448" w14:textId="77777777" w:rsidR="00BB68E1" w:rsidRDefault="00BB68E1">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2A1144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179.17</w:t>
            </w:r>
          </w:p>
        </w:tc>
        <w:tc>
          <w:tcPr>
            <w:tcW w:w="0" w:type="auto"/>
            <w:shd w:val="clear" w:color="auto" w:fill="auto"/>
            <w:vAlign w:val="bottom"/>
          </w:tcPr>
          <w:p w14:paraId="42A1144A" w14:textId="77777777" w:rsidR="00BB68E1" w:rsidRDefault="00BB68E1">
            <w:pPr>
              <w:textAlignment w:val="bottom"/>
              <w:rPr>
                <w:rFonts w:ascii="Times New Roman" w:hAnsi="Times New Roman"/>
                <w:sz w:val="20"/>
                <w:szCs w:val="20"/>
              </w:rPr>
            </w:pPr>
          </w:p>
        </w:tc>
      </w:tr>
      <w:tr w:rsidR="00BB68E1" w14:paraId="42A1145E" w14:textId="77777777">
        <w:trPr>
          <w:jc w:val="center"/>
        </w:trPr>
        <w:tc>
          <w:tcPr>
            <w:tcW w:w="0" w:type="auto"/>
            <w:shd w:val="clear" w:color="auto" w:fill="CCEEFF"/>
            <w:tcMar>
              <w:top w:w="40" w:type="dxa"/>
              <w:left w:w="40" w:type="dxa"/>
              <w:bottom w:w="40" w:type="dxa"/>
              <w:right w:w="40" w:type="dxa"/>
            </w:tcMar>
            <w:vAlign w:val="center"/>
          </w:tcPr>
          <w:p w14:paraId="42A1144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S&amp;P 500 Retailing Index</w:t>
            </w:r>
          </w:p>
        </w:tc>
        <w:tc>
          <w:tcPr>
            <w:tcW w:w="0" w:type="auto"/>
            <w:gridSpan w:val="2"/>
            <w:shd w:val="clear" w:color="auto" w:fill="CCEEFF"/>
            <w:tcMar>
              <w:top w:w="40" w:type="dxa"/>
              <w:left w:w="40" w:type="dxa"/>
              <w:bottom w:w="40" w:type="dxa"/>
            </w:tcMar>
            <w:vAlign w:val="center"/>
          </w:tcPr>
          <w:p w14:paraId="42A1144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100.00</w:t>
            </w:r>
          </w:p>
        </w:tc>
        <w:tc>
          <w:tcPr>
            <w:tcW w:w="0" w:type="auto"/>
            <w:shd w:val="clear" w:color="auto" w:fill="CCEEFF"/>
            <w:vAlign w:val="bottom"/>
          </w:tcPr>
          <w:p w14:paraId="42A1144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44F" w14:textId="77777777" w:rsidR="00BB68E1" w:rsidRDefault="00BB68E1">
            <w:pPr>
              <w:jc w:val="right"/>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45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118.07</w:t>
            </w:r>
          </w:p>
        </w:tc>
        <w:tc>
          <w:tcPr>
            <w:tcW w:w="0" w:type="auto"/>
            <w:shd w:val="clear" w:color="auto" w:fill="CCEEFF"/>
            <w:vAlign w:val="bottom"/>
          </w:tcPr>
          <w:p w14:paraId="42A1145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452" w14:textId="77777777" w:rsidR="00BB68E1" w:rsidRDefault="00BB68E1">
            <w:pPr>
              <w:jc w:val="right"/>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45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140.38</w:t>
            </w:r>
          </w:p>
        </w:tc>
        <w:tc>
          <w:tcPr>
            <w:tcW w:w="0" w:type="auto"/>
            <w:shd w:val="clear" w:color="auto" w:fill="CCEEFF"/>
            <w:vAlign w:val="bottom"/>
          </w:tcPr>
          <w:p w14:paraId="42A1145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455" w14:textId="77777777" w:rsidR="00BB68E1" w:rsidRDefault="00BB68E1">
            <w:pPr>
              <w:jc w:val="right"/>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45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203.32</w:t>
            </w:r>
          </w:p>
        </w:tc>
        <w:tc>
          <w:tcPr>
            <w:tcW w:w="0" w:type="auto"/>
            <w:shd w:val="clear" w:color="auto" w:fill="CCEEFF"/>
            <w:vAlign w:val="bottom"/>
          </w:tcPr>
          <w:p w14:paraId="42A1145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458" w14:textId="77777777" w:rsidR="00BB68E1" w:rsidRDefault="00BB68E1">
            <w:pPr>
              <w:jc w:val="right"/>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45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216.05</w:t>
            </w:r>
          </w:p>
        </w:tc>
        <w:tc>
          <w:tcPr>
            <w:tcW w:w="0" w:type="auto"/>
            <w:shd w:val="clear" w:color="auto" w:fill="CCEEFF"/>
            <w:vAlign w:val="bottom"/>
          </w:tcPr>
          <w:p w14:paraId="42A1145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45B" w14:textId="77777777" w:rsidR="00BB68E1" w:rsidRDefault="00BB68E1">
            <w:pPr>
              <w:jc w:val="right"/>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45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253.36</w:t>
            </w:r>
          </w:p>
        </w:tc>
        <w:tc>
          <w:tcPr>
            <w:tcW w:w="0" w:type="auto"/>
            <w:shd w:val="clear" w:color="auto" w:fill="CCEEFF"/>
            <w:vAlign w:val="bottom"/>
          </w:tcPr>
          <w:p w14:paraId="42A1145D" w14:textId="77777777" w:rsidR="00BB68E1" w:rsidRDefault="00BB68E1">
            <w:pPr>
              <w:textAlignment w:val="bottom"/>
              <w:rPr>
                <w:rFonts w:ascii="Times New Roman" w:hAnsi="Times New Roman"/>
                <w:sz w:val="20"/>
                <w:szCs w:val="20"/>
              </w:rPr>
            </w:pPr>
          </w:p>
        </w:tc>
      </w:tr>
    </w:tbl>
    <w:p w14:paraId="42A1145F"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Issuer Repurchases of Equity Securities</w:t>
      </w:r>
    </w:p>
    <w:p w14:paraId="42A1146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From time to time, we repurchase shares of our common stock under share repurchase programs authorized by the Company's Board of Directors. All repurchases made during fiscal 2020 were made under the curren</w:t>
      </w:r>
      <w:r>
        <w:rPr>
          <w:rFonts w:ascii="Times New Roman" w:eastAsia="宋体" w:hAnsi="Times New Roman"/>
          <w:sz w:val="20"/>
          <w:szCs w:val="20"/>
        </w:rPr>
        <w:t>t $20.0 billion share repurchase program approved in October 2017, which has no expiration date or other restrictions limiting the period over which the Company can make share repurchases.  As of January 31, 2020, authorization for $5.7 billion of share re</w:t>
      </w:r>
      <w:r>
        <w:rPr>
          <w:rFonts w:ascii="Times New Roman" w:eastAsia="宋体" w:hAnsi="Times New Roman"/>
          <w:sz w:val="20"/>
          <w:szCs w:val="20"/>
        </w:rPr>
        <w:t>purchases remained. Any repurchased shares are constructively retired and returned to an unissued status.</w:t>
      </w:r>
    </w:p>
    <w:p w14:paraId="42A11461" w14:textId="77777777" w:rsidR="00BB68E1" w:rsidRDefault="00BB68E1">
      <w:pPr>
        <w:rPr>
          <w:rFonts w:ascii="Times New Roman" w:hAnsi="Times New Roman"/>
          <w:sz w:val="20"/>
          <w:szCs w:val="20"/>
        </w:rPr>
      </w:pPr>
    </w:p>
    <w:p w14:paraId="42A11462"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28</w:t>
      </w:r>
    </w:p>
    <w:p w14:paraId="42A11463" w14:textId="77777777" w:rsidR="00BB68E1" w:rsidRDefault="00BB68E1">
      <w:pPr>
        <w:spacing w:line="288" w:lineRule="auto"/>
        <w:jc w:val="center"/>
        <w:rPr>
          <w:rFonts w:ascii="Times New Roman" w:hAnsi="Times New Roman"/>
          <w:sz w:val="20"/>
          <w:szCs w:val="20"/>
        </w:rPr>
      </w:pPr>
    </w:p>
    <w:p w14:paraId="42A11464" w14:textId="77777777" w:rsidR="00BB68E1" w:rsidRDefault="005D2D5E">
      <w:r>
        <w:rPr>
          <w:rFonts w:ascii="Times New Roman" w:hAnsi="Times New Roman"/>
          <w:sz w:val="20"/>
          <w:szCs w:val="20"/>
        </w:rPr>
        <w:pict w14:anchorId="42A14293">
          <v:rect id="_x0000_i1052" style="width:415.3pt;height:1.5pt" o:hralign="center" o:hrstd="t" o:hr="t" fillcolor="#a0a0a0" stroked="f"/>
        </w:pict>
      </w:r>
    </w:p>
    <w:p w14:paraId="42A11465" w14:textId="77777777" w:rsidR="00BB68E1" w:rsidRDefault="00BB68E1">
      <w:pPr>
        <w:rPr>
          <w:rFonts w:ascii="Times New Roman" w:hAnsi="Times New Roman"/>
          <w:sz w:val="20"/>
          <w:szCs w:val="20"/>
        </w:rPr>
      </w:pPr>
    </w:p>
    <w:p w14:paraId="42A1146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Share repurchase activity under our share repurchase programs, on a trade date basis, for each month in the quarter ended </w:t>
      </w:r>
      <w:r>
        <w:rPr>
          <w:rFonts w:ascii="Times New Roman" w:eastAsia="宋体" w:hAnsi="Times New Roman"/>
          <w:sz w:val="20"/>
          <w:szCs w:val="20"/>
        </w:rPr>
        <w:t>January 31, 2020, was as follows:</w:t>
      </w:r>
    </w:p>
    <w:tbl>
      <w:tblPr>
        <w:tblW w:w="4990" w:type="pct"/>
        <w:tblCellMar>
          <w:left w:w="0" w:type="dxa"/>
          <w:right w:w="0" w:type="dxa"/>
        </w:tblCellMar>
        <w:tblLook w:val="04A0" w:firstRow="1" w:lastRow="0" w:firstColumn="1" w:lastColumn="0" w:noHBand="0" w:noVBand="1"/>
      </w:tblPr>
      <w:tblGrid>
        <w:gridCol w:w="1711"/>
        <w:gridCol w:w="130"/>
        <w:gridCol w:w="1130"/>
        <w:gridCol w:w="65"/>
        <w:gridCol w:w="130"/>
        <w:gridCol w:w="121"/>
        <w:gridCol w:w="1036"/>
        <w:gridCol w:w="54"/>
        <w:gridCol w:w="130"/>
        <w:gridCol w:w="1546"/>
        <w:gridCol w:w="54"/>
        <w:gridCol w:w="130"/>
        <w:gridCol w:w="121"/>
        <w:gridCol w:w="1877"/>
        <w:gridCol w:w="54"/>
      </w:tblGrid>
      <w:tr w:rsidR="00BB68E1" w14:paraId="42A11468" w14:textId="77777777">
        <w:tc>
          <w:tcPr>
            <w:tcW w:w="0" w:type="auto"/>
            <w:gridSpan w:val="15"/>
            <w:shd w:val="clear" w:color="auto" w:fill="auto"/>
            <w:vAlign w:val="center"/>
          </w:tcPr>
          <w:p w14:paraId="42A11467" w14:textId="77777777" w:rsidR="00BB68E1" w:rsidRDefault="00BB68E1">
            <w:pPr>
              <w:rPr>
                <w:rFonts w:ascii="Times New Roman" w:hAnsi="Times New Roman"/>
                <w:sz w:val="20"/>
                <w:szCs w:val="20"/>
              </w:rPr>
            </w:pPr>
          </w:p>
        </w:tc>
      </w:tr>
      <w:tr w:rsidR="00BB68E1" w14:paraId="42A11478" w14:textId="77777777">
        <w:tc>
          <w:tcPr>
            <w:tcW w:w="1050" w:type="pct"/>
            <w:shd w:val="clear" w:color="auto" w:fill="auto"/>
            <w:vAlign w:val="center"/>
          </w:tcPr>
          <w:p w14:paraId="42A11469" w14:textId="77777777" w:rsidR="00BB68E1" w:rsidRDefault="00BB68E1">
            <w:pPr>
              <w:rPr>
                <w:rFonts w:ascii="Times New Roman" w:hAnsi="Times New Roman"/>
                <w:sz w:val="20"/>
                <w:szCs w:val="20"/>
              </w:rPr>
            </w:pPr>
          </w:p>
        </w:tc>
        <w:tc>
          <w:tcPr>
            <w:tcW w:w="50" w:type="pct"/>
            <w:shd w:val="clear" w:color="auto" w:fill="auto"/>
            <w:vAlign w:val="center"/>
          </w:tcPr>
          <w:p w14:paraId="42A1146A" w14:textId="77777777" w:rsidR="00BB68E1" w:rsidRDefault="00BB68E1">
            <w:pPr>
              <w:rPr>
                <w:rFonts w:ascii="Times New Roman" w:hAnsi="Times New Roman"/>
                <w:sz w:val="20"/>
                <w:szCs w:val="20"/>
              </w:rPr>
            </w:pPr>
          </w:p>
        </w:tc>
        <w:tc>
          <w:tcPr>
            <w:tcW w:w="700" w:type="pct"/>
            <w:shd w:val="clear" w:color="auto" w:fill="auto"/>
            <w:vAlign w:val="center"/>
          </w:tcPr>
          <w:p w14:paraId="42A1146B" w14:textId="77777777" w:rsidR="00BB68E1" w:rsidRDefault="00BB68E1">
            <w:pPr>
              <w:rPr>
                <w:rFonts w:ascii="Times New Roman" w:hAnsi="Times New Roman"/>
                <w:sz w:val="20"/>
                <w:szCs w:val="20"/>
              </w:rPr>
            </w:pPr>
          </w:p>
        </w:tc>
        <w:tc>
          <w:tcPr>
            <w:tcW w:w="50" w:type="pct"/>
            <w:shd w:val="clear" w:color="auto" w:fill="auto"/>
            <w:vAlign w:val="center"/>
          </w:tcPr>
          <w:p w14:paraId="42A1146C" w14:textId="77777777" w:rsidR="00BB68E1" w:rsidRDefault="00BB68E1">
            <w:pPr>
              <w:rPr>
                <w:rFonts w:ascii="Times New Roman" w:hAnsi="Times New Roman"/>
                <w:sz w:val="20"/>
                <w:szCs w:val="20"/>
              </w:rPr>
            </w:pPr>
          </w:p>
        </w:tc>
        <w:tc>
          <w:tcPr>
            <w:tcW w:w="50" w:type="pct"/>
            <w:shd w:val="clear" w:color="auto" w:fill="auto"/>
            <w:vAlign w:val="center"/>
          </w:tcPr>
          <w:p w14:paraId="42A1146D" w14:textId="77777777" w:rsidR="00BB68E1" w:rsidRDefault="00BB68E1">
            <w:pPr>
              <w:rPr>
                <w:rFonts w:ascii="Times New Roman" w:hAnsi="Times New Roman"/>
                <w:sz w:val="20"/>
                <w:szCs w:val="20"/>
              </w:rPr>
            </w:pPr>
          </w:p>
        </w:tc>
        <w:tc>
          <w:tcPr>
            <w:tcW w:w="50" w:type="pct"/>
            <w:shd w:val="clear" w:color="auto" w:fill="auto"/>
            <w:vAlign w:val="center"/>
          </w:tcPr>
          <w:p w14:paraId="42A1146E" w14:textId="77777777" w:rsidR="00BB68E1" w:rsidRDefault="00BB68E1">
            <w:pPr>
              <w:rPr>
                <w:rFonts w:ascii="Times New Roman" w:hAnsi="Times New Roman"/>
                <w:sz w:val="20"/>
                <w:szCs w:val="20"/>
              </w:rPr>
            </w:pPr>
          </w:p>
        </w:tc>
        <w:tc>
          <w:tcPr>
            <w:tcW w:w="650" w:type="pct"/>
            <w:shd w:val="clear" w:color="auto" w:fill="auto"/>
            <w:vAlign w:val="center"/>
          </w:tcPr>
          <w:p w14:paraId="42A1146F" w14:textId="77777777" w:rsidR="00BB68E1" w:rsidRDefault="00BB68E1">
            <w:pPr>
              <w:rPr>
                <w:rFonts w:ascii="Times New Roman" w:hAnsi="Times New Roman"/>
                <w:sz w:val="20"/>
                <w:szCs w:val="20"/>
              </w:rPr>
            </w:pPr>
          </w:p>
        </w:tc>
        <w:tc>
          <w:tcPr>
            <w:tcW w:w="50" w:type="pct"/>
            <w:shd w:val="clear" w:color="auto" w:fill="auto"/>
            <w:vAlign w:val="center"/>
          </w:tcPr>
          <w:p w14:paraId="42A11470" w14:textId="77777777" w:rsidR="00BB68E1" w:rsidRDefault="00BB68E1">
            <w:pPr>
              <w:rPr>
                <w:rFonts w:ascii="Times New Roman" w:hAnsi="Times New Roman"/>
                <w:sz w:val="20"/>
                <w:szCs w:val="20"/>
              </w:rPr>
            </w:pPr>
          </w:p>
        </w:tc>
        <w:tc>
          <w:tcPr>
            <w:tcW w:w="50" w:type="pct"/>
            <w:shd w:val="clear" w:color="auto" w:fill="auto"/>
            <w:vAlign w:val="center"/>
          </w:tcPr>
          <w:p w14:paraId="42A11471" w14:textId="77777777" w:rsidR="00BB68E1" w:rsidRDefault="00BB68E1">
            <w:pPr>
              <w:rPr>
                <w:rFonts w:ascii="Times New Roman" w:hAnsi="Times New Roman"/>
                <w:sz w:val="20"/>
                <w:szCs w:val="20"/>
              </w:rPr>
            </w:pPr>
          </w:p>
        </w:tc>
        <w:tc>
          <w:tcPr>
            <w:tcW w:w="950" w:type="pct"/>
            <w:shd w:val="clear" w:color="auto" w:fill="auto"/>
            <w:vAlign w:val="center"/>
          </w:tcPr>
          <w:p w14:paraId="42A11472" w14:textId="77777777" w:rsidR="00BB68E1" w:rsidRDefault="00BB68E1">
            <w:pPr>
              <w:rPr>
                <w:rFonts w:ascii="Times New Roman" w:hAnsi="Times New Roman"/>
                <w:sz w:val="20"/>
                <w:szCs w:val="20"/>
              </w:rPr>
            </w:pPr>
          </w:p>
        </w:tc>
        <w:tc>
          <w:tcPr>
            <w:tcW w:w="50" w:type="pct"/>
            <w:shd w:val="clear" w:color="auto" w:fill="auto"/>
            <w:vAlign w:val="center"/>
          </w:tcPr>
          <w:p w14:paraId="42A11473" w14:textId="77777777" w:rsidR="00BB68E1" w:rsidRDefault="00BB68E1">
            <w:pPr>
              <w:rPr>
                <w:rFonts w:ascii="Times New Roman" w:hAnsi="Times New Roman"/>
                <w:sz w:val="20"/>
                <w:szCs w:val="20"/>
              </w:rPr>
            </w:pPr>
          </w:p>
        </w:tc>
        <w:tc>
          <w:tcPr>
            <w:tcW w:w="50" w:type="pct"/>
            <w:shd w:val="clear" w:color="auto" w:fill="auto"/>
            <w:vAlign w:val="center"/>
          </w:tcPr>
          <w:p w14:paraId="42A11474" w14:textId="77777777" w:rsidR="00BB68E1" w:rsidRDefault="00BB68E1">
            <w:pPr>
              <w:rPr>
                <w:rFonts w:ascii="Times New Roman" w:hAnsi="Times New Roman"/>
                <w:sz w:val="20"/>
                <w:szCs w:val="20"/>
              </w:rPr>
            </w:pPr>
          </w:p>
        </w:tc>
        <w:tc>
          <w:tcPr>
            <w:tcW w:w="50" w:type="pct"/>
            <w:shd w:val="clear" w:color="auto" w:fill="auto"/>
            <w:vAlign w:val="center"/>
          </w:tcPr>
          <w:p w14:paraId="42A11475" w14:textId="77777777" w:rsidR="00BB68E1" w:rsidRDefault="00BB68E1">
            <w:pPr>
              <w:rPr>
                <w:rFonts w:ascii="Times New Roman" w:hAnsi="Times New Roman"/>
                <w:sz w:val="20"/>
                <w:szCs w:val="20"/>
              </w:rPr>
            </w:pPr>
          </w:p>
        </w:tc>
        <w:tc>
          <w:tcPr>
            <w:tcW w:w="1150" w:type="pct"/>
            <w:shd w:val="clear" w:color="auto" w:fill="auto"/>
            <w:vAlign w:val="center"/>
          </w:tcPr>
          <w:p w14:paraId="42A11476" w14:textId="77777777" w:rsidR="00BB68E1" w:rsidRDefault="00BB68E1">
            <w:pPr>
              <w:rPr>
                <w:rFonts w:ascii="Times New Roman" w:hAnsi="Times New Roman"/>
                <w:sz w:val="20"/>
                <w:szCs w:val="20"/>
              </w:rPr>
            </w:pPr>
          </w:p>
        </w:tc>
        <w:tc>
          <w:tcPr>
            <w:tcW w:w="50" w:type="pct"/>
            <w:shd w:val="clear" w:color="auto" w:fill="auto"/>
            <w:vAlign w:val="center"/>
          </w:tcPr>
          <w:p w14:paraId="42A11477" w14:textId="77777777" w:rsidR="00BB68E1" w:rsidRDefault="00BB68E1">
            <w:pPr>
              <w:rPr>
                <w:rFonts w:ascii="Times New Roman" w:hAnsi="Times New Roman"/>
                <w:sz w:val="20"/>
                <w:szCs w:val="20"/>
              </w:rPr>
            </w:pPr>
          </w:p>
        </w:tc>
      </w:tr>
      <w:tr w:rsidR="00BB68E1" w14:paraId="42A1148D" w14:textId="77777777">
        <w:tc>
          <w:tcPr>
            <w:tcW w:w="0" w:type="auto"/>
            <w:shd w:val="clear" w:color="auto" w:fill="auto"/>
            <w:tcMar>
              <w:top w:w="40" w:type="dxa"/>
              <w:left w:w="40" w:type="dxa"/>
              <w:bottom w:w="40" w:type="dxa"/>
              <w:right w:w="40" w:type="dxa"/>
            </w:tcMar>
            <w:vAlign w:val="bottom"/>
          </w:tcPr>
          <w:p w14:paraId="42A11479"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Fiscal Period</w:t>
            </w:r>
          </w:p>
        </w:tc>
        <w:tc>
          <w:tcPr>
            <w:tcW w:w="0" w:type="auto"/>
            <w:shd w:val="clear" w:color="auto" w:fill="auto"/>
            <w:tcMar>
              <w:top w:w="40" w:type="dxa"/>
              <w:left w:w="40" w:type="dxa"/>
              <w:bottom w:w="40" w:type="dxa"/>
              <w:right w:w="40" w:type="dxa"/>
            </w:tcMar>
            <w:vAlign w:val="bottom"/>
          </w:tcPr>
          <w:p w14:paraId="42A1147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147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Total Number of</w:t>
            </w:r>
          </w:p>
          <w:p w14:paraId="42A1147C"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Shares Repurchased</w:t>
            </w:r>
          </w:p>
        </w:tc>
        <w:tc>
          <w:tcPr>
            <w:tcW w:w="0" w:type="auto"/>
            <w:shd w:val="clear" w:color="auto" w:fill="auto"/>
            <w:tcMar>
              <w:top w:w="40" w:type="dxa"/>
              <w:left w:w="40" w:type="dxa"/>
              <w:bottom w:w="40" w:type="dxa"/>
              <w:right w:w="40" w:type="dxa"/>
            </w:tcMar>
            <w:vAlign w:val="bottom"/>
          </w:tcPr>
          <w:p w14:paraId="42A1147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47E"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Average Price Paid</w:t>
            </w:r>
          </w:p>
          <w:p w14:paraId="42A1147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per Share</w:t>
            </w:r>
          </w:p>
          <w:p w14:paraId="42A11480"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(in dollars)</w:t>
            </w:r>
          </w:p>
        </w:tc>
        <w:tc>
          <w:tcPr>
            <w:tcW w:w="0" w:type="auto"/>
            <w:shd w:val="clear" w:color="auto" w:fill="auto"/>
            <w:tcMar>
              <w:top w:w="40" w:type="dxa"/>
              <w:left w:w="40" w:type="dxa"/>
              <w:bottom w:w="40" w:type="dxa"/>
              <w:right w:w="40" w:type="dxa"/>
            </w:tcMar>
            <w:vAlign w:val="bottom"/>
          </w:tcPr>
          <w:p w14:paraId="42A114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148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Total Number of</w:t>
            </w:r>
          </w:p>
          <w:p w14:paraId="42A1148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Shares Repurchased</w:t>
            </w:r>
          </w:p>
          <w:p w14:paraId="42A11484"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as Part of Publicly</w:t>
            </w:r>
          </w:p>
          <w:p w14:paraId="42A11485"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Announced Plans or</w:t>
            </w:r>
          </w:p>
          <w:p w14:paraId="42A11486"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Programs</w:t>
            </w:r>
          </w:p>
        </w:tc>
        <w:tc>
          <w:tcPr>
            <w:tcW w:w="0" w:type="auto"/>
            <w:shd w:val="clear" w:color="auto" w:fill="auto"/>
            <w:tcMar>
              <w:top w:w="40" w:type="dxa"/>
              <w:left w:w="40" w:type="dxa"/>
              <w:bottom w:w="40" w:type="dxa"/>
              <w:right w:w="40" w:type="dxa"/>
            </w:tcMar>
            <w:vAlign w:val="bottom"/>
          </w:tcPr>
          <w:p w14:paraId="42A114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488"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 xml:space="preserve">Approximate </w:t>
            </w:r>
            <w:r>
              <w:rPr>
                <w:rFonts w:ascii="Times New Roman" w:eastAsia="宋体" w:hAnsi="Times New Roman"/>
                <w:b/>
                <w:bCs/>
                <w:sz w:val="16"/>
                <w:szCs w:val="16"/>
              </w:rPr>
              <w:t>Dollar Value of</w:t>
            </w:r>
          </w:p>
          <w:p w14:paraId="42A11489"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Shares that May Yet Be</w:t>
            </w:r>
          </w:p>
          <w:p w14:paraId="42A1148A"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Repurchased Under the</w:t>
            </w:r>
          </w:p>
          <w:p w14:paraId="42A1148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Plans or Programs</w:t>
            </w:r>
            <w:r>
              <w:rPr>
                <w:rFonts w:ascii="Times New Roman" w:eastAsia="宋体" w:hAnsi="Times New Roman"/>
                <w:b/>
                <w:bCs/>
                <w:sz w:val="10"/>
                <w:szCs w:val="10"/>
              </w:rPr>
              <w:t>(1)</w:t>
            </w:r>
          </w:p>
          <w:p w14:paraId="42A1148C"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(in billions)</w:t>
            </w:r>
          </w:p>
        </w:tc>
      </w:tr>
      <w:tr w:rsidR="00BB68E1" w14:paraId="42A1149D" w14:textId="77777777">
        <w:tc>
          <w:tcPr>
            <w:tcW w:w="0" w:type="auto"/>
            <w:shd w:val="clear" w:color="auto" w:fill="CCEEFF"/>
            <w:tcMar>
              <w:top w:w="40" w:type="dxa"/>
              <w:left w:w="40" w:type="dxa"/>
              <w:bottom w:w="40" w:type="dxa"/>
              <w:right w:w="40" w:type="dxa"/>
            </w:tcMar>
            <w:vAlign w:val="bottom"/>
          </w:tcPr>
          <w:p w14:paraId="42A1148E"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November 1-30, 2019</w:t>
            </w:r>
          </w:p>
        </w:tc>
        <w:tc>
          <w:tcPr>
            <w:tcW w:w="0" w:type="auto"/>
            <w:shd w:val="clear" w:color="auto" w:fill="CCEEFF"/>
            <w:tcMar>
              <w:top w:w="40" w:type="dxa"/>
              <w:left w:w="40" w:type="dxa"/>
              <w:bottom w:w="40" w:type="dxa"/>
              <w:right w:w="40" w:type="dxa"/>
            </w:tcMar>
            <w:vAlign w:val="bottom"/>
          </w:tcPr>
          <w:p w14:paraId="42A1148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2A11490"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2,396,857</w:t>
            </w:r>
          </w:p>
        </w:tc>
        <w:tc>
          <w:tcPr>
            <w:tcW w:w="0" w:type="auto"/>
            <w:tcBorders>
              <w:top w:val="single" w:sz="8" w:space="0" w:color="000000"/>
            </w:tcBorders>
            <w:shd w:val="clear" w:color="auto" w:fill="CCEEFF"/>
            <w:vAlign w:val="bottom"/>
          </w:tcPr>
          <w:p w14:paraId="42A1149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49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2A1149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2A11494"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119.37</w:t>
            </w:r>
          </w:p>
        </w:tc>
        <w:tc>
          <w:tcPr>
            <w:tcW w:w="0" w:type="auto"/>
            <w:tcBorders>
              <w:top w:val="single" w:sz="8" w:space="0" w:color="000000"/>
            </w:tcBorders>
            <w:shd w:val="clear" w:color="auto" w:fill="CCEEFF"/>
            <w:vAlign w:val="bottom"/>
          </w:tcPr>
          <w:p w14:paraId="42A1149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49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2A11497"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2,396,857</w:t>
            </w:r>
          </w:p>
        </w:tc>
        <w:tc>
          <w:tcPr>
            <w:tcW w:w="0" w:type="auto"/>
            <w:tcBorders>
              <w:top w:val="single" w:sz="8" w:space="0" w:color="000000"/>
            </w:tcBorders>
            <w:shd w:val="clear" w:color="auto" w:fill="CCEEFF"/>
            <w:vAlign w:val="bottom"/>
          </w:tcPr>
          <w:p w14:paraId="42A1149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49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2A1149A"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2A1149B"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6.3</w:t>
            </w:r>
          </w:p>
        </w:tc>
        <w:tc>
          <w:tcPr>
            <w:tcW w:w="0" w:type="auto"/>
            <w:tcBorders>
              <w:top w:val="single" w:sz="8" w:space="0" w:color="000000"/>
            </w:tcBorders>
            <w:shd w:val="clear" w:color="auto" w:fill="CCEEFF"/>
            <w:vAlign w:val="bottom"/>
          </w:tcPr>
          <w:p w14:paraId="42A1149C" w14:textId="77777777" w:rsidR="00BB68E1" w:rsidRDefault="00BB68E1">
            <w:pPr>
              <w:textAlignment w:val="bottom"/>
              <w:rPr>
                <w:rFonts w:ascii="Times New Roman" w:hAnsi="Times New Roman"/>
                <w:sz w:val="20"/>
                <w:szCs w:val="20"/>
              </w:rPr>
            </w:pPr>
          </w:p>
        </w:tc>
      </w:tr>
      <w:tr w:rsidR="00BB68E1" w14:paraId="42A114AB" w14:textId="77777777">
        <w:tc>
          <w:tcPr>
            <w:tcW w:w="0" w:type="auto"/>
            <w:shd w:val="clear" w:color="auto" w:fill="auto"/>
            <w:tcMar>
              <w:top w:w="40" w:type="dxa"/>
              <w:left w:w="40" w:type="dxa"/>
              <w:bottom w:w="40" w:type="dxa"/>
              <w:right w:w="40" w:type="dxa"/>
            </w:tcMar>
            <w:vAlign w:val="bottom"/>
          </w:tcPr>
          <w:p w14:paraId="42A1149E"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December 1-31, 2019</w:t>
            </w:r>
          </w:p>
        </w:tc>
        <w:tc>
          <w:tcPr>
            <w:tcW w:w="0" w:type="auto"/>
            <w:shd w:val="clear" w:color="auto" w:fill="auto"/>
            <w:tcMar>
              <w:top w:w="40" w:type="dxa"/>
              <w:left w:w="40" w:type="dxa"/>
              <w:bottom w:w="40" w:type="dxa"/>
              <w:right w:w="40" w:type="dxa"/>
            </w:tcMar>
            <w:vAlign w:val="bottom"/>
          </w:tcPr>
          <w:p w14:paraId="42A1149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2A114A0"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2,494,584</w:t>
            </w:r>
          </w:p>
        </w:tc>
        <w:tc>
          <w:tcPr>
            <w:tcW w:w="0" w:type="auto"/>
            <w:shd w:val="clear" w:color="auto" w:fill="auto"/>
            <w:vAlign w:val="bottom"/>
          </w:tcPr>
          <w:p w14:paraId="42A114A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4A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14A3"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119.52</w:t>
            </w:r>
          </w:p>
        </w:tc>
        <w:tc>
          <w:tcPr>
            <w:tcW w:w="0" w:type="auto"/>
            <w:shd w:val="clear" w:color="auto" w:fill="auto"/>
            <w:vAlign w:val="bottom"/>
          </w:tcPr>
          <w:p w14:paraId="42A114A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4A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2A114A6"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2,494,584</w:t>
            </w:r>
          </w:p>
        </w:tc>
        <w:tc>
          <w:tcPr>
            <w:tcW w:w="0" w:type="auto"/>
            <w:shd w:val="clear" w:color="auto" w:fill="auto"/>
            <w:vAlign w:val="bottom"/>
          </w:tcPr>
          <w:p w14:paraId="42A114A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4A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14A9"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6.0</w:t>
            </w:r>
          </w:p>
        </w:tc>
        <w:tc>
          <w:tcPr>
            <w:tcW w:w="0" w:type="auto"/>
            <w:shd w:val="clear" w:color="auto" w:fill="auto"/>
            <w:vAlign w:val="bottom"/>
          </w:tcPr>
          <w:p w14:paraId="42A114AA" w14:textId="77777777" w:rsidR="00BB68E1" w:rsidRDefault="00BB68E1">
            <w:pPr>
              <w:textAlignment w:val="bottom"/>
              <w:rPr>
                <w:rFonts w:ascii="Times New Roman" w:hAnsi="Times New Roman"/>
                <w:sz w:val="20"/>
                <w:szCs w:val="20"/>
              </w:rPr>
            </w:pPr>
          </w:p>
        </w:tc>
      </w:tr>
      <w:tr w:rsidR="00BB68E1" w14:paraId="42A114B9" w14:textId="77777777">
        <w:tc>
          <w:tcPr>
            <w:tcW w:w="0" w:type="auto"/>
            <w:shd w:val="clear" w:color="auto" w:fill="CCEEFF"/>
            <w:tcMar>
              <w:top w:w="40" w:type="dxa"/>
              <w:left w:w="40" w:type="dxa"/>
              <w:bottom w:w="40" w:type="dxa"/>
              <w:right w:w="40" w:type="dxa"/>
            </w:tcMar>
            <w:vAlign w:val="bottom"/>
          </w:tcPr>
          <w:p w14:paraId="42A114AC"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January 1-31, 2020</w:t>
            </w:r>
          </w:p>
        </w:tc>
        <w:tc>
          <w:tcPr>
            <w:tcW w:w="0" w:type="auto"/>
            <w:shd w:val="clear" w:color="auto" w:fill="CCEEFF"/>
            <w:tcMar>
              <w:top w:w="40" w:type="dxa"/>
              <w:left w:w="40" w:type="dxa"/>
              <w:bottom w:w="40" w:type="dxa"/>
              <w:right w:w="40" w:type="dxa"/>
            </w:tcMar>
            <w:vAlign w:val="bottom"/>
          </w:tcPr>
          <w:p w14:paraId="42A114A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42A114AE"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2,627,813</w:t>
            </w:r>
          </w:p>
        </w:tc>
        <w:tc>
          <w:tcPr>
            <w:tcW w:w="0" w:type="auto"/>
            <w:tcBorders>
              <w:bottom w:val="single" w:sz="8" w:space="0" w:color="000000"/>
            </w:tcBorders>
            <w:shd w:val="clear" w:color="auto" w:fill="CCEEFF"/>
            <w:vAlign w:val="bottom"/>
          </w:tcPr>
          <w:p w14:paraId="42A114A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4B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14B1"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116.14</w:t>
            </w:r>
          </w:p>
        </w:tc>
        <w:tc>
          <w:tcPr>
            <w:tcW w:w="0" w:type="auto"/>
            <w:shd w:val="clear" w:color="auto" w:fill="CCEEFF"/>
            <w:vAlign w:val="bottom"/>
          </w:tcPr>
          <w:p w14:paraId="42A114B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4B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42A114B4"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2,627,813</w:t>
            </w:r>
          </w:p>
        </w:tc>
        <w:tc>
          <w:tcPr>
            <w:tcW w:w="0" w:type="auto"/>
            <w:tcBorders>
              <w:bottom w:val="single" w:sz="8" w:space="0" w:color="000000"/>
            </w:tcBorders>
            <w:shd w:val="clear" w:color="auto" w:fill="CCEEFF"/>
            <w:vAlign w:val="bottom"/>
          </w:tcPr>
          <w:p w14:paraId="42A114B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4B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14B7"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5.7</w:t>
            </w:r>
          </w:p>
        </w:tc>
        <w:tc>
          <w:tcPr>
            <w:tcW w:w="0" w:type="auto"/>
            <w:shd w:val="clear" w:color="auto" w:fill="CCEEFF"/>
            <w:vAlign w:val="bottom"/>
          </w:tcPr>
          <w:p w14:paraId="42A114B8" w14:textId="77777777" w:rsidR="00BB68E1" w:rsidRDefault="00BB68E1">
            <w:pPr>
              <w:textAlignment w:val="bottom"/>
              <w:rPr>
                <w:rFonts w:ascii="Times New Roman" w:hAnsi="Times New Roman"/>
                <w:sz w:val="20"/>
                <w:szCs w:val="20"/>
              </w:rPr>
            </w:pPr>
          </w:p>
        </w:tc>
      </w:tr>
      <w:tr w:rsidR="00BB68E1" w14:paraId="42A114C5" w14:textId="77777777">
        <w:tc>
          <w:tcPr>
            <w:tcW w:w="0" w:type="auto"/>
            <w:shd w:val="clear" w:color="auto" w:fill="auto"/>
            <w:tcMar>
              <w:top w:w="40" w:type="dxa"/>
              <w:left w:w="40" w:type="dxa"/>
              <w:bottom w:w="40" w:type="dxa"/>
              <w:right w:w="40" w:type="dxa"/>
            </w:tcMar>
            <w:vAlign w:val="center"/>
          </w:tcPr>
          <w:p w14:paraId="42A114BA"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auto"/>
            <w:tcMar>
              <w:top w:w="40" w:type="dxa"/>
              <w:left w:w="40" w:type="dxa"/>
              <w:bottom w:w="40" w:type="dxa"/>
              <w:right w:w="40" w:type="dxa"/>
            </w:tcMar>
            <w:vAlign w:val="bottom"/>
          </w:tcPr>
          <w:p w14:paraId="42A114B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14B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7,519,254</w:t>
            </w:r>
          </w:p>
        </w:tc>
        <w:tc>
          <w:tcPr>
            <w:tcW w:w="0" w:type="auto"/>
            <w:tcBorders>
              <w:bottom w:val="double" w:sz="6" w:space="0" w:color="000000"/>
            </w:tcBorders>
            <w:shd w:val="clear" w:color="auto" w:fill="auto"/>
            <w:vAlign w:val="bottom"/>
          </w:tcPr>
          <w:p w14:paraId="42A114B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4B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4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4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14C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7,519,254</w:t>
            </w:r>
          </w:p>
        </w:tc>
        <w:tc>
          <w:tcPr>
            <w:tcW w:w="0" w:type="auto"/>
            <w:tcBorders>
              <w:bottom w:val="double" w:sz="6" w:space="0" w:color="000000"/>
            </w:tcBorders>
            <w:shd w:val="clear" w:color="auto" w:fill="auto"/>
            <w:vAlign w:val="bottom"/>
          </w:tcPr>
          <w:p w14:paraId="42A114C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4C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4C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bl>
    <w:p w14:paraId="42A114C6" w14:textId="77777777" w:rsidR="00BB68E1" w:rsidRDefault="005D2D5E">
      <w:pPr>
        <w:spacing w:line="288" w:lineRule="auto"/>
        <w:ind w:hanging="360"/>
        <w:rPr>
          <w:rFonts w:ascii="Times New Roman" w:hAnsi="Times New Roman"/>
          <w:sz w:val="16"/>
          <w:szCs w:val="16"/>
        </w:rPr>
      </w:pPr>
      <w:r>
        <w:rPr>
          <w:rFonts w:ascii="Times New Roman" w:eastAsia="宋体" w:hAnsi="Times New Roman"/>
          <w:sz w:val="16"/>
          <w:szCs w:val="16"/>
        </w:rPr>
        <w:t xml:space="preserve">(1) Represents the approximate dollar value of shares that could have been repurchased at the end of the month. </w:t>
      </w:r>
    </w:p>
    <w:tbl>
      <w:tblPr>
        <w:tblW w:w="4990" w:type="pct"/>
        <w:tblCellMar>
          <w:left w:w="0" w:type="dxa"/>
          <w:right w:w="0" w:type="dxa"/>
        </w:tblCellMar>
        <w:tblLook w:val="04A0" w:firstRow="1" w:lastRow="0" w:firstColumn="1" w:lastColumn="0" w:noHBand="0" w:noVBand="1"/>
      </w:tblPr>
      <w:tblGrid>
        <w:gridCol w:w="912"/>
        <w:gridCol w:w="7377"/>
      </w:tblGrid>
      <w:tr w:rsidR="00BB68E1" w14:paraId="42A114C8" w14:textId="77777777">
        <w:tc>
          <w:tcPr>
            <w:tcW w:w="0" w:type="auto"/>
            <w:gridSpan w:val="2"/>
            <w:shd w:val="clear" w:color="auto" w:fill="auto"/>
            <w:vAlign w:val="center"/>
          </w:tcPr>
          <w:p w14:paraId="42A114C7" w14:textId="77777777" w:rsidR="00BB68E1" w:rsidRDefault="00BB68E1">
            <w:pPr>
              <w:rPr>
                <w:rFonts w:ascii="Times New Roman" w:hAnsi="Times New Roman"/>
                <w:sz w:val="20"/>
                <w:szCs w:val="20"/>
              </w:rPr>
            </w:pPr>
          </w:p>
        </w:tc>
      </w:tr>
      <w:tr w:rsidR="00BB68E1" w14:paraId="42A114CB" w14:textId="77777777">
        <w:tc>
          <w:tcPr>
            <w:tcW w:w="550" w:type="pct"/>
            <w:shd w:val="clear" w:color="auto" w:fill="auto"/>
            <w:vAlign w:val="center"/>
          </w:tcPr>
          <w:p w14:paraId="42A114C9" w14:textId="77777777" w:rsidR="00BB68E1" w:rsidRDefault="00BB68E1">
            <w:pPr>
              <w:rPr>
                <w:rFonts w:ascii="Times New Roman" w:hAnsi="Times New Roman"/>
                <w:sz w:val="20"/>
                <w:szCs w:val="20"/>
              </w:rPr>
            </w:pPr>
          </w:p>
        </w:tc>
        <w:tc>
          <w:tcPr>
            <w:tcW w:w="4450" w:type="pct"/>
            <w:shd w:val="clear" w:color="auto" w:fill="auto"/>
            <w:vAlign w:val="center"/>
          </w:tcPr>
          <w:p w14:paraId="42A114CA" w14:textId="77777777" w:rsidR="00BB68E1" w:rsidRDefault="00BB68E1">
            <w:pPr>
              <w:rPr>
                <w:rFonts w:ascii="Times New Roman" w:hAnsi="Times New Roman"/>
                <w:sz w:val="20"/>
                <w:szCs w:val="20"/>
              </w:rPr>
            </w:pPr>
          </w:p>
        </w:tc>
      </w:tr>
      <w:tr w:rsidR="00BB68E1" w14:paraId="42A114CE" w14:textId="77777777">
        <w:tc>
          <w:tcPr>
            <w:tcW w:w="0" w:type="auto"/>
            <w:shd w:val="clear" w:color="auto" w:fill="auto"/>
            <w:tcMar>
              <w:top w:w="40" w:type="dxa"/>
              <w:left w:w="40" w:type="dxa"/>
              <w:bottom w:w="40" w:type="dxa"/>
              <w:right w:w="40" w:type="dxa"/>
            </w:tcMar>
          </w:tcPr>
          <w:p w14:paraId="42A114CC"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6.</w:t>
            </w:r>
          </w:p>
        </w:tc>
        <w:tc>
          <w:tcPr>
            <w:tcW w:w="0" w:type="auto"/>
            <w:shd w:val="clear" w:color="auto" w:fill="auto"/>
            <w:tcMar>
              <w:top w:w="40" w:type="dxa"/>
              <w:left w:w="40" w:type="dxa"/>
              <w:bottom w:w="40" w:type="dxa"/>
              <w:right w:w="40" w:type="dxa"/>
            </w:tcMar>
          </w:tcPr>
          <w:p w14:paraId="42A114CD"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SELECTED FINANCIAL DATA</w:t>
            </w:r>
          </w:p>
        </w:tc>
      </w:tr>
    </w:tbl>
    <w:p w14:paraId="42A114CF" w14:textId="77777777" w:rsidR="00BB68E1" w:rsidRDefault="00BB68E1">
      <w:pPr>
        <w:rPr>
          <w:vanish/>
        </w:rPr>
      </w:pPr>
    </w:p>
    <w:tbl>
      <w:tblPr>
        <w:tblW w:w="5000" w:type="pct"/>
        <w:jc w:val="center"/>
        <w:tblCellMar>
          <w:left w:w="0" w:type="dxa"/>
          <w:right w:w="0" w:type="dxa"/>
        </w:tblCellMar>
        <w:tblLook w:val="04A0" w:firstRow="1" w:lastRow="0" w:firstColumn="1" w:lastColumn="0" w:noHBand="0" w:noVBand="1"/>
      </w:tblPr>
      <w:tblGrid>
        <w:gridCol w:w="6728"/>
        <w:gridCol w:w="1578"/>
      </w:tblGrid>
      <w:tr w:rsidR="00BB68E1" w14:paraId="42A114D1" w14:textId="77777777">
        <w:trPr>
          <w:jc w:val="center"/>
        </w:trPr>
        <w:tc>
          <w:tcPr>
            <w:tcW w:w="0" w:type="auto"/>
            <w:gridSpan w:val="2"/>
            <w:shd w:val="clear" w:color="auto" w:fill="auto"/>
            <w:vAlign w:val="center"/>
          </w:tcPr>
          <w:p w14:paraId="42A114D0" w14:textId="77777777" w:rsidR="00BB68E1" w:rsidRDefault="00BB68E1">
            <w:pPr>
              <w:rPr>
                <w:rFonts w:ascii="Times New Roman" w:hAnsi="Times New Roman"/>
                <w:sz w:val="20"/>
                <w:szCs w:val="20"/>
              </w:rPr>
            </w:pPr>
          </w:p>
        </w:tc>
      </w:tr>
      <w:tr w:rsidR="00BB68E1" w14:paraId="42A114D4" w14:textId="77777777">
        <w:trPr>
          <w:jc w:val="center"/>
        </w:trPr>
        <w:tc>
          <w:tcPr>
            <w:tcW w:w="4050" w:type="pct"/>
            <w:shd w:val="clear" w:color="auto" w:fill="auto"/>
            <w:vAlign w:val="center"/>
          </w:tcPr>
          <w:p w14:paraId="42A114D2" w14:textId="77777777" w:rsidR="00BB68E1" w:rsidRDefault="00BB68E1">
            <w:pPr>
              <w:rPr>
                <w:rFonts w:ascii="Times New Roman" w:hAnsi="Times New Roman"/>
                <w:sz w:val="20"/>
                <w:szCs w:val="20"/>
              </w:rPr>
            </w:pPr>
          </w:p>
        </w:tc>
        <w:tc>
          <w:tcPr>
            <w:tcW w:w="950" w:type="pct"/>
            <w:shd w:val="clear" w:color="auto" w:fill="auto"/>
            <w:vAlign w:val="center"/>
          </w:tcPr>
          <w:p w14:paraId="42A114D3" w14:textId="77777777" w:rsidR="00BB68E1" w:rsidRDefault="00BB68E1">
            <w:pPr>
              <w:rPr>
                <w:rFonts w:ascii="Times New Roman" w:hAnsi="Times New Roman"/>
                <w:sz w:val="20"/>
                <w:szCs w:val="20"/>
              </w:rPr>
            </w:pPr>
          </w:p>
        </w:tc>
      </w:tr>
      <w:tr w:rsidR="00BB68E1" w14:paraId="42A114D7" w14:textId="77777777">
        <w:trPr>
          <w:jc w:val="center"/>
        </w:trPr>
        <w:tc>
          <w:tcPr>
            <w:tcW w:w="0" w:type="auto"/>
            <w:shd w:val="clear" w:color="auto" w:fill="auto"/>
            <w:tcMar>
              <w:top w:w="40" w:type="dxa"/>
              <w:left w:w="40" w:type="dxa"/>
              <w:bottom w:w="40" w:type="dxa"/>
              <w:right w:w="40" w:type="dxa"/>
            </w:tcMar>
            <w:vAlign w:val="bottom"/>
          </w:tcPr>
          <w:p w14:paraId="42A114D5" w14:textId="77777777" w:rsidR="00BB68E1" w:rsidRDefault="005D2D5E">
            <w:pPr>
              <w:textAlignment w:val="bottom"/>
              <w:rPr>
                <w:rFonts w:ascii="Times New Roman" w:hAnsi="Times New Roman"/>
                <w:sz w:val="20"/>
                <w:szCs w:val="20"/>
              </w:rPr>
            </w:pPr>
            <w:r>
              <w:rPr>
                <w:rFonts w:ascii="Times New Roman" w:eastAsia="宋体" w:hAnsi="Times New Roman"/>
                <w:b/>
                <w:bCs/>
                <w:sz w:val="20"/>
                <w:szCs w:val="20"/>
              </w:rPr>
              <w:t>Five-Year Financial Summary</w:t>
            </w:r>
          </w:p>
        </w:tc>
        <w:tc>
          <w:tcPr>
            <w:tcW w:w="0" w:type="auto"/>
            <w:shd w:val="clear" w:color="auto" w:fill="auto"/>
            <w:tcMar>
              <w:top w:w="40" w:type="dxa"/>
              <w:left w:w="40" w:type="dxa"/>
              <w:bottom w:w="40" w:type="dxa"/>
              <w:right w:w="40" w:type="dxa"/>
            </w:tcMar>
            <w:vAlign w:val="bottom"/>
          </w:tcPr>
          <w:p w14:paraId="42A114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4DA" w14:textId="77777777">
        <w:trPr>
          <w:jc w:val="center"/>
        </w:trPr>
        <w:tc>
          <w:tcPr>
            <w:tcW w:w="0" w:type="auto"/>
            <w:shd w:val="clear" w:color="auto" w:fill="auto"/>
            <w:tcMar>
              <w:top w:w="40" w:type="dxa"/>
              <w:left w:w="40" w:type="dxa"/>
              <w:bottom w:w="40" w:type="dxa"/>
              <w:right w:w="40" w:type="dxa"/>
            </w:tcMar>
            <w:vAlign w:val="bottom"/>
          </w:tcPr>
          <w:p w14:paraId="42A114D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Walmart Inc.</w:t>
            </w:r>
          </w:p>
        </w:tc>
        <w:tc>
          <w:tcPr>
            <w:tcW w:w="0" w:type="auto"/>
            <w:shd w:val="clear" w:color="auto" w:fill="auto"/>
            <w:tcMar>
              <w:top w:w="40" w:type="dxa"/>
              <w:left w:w="40" w:type="dxa"/>
              <w:bottom w:w="40" w:type="dxa"/>
              <w:right w:w="40" w:type="dxa"/>
            </w:tcMar>
            <w:vAlign w:val="bottom"/>
          </w:tcPr>
          <w:p w14:paraId="42A114D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bl>
    <w:p w14:paraId="42A114DB" w14:textId="77777777" w:rsidR="00BB68E1" w:rsidRDefault="00BB68E1">
      <w:pPr>
        <w:rPr>
          <w:vanish/>
        </w:rPr>
      </w:pPr>
    </w:p>
    <w:tbl>
      <w:tblPr>
        <w:tblW w:w="5000" w:type="pct"/>
        <w:jc w:val="center"/>
        <w:tblCellMar>
          <w:left w:w="0" w:type="dxa"/>
          <w:right w:w="0" w:type="dxa"/>
        </w:tblCellMar>
        <w:tblLook w:val="04A0" w:firstRow="1" w:lastRow="0" w:firstColumn="1" w:lastColumn="0" w:noHBand="0" w:noVBand="1"/>
      </w:tblPr>
      <w:tblGrid>
        <w:gridCol w:w="3533"/>
        <w:gridCol w:w="130"/>
        <w:gridCol w:w="120"/>
        <w:gridCol w:w="520"/>
        <w:gridCol w:w="174"/>
        <w:gridCol w:w="130"/>
        <w:gridCol w:w="120"/>
        <w:gridCol w:w="520"/>
        <w:gridCol w:w="174"/>
        <w:gridCol w:w="130"/>
        <w:gridCol w:w="120"/>
        <w:gridCol w:w="520"/>
        <w:gridCol w:w="174"/>
        <w:gridCol w:w="130"/>
        <w:gridCol w:w="120"/>
        <w:gridCol w:w="520"/>
        <w:gridCol w:w="174"/>
        <w:gridCol w:w="130"/>
        <w:gridCol w:w="120"/>
        <w:gridCol w:w="520"/>
        <w:gridCol w:w="227"/>
      </w:tblGrid>
      <w:tr w:rsidR="00BB68E1" w14:paraId="42A114DD" w14:textId="77777777">
        <w:trPr>
          <w:jc w:val="center"/>
        </w:trPr>
        <w:tc>
          <w:tcPr>
            <w:tcW w:w="0" w:type="auto"/>
            <w:gridSpan w:val="21"/>
            <w:shd w:val="clear" w:color="auto" w:fill="auto"/>
            <w:vAlign w:val="center"/>
          </w:tcPr>
          <w:p w14:paraId="42A114DC" w14:textId="77777777" w:rsidR="00BB68E1" w:rsidRDefault="00BB68E1">
            <w:pPr>
              <w:rPr>
                <w:rFonts w:ascii="Times New Roman" w:hAnsi="Times New Roman"/>
                <w:sz w:val="20"/>
                <w:szCs w:val="20"/>
              </w:rPr>
            </w:pPr>
          </w:p>
        </w:tc>
      </w:tr>
      <w:tr w:rsidR="00BB68E1" w14:paraId="42A114F3" w14:textId="77777777">
        <w:trPr>
          <w:jc w:val="center"/>
        </w:trPr>
        <w:tc>
          <w:tcPr>
            <w:tcW w:w="2250" w:type="pct"/>
            <w:shd w:val="clear" w:color="auto" w:fill="auto"/>
            <w:vAlign w:val="center"/>
          </w:tcPr>
          <w:p w14:paraId="42A114DE" w14:textId="77777777" w:rsidR="00BB68E1" w:rsidRDefault="00BB68E1">
            <w:pPr>
              <w:rPr>
                <w:rFonts w:ascii="Times New Roman" w:hAnsi="Times New Roman"/>
                <w:sz w:val="20"/>
                <w:szCs w:val="20"/>
              </w:rPr>
            </w:pPr>
          </w:p>
        </w:tc>
        <w:tc>
          <w:tcPr>
            <w:tcW w:w="50" w:type="pct"/>
            <w:shd w:val="clear" w:color="auto" w:fill="auto"/>
            <w:vAlign w:val="center"/>
          </w:tcPr>
          <w:p w14:paraId="42A114DF" w14:textId="77777777" w:rsidR="00BB68E1" w:rsidRDefault="00BB68E1">
            <w:pPr>
              <w:rPr>
                <w:rFonts w:ascii="Times New Roman" w:hAnsi="Times New Roman"/>
                <w:sz w:val="20"/>
                <w:szCs w:val="20"/>
              </w:rPr>
            </w:pPr>
          </w:p>
        </w:tc>
        <w:tc>
          <w:tcPr>
            <w:tcW w:w="50" w:type="pct"/>
            <w:shd w:val="clear" w:color="auto" w:fill="auto"/>
            <w:vAlign w:val="center"/>
          </w:tcPr>
          <w:p w14:paraId="42A114E0" w14:textId="77777777" w:rsidR="00BB68E1" w:rsidRDefault="00BB68E1">
            <w:pPr>
              <w:rPr>
                <w:rFonts w:ascii="Times New Roman" w:hAnsi="Times New Roman"/>
                <w:sz w:val="20"/>
                <w:szCs w:val="20"/>
              </w:rPr>
            </w:pPr>
          </w:p>
        </w:tc>
        <w:tc>
          <w:tcPr>
            <w:tcW w:w="400" w:type="pct"/>
            <w:shd w:val="clear" w:color="auto" w:fill="auto"/>
            <w:vAlign w:val="center"/>
          </w:tcPr>
          <w:p w14:paraId="42A114E1" w14:textId="77777777" w:rsidR="00BB68E1" w:rsidRDefault="00BB68E1">
            <w:pPr>
              <w:rPr>
                <w:rFonts w:ascii="Times New Roman" w:hAnsi="Times New Roman"/>
                <w:sz w:val="20"/>
                <w:szCs w:val="20"/>
              </w:rPr>
            </w:pPr>
          </w:p>
        </w:tc>
        <w:tc>
          <w:tcPr>
            <w:tcW w:w="50" w:type="pct"/>
            <w:shd w:val="clear" w:color="auto" w:fill="auto"/>
            <w:vAlign w:val="center"/>
          </w:tcPr>
          <w:p w14:paraId="42A114E2" w14:textId="77777777" w:rsidR="00BB68E1" w:rsidRDefault="00BB68E1">
            <w:pPr>
              <w:rPr>
                <w:rFonts w:ascii="Times New Roman" w:hAnsi="Times New Roman"/>
                <w:sz w:val="20"/>
                <w:szCs w:val="20"/>
              </w:rPr>
            </w:pPr>
          </w:p>
        </w:tc>
        <w:tc>
          <w:tcPr>
            <w:tcW w:w="50" w:type="pct"/>
            <w:shd w:val="clear" w:color="auto" w:fill="auto"/>
            <w:vAlign w:val="center"/>
          </w:tcPr>
          <w:p w14:paraId="42A114E3" w14:textId="77777777" w:rsidR="00BB68E1" w:rsidRDefault="00BB68E1">
            <w:pPr>
              <w:rPr>
                <w:rFonts w:ascii="Times New Roman" w:hAnsi="Times New Roman"/>
                <w:sz w:val="20"/>
                <w:szCs w:val="20"/>
              </w:rPr>
            </w:pPr>
          </w:p>
        </w:tc>
        <w:tc>
          <w:tcPr>
            <w:tcW w:w="50" w:type="pct"/>
            <w:shd w:val="clear" w:color="auto" w:fill="auto"/>
            <w:vAlign w:val="center"/>
          </w:tcPr>
          <w:p w14:paraId="42A114E4" w14:textId="77777777" w:rsidR="00BB68E1" w:rsidRDefault="00BB68E1">
            <w:pPr>
              <w:rPr>
                <w:rFonts w:ascii="Times New Roman" w:hAnsi="Times New Roman"/>
                <w:sz w:val="20"/>
                <w:szCs w:val="20"/>
              </w:rPr>
            </w:pPr>
          </w:p>
        </w:tc>
        <w:tc>
          <w:tcPr>
            <w:tcW w:w="400" w:type="pct"/>
            <w:shd w:val="clear" w:color="auto" w:fill="auto"/>
            <w:vAlign w:val="center"/>
          </w:tcPr>
          <w:p w14:paraId="42A114E5" w14:textId="77777777" w:rsidR="00BB68E1" w:rsidRDefault="00BB68E1">
            <w:pPr>
              <w:rPr>
                <w:rFonts w:ascii="Times New Roman" w:hAnsi="Times New Roman"/>
                <w:sz w:val="20"/>
                <w:szCs w:val="20"/>
              </w:rPr>
            </w:pPr>
          </w:p>
        </w:tc>
        <w:tc>
          <w:tcPr>
            <w:tcW w:w="50" w:type="pct"/>
            <w:shd w:val="clear" w:color="auto" w:fill="auto"/>
            <w:vAlign w:val="center"/>
          </w:tcPr>
          <w:p w14:paraId="42A114E6" w14:textId="77777777" w:rsidR="00BB68E1" w:rsidRDefault="00BB68E1">
            <w:pPr>
              <w:rPr>
                <w:rFonts w:ascii="Times New Roman" w:hAnsi="Times New Roman"/>
                <w:sz w:val="20"/>
                <w:szCs w:val="20"/>
              </w:rPr>
            </w:pPr>
          </w:p>
        </w:tc>
        <w:tc>
          <w:tcPr>
            <w:tcW w:w="50" w:type="pct"/>
            <w:shd w:val="clear" w:color="auto" w:fill="auto"/>
            <w:vAlign w:val="center"/>
          </w:tcPr>
          <w:p w14:paraId="42A114E7" w14:textId="77777777" w:rsidR="00BB68E1" w:rsidRDefault="00BB68E1">
            <w:pPr>
              <w:rPr>
                <w:rFonts w:ascii="Times New Roman" w:hAnsi="Times New Roman"/>
                <w:sz w:val="20"/>
                <w:szCs w:val="20"/>
              </w:rPr>
            </w:pPr>
          </w:p>
        </w:tc>
        <w:tc>
          <w:tcPr>
            <w:tcW w:w="50" w:type="pct"/>
            <w:shd w:val="clear" w:color="auto" w:fill="auto"/>
            <w:vAlign w:val="center"/>
          </w:tcPr>
          <w:p w14:paraId="42A114E8" w14:textId="77777777" w:rsidR="00BB68E1" w:rsidRDefault="00BB68E1">
            <w:pPr>
              <w:rPr>
                <w:rFonts w:ascii="Times New Roman" w:hAnsi="Times New Roman"/>
                <w:sz w:val="20"/>
                <w:szCs w:val="20"/>
              </w:rPr>
            </w:pPr>
          </w:p>
        </w:tc>
        <w:tc>
          <w:tcPr>
            <w:tcW w:w="400" w:type="pct"/>
            <w:shd w:val="clear" w:color="auto" w:fill="auto"/>
            <w:vAlign w:val="center"/>
          </w:tcPr>
          <w:p w14:paraId="42A114E9" w14:textId="77777777" w:rsidR="00BB68E1" w:rsidRDefault="00BB68E1">
            <w:pPr>
              <w:rPr>
                <w:rFonts w:ascii="Times New Roman" w:hAnsi="Times New Roman"/>
                <w:sz w:val="20"/>
                <w:szCs w:val="20"/>
              </w:rPr>
            </w:pPr>
          </w:p>
        </w:tc>
        <w:tc>
          <w:tcPr>
            <w:tcW w:w="50" w:type="pct"/>
            <w:shd w:val="clear" w:color="auto" w:fill="auto"/>
            <w:vAlign w:val="center"/>
          </w:tcPr>
          <w:p w14:paraId="42A114EA" w14:textId="77777777" w:rsidR="00BB68E1" w:rsidRDefault="00BB68E1">
            <w:pPr>
              <w:rPr>
                <w:rFonts w:ascii="Times New Roman" w:hAnsi="Times New Roman"/>
                <w:sz w:val="20"/>
                <w:szCs w:val="20"/>
              </w:rPr>
            </w:pPr>
          </w:p>
        </w:tc>
        <w:tc>
          <w:tcPr>
            <w:tcW w:w="50" w:type="pct"/>
            <w:shd w:val="clear" w:color="auto" w:fill="auto"/>
            <w:vAlign w:val="center"/>
          </w:tcPr>
          <w:p w14:paraId="42A114EB" w14:textId="77777777" w:rsidR="00BB68E1" w:rsidRDefault="00BB68E1">
            <w:pPr>
              <w:rPr>
                <w:rFonts w:ascii="Times New Roman" w:hAnsi="Times New Roman"/>
                <w:sz w:val="20"/>
                <w:szCs w:val="20"/>
              </w:rPr>
            </w:pPr>
          </w:p>
        </w:tc>
        <w:tc>
          <w:tcPr>
            <w:tcW w:w="50" w:type="pct"/>
            <w:shd w:val="clear" w:color="auto" w:fill="auto"/>
            <w:vAlign w:val="center"/>
          </w:tcPr>
          <w:p w14:paraId="42A114EC" w14:textId="77777777" w:rsidR="00BB68E1" w:rsidRDefault="00BB68E1">
            <w:pPr>
              <w:rPr>
                <w:rFonts w:ascii="Times New Roman" w:hAnsi="Times New Roman"/>
                <w:sz w:val="20"/>
                <w:szCs w:val="20"/>
              </w:rPr>
            </w:pPr>
          </w:p>
        </w:tc>
        <w:tc>
          <w:tcPr>
            <w:tcW w:w="400" w:type="pct"/>
            <w:shd w:val="clear" w:color="auto" w:fill="auto"/>
            <w:vAlign w:val="center"/>
          </w:tcPr>
          <w:p w14:paraId="42A114ED" w14:textId="77777777" w:rsidR="00BB68E1" w:rsidRDefault="00BB68E1">
            <w:pPr>
              <w:rPr>
                <w:rFonts w:ascii="Times New Roman" w:hAnsi="Times New Roman"/>
                <w:sz w:val="20"/>
                <w:szCs w:val="20"/>
              </w:rPr>
            </w:pPr>
          </w:p>
        </w:tc>
        <w:tc>
          <w:tcPr>
            <w:tcW w:w="50" w:type="pct"/>
            <w:shd w:val="clear" w:color="auto" w:fill="auto"/>
            <w:vAlign w:val="center"/>
          </w:tcPr>
          <w:p w14:paraId="42A114EE" w14:textId="77777777" w:rsidR="00BB68E1" w:rsidRDefault="00BB68E1">
            <w:pPr>
              <w:rPr>
                <w:rFonts w:ascii="Times New Roman" w:hAnsi="Times New Roman"/>
                <w:sz w:val="20"/>
                <w:szCs w:val="20"/>
              </w:rPr>
            </w:pPr>
          </w:p>
        </w:tc>
        <w:tc>
          <w:tcPr>
            <w:tcW w:w="50" w:type="pct"/>
            <w:shd w:val="clear" w:color="auto" w:fill="auto"/>
            <w:vAlign w:val="center"/>
          </w:tcPr>
          <w:p w14:paraId="42A114EF" w14:textId="77777777" w:rsidR="00BB68E1" w:rsidRDefault="00BB68E1">
            <w:pPr>
              <w:rPr>
                <w:rFonts w:ascii="Times New Roman" w:hAnsi="Times New Roman"/>
                <w:sz w:val="20"/>
                <w:szCs w:val="20"/>
              </w:rPr>
            </w:pPr>
          </w:p>
        </w:tc>
        <w:tc>
          <w:tcPr>
            <w:tcW w:w="50" w:type="pct"/>
            <w:shd w:val="clear" w:color="auto" w:fill="auto"/>
            <w:vAlign w:val="center"/>
          </w:tcPr>
          <w:p w14:paraId="42A114F0" w14:textId="77777777" w:rsidR="00BB68E1" w:rsidRDefault="00BB68E1">
            <w:pPr>
              <w:rPr>
                <w:rFonts w:ascii="Times New Roman" w:hAnsi="Times New Roman"/>
                <w:sz w:val="20"/>
                <w:szCs w:val="20"/>
              </w:rPr>
            </w:pPr>
          </w:p>
        </w:tc>
        <w:tc>
          <w:tcPr>
            <w:tcW w:w="400" w:type="pct"/>
            <w:shd w:val="clear" w:color="auto" w:fill="auto"/>
            <w:vAlign w:val="center"/>
          </w:tcPr>
          <w:p w14:paraId="42A114F1" w14:textId="77777777" w:rsidR="00BB68E1" w:rsidRDefault="00BB68E1">
            <w:pPr>
              <w:rPr>
                <w:rFonts w:ascii="Times New Roman" w:hAnsi="Times New Roman"/>
                <w:sz w:val="20"/>
                <w:szCs w:val="20"/>
              </w:rPr>
            </w:pPr>
          </w:p>
        </w:tc>
        <w:tc>
          <w:tcPr>
            <w:tcW w:w="50" w:type="pct"/>
            <w:shd w:val="clear" w:color="auto" w:fill="auto"/>
            <w:vAlign w:val="center"/>
          </w:tcPr>
          <w:p w14:paraId="42A114F2" w14:textId="77777777" w:rsidR="00BB68E1" w:rsidRDefault="00BB68E1">
            <w:pPr>
              <w:rPr>
                <w:rFonts w:ascii="Times New Roman" w:hAnsi="Times New Roman"/>
                <w:sz w:val="20"/>
                <w:szCs w:val="20"/>
              </w:rPr>
            </w:pPr>
          </w:p>
        </w:tc>
      </w:tr>
      <w:tr w:rsidR="00BB68E1" w14:paraId="42A114F7" w14:textId="77777777">
        <w:trPr>
          <w:jc w:val="center"/>
        </w:trPr>
        <w:tc>
          <w:tcPr>
            <w:tcW w:w="0" w:type="auto"/>
            <w:shd w:val="clear" w:color="auto" w:fill="auto"/>
            <w:tcMar>
              <w:top w:w="40" w:type="dxa"/>
              <w:left w:w="40" w:type="dxa"/>
              <w:bottom w:w="40" w:type="dxa"/>
              <w:right w:w="40" w:type="dxa"/>
            </w:tcMar>
            <w:vAlign w:val="bottom"/>
          </w:tcPr>
          <w:p w14:paraId="42A114F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4F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42A114F6"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As of</w:t>
            </w:r>
            <w:r>
              <w:rPr>
                <w:rFonts w:ascii="Times New Roman" w:eastAsia="宋体" w:hAnsi="Times New Roman"/>
                <w:b/>
                <w:bCs/>
                <w:sz w:val="16"/>
                <w:szCs w:val="16"/>
              </w:rPr>
              <w:t xml:space="preserve"> and for the Fiscal Years Ended January 31,</w:t>
            </w:r>
          </w:p>
        </w:tc>
      </w:tr>
      <w:tr w:rsidR="00BB68E1" w14:paraId="42A11503" w14:textId="77777777">
        <w:trPr>
          <w:jc w:val="center"/>
        </w:trPr>
        <w:tc>
          <w:tcPr>
            <w:tcW w:w="0" w:type="auto"/>
            <w:shd w:val="clear" w:color="auto" w:fill="auto"/>
            <w:tcMar>
              <w:top w:w="40" w:type="dxa"/>
              <w:left w:w="40" w:type="dxa"/>
              <w:bottom w:w="40" w:type="dxa"/>
              <w:right w:w="40" w:type="dxa"/>
            </w:tcMar>
            <w:vAlign w:val="bottom"/>
          </w:tcPr>
          <w:p w14:paraId="42A114F8"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 except per share and unit count data)</w:t>
            </w:r>
          </w:p>
        </w:tc>
        <w:tc>
          <w:tcPr>
            <w:tcW w:w="0" w:type="auto"/>
            <w:shd w:val="clear" w:color="auto" w:fill="auto"/>
            <w:tcMar>
              <w:top w:w="40" w:type="dxa"/>
              <w:left w:w="40" w:type="dxa"/>
              <w:bottom w:w="40" w:type="dxa"/>
              <w:right w:w="40" w:type="dxa"/>
            </w:tcMar>
            <w:vAlign w:val="bottom"/>
          </w:tcPr>
          <w:p w14:paraId="42A114F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4FA"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2A114F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4FC"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14F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4FE"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42A114F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500"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2017</w:t>
            </w:r>
          </w:p>
        </w:tc>
        <w:tc>
          <w:tcPr>
            <w:tcW w:w="0" w:type="auto"/>
            <w:shd w:val="clear" w:color="auto" w:fill="auto"/>
            <w:tcMar>
              <w:top w:w="40" w:type="dxa"/>
              <w:left w:w="40" w:type="dxa"/>
              <w:bottom w:w="40" w:type="dxa"/>
              <w:right w:w="40" w:type="dxa"/>
            </w:tcMar>
            <w:vAlign w:val="bottom"/>
          </w:tcPr>
          <w:p w14:paraId="42A1150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50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2016</w:t>
            </w:r>
          </w:p>
        </w:tc>
      </w:tr>
      <w:tr w:rsidR="00BB68E1" w14:paraId="42A1150F" w14:textId="77777777">
        <w:trPr>
          <w:jc w:val="center"/>
        </w:trPr>
        <w:tc>
          <w:tcPr>
            <w:tcW w:w="0" w:type="auto"/>
            <w:shd w:val="clear" w:color="auto" w:fill="CCEEFF"/>
            <w:tcMar>
              <w:top w:w="40" w:type="dxa"/>
              <w:left w:w="40" w:type="dxa"/>
              <w:bottom w:w="40" w:type="dxa"/>
              <w:right w:w="40" w:type="dxa"/>
            </w:tcMar>
            <w:vAlign w:val="center"/>
          </w:tcPr>
          <w:p w14:paraId="42A11504"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Operating results</w:t>
            </w:r>
          </w:p>
        </w:tc>
        <w:tc>
          <w:tcPr>
            <w:tcW w:w="0" w:type="auto"/>
            <w:shd w:val="clear" w:color="auto" w:fill="CCEEFF"/>
            <w:tcMar>
              <w:top w:w="40" w:type="dxa"/>
              <w:left w:w="40" w:type="dxa"/>
              <w:bottom w:w="40" w:type="dxa"/>
              <w:right w:w="40" w:type="dxa"/>
            </w:tcMar>
            <w:vAlign w:val="bottom"/>
          </w:tcPr>
          <w:p w14:paraId="42A1150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42A1150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50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50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50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50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50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50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50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5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525" w14:textId="77777777">
        <w:trPr>
          <w:jc w:val="center"/>
        </w:trPr>
        <w:tc>
          <w:tcPr>
            <w:tcW w:w="0" w:type="auto"/>
            <w:shd w:val="clear" w:color="auto" w:fill="auto"/>
            <w:tcMar>
              <w:top w:w="40" w:type="dxa"/>
              <w:left w:w="40" w:type="dxa"/>
              <w:bottom w:w="40" w:type="dxa"/>
              <w:right w:w="40" w:type="dxa"/>
            </w:tcMar>
            <w:vAlign w:val="center"/>
          </w:tcPr>
          <w:p w14:paraId="42A1151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revenues</w:t>
            </w:r>
          </w:p>
        </w:tc>
        <w:tc>
          <w:tcPr>
            <w:tcW w:w="0" w:type="auto"/>
            <w:shd w:val="clear" w:color="auto" w:fill="auto"/>
            <w:tcMar>
              <w:top w:w="40" w:type="dxa"/>
              <w:left w:w="40" w:type="dxa"/>
              <w:bottom w:w="40" w:type="dxa"/>
              <w:right w:w="40" w:type="dxa"/>
            </w:tcMar>
            <w:vAlign w:val="bottom"/>
          </w:tcPr>
          <w:p w14:paraId="42A1151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51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51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523,964</w:t>
            </w:r>
          </w:p>
        </w:tc>
        <w:tc>
          <w:tcPr>
            <w:tcW w:w="0" w:type="auto"/>
            <w:shd w:val="clear" w:color="auto" w:fill="auto"/>
            <w:vAlign w:val="bottom"/>
          </w:tcPr>
          <w:p w14:paraId="42A1151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51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51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51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514,405</w:t>
            </w:r>
          </w:p>
        </w:tc>
        <w:tc>
          <w:tcPr>
            <w:tcW w:w="0" w:type="auto"/>
            <w:shd w:val="clear" w:color="auto" w:fill="auto"/>
            <w:vAlign w:val="bottom"/>
          </w:tcPr>
          <w:p w14:paraId="42A1151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51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51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51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500,343</w:t>
            </w:r>
          </w:p>
        </w:tc>
        <w:tc>
          <w:tcPr>
            <w:tcW w:w="0" w:type="auto"/>
            <w:shd w:val="clear" w:color="auto" w:fill="auto"/>
            <w:vAlign w:val="bottom"/>
          </w:tcPr>
          <w:p w14:paraId="42A1151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51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51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51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485,873</w:t>
            </w:r>
          </w:p>
        </w:tc>
        <w:tc>
          <w:tcPr>
            <w:tcW w:w="0" w:type="auto"/>
            <w:shd w:val="clear" w:color="auto" w:fill="auto"/>
            <w:vAlign w:val="bottom"/>
          </w:tcPr>
          <w:p w14:paraId="42A1152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52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52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52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482,130</w:t>
            </w:r>
          </w:p>
        </w:tc>
        <w:tc>
          <w:tcPr>
            <w:tcW w:w="0" w:type="auto"/>
            <w:shd w:val="clear" w:color="auto" w:fill="auto"/>
            <w:vAlign w:val="bottom"/>
          </w:tcPr>
          <w:p w14:paraId="42A11524" w14:textId="77777777" w:rsidR="00BB68E1" w:rsidRDefault="00BB68E1">
            <w:pPr>
              <w:textAlignment w:val="bottom"/>
              <w:rPr>
                <w:rFonts w:ascii="Times New Roman" w:hAnsi="Times New Roman"/>
                <w:sz w:val="20"/>
                <w:szCs w:val="20"/>
              </w:rPr>
            </w:pPr>
          </w:p>
        </w:tc>
      </w:tr>
      <w:tr w:rsidR="00BB68E1" w14:paraId="42A11536" w14:textId="77777777">
        <w:trPr>
          <w:jc w:val="center"/>
        </w:trPr>
        <w:tc>
          <w:tcPr>
            <w:tcW w:w="0" w:type="auto"/>
            <w:shd w:val="clear" w:color="auto" w:fill="CCEEFF"/>
            <w:tcMar>
              <w:top w:w="40" w:type="dxa"/>
              <w:left w:w="40" w:type="dxa"/>
              <w:bottom w:w="40" w:type="dxa"/>
              <w:right w:w="40" w:type="dxa"/>
            </w:tcMar>
            <w:vAlign w:val="center"/>
          </w:tcPr>
          <w:p w14:paraId="42A1152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Percentage change in total revenues from previous fiscal year</w:t>
            </w:r>
          </w:p>
        </w:tc>
        <w:tc>
          <w:tcPr>
            <w:tcW w:w="0" w:type="auto"/>
            <w:shd w:val="clear" w:color="auto" w:fill="CCEEFF"/>
            <w:tcMar>
              <w:top w:w="40" w:type="dxa"/>
              <w:left w:w="40" w:type="dxa"/>
              <w:bottom w:w="40" w:type="dxa"/>
              <w:right w:w="40" w:type="dxa"/>
            </w:tcMar>
            <w:vAlign w:val="bottom"/>
          </w:tcPr>
          <w:p w14:paraId="42A1152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2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w:t>
            </w:r>
          </w:p>
        </w:tc>
        <w:tc>
          <w:tcPr>
            <w:tcW w:w="0" w:type="auto"/>
            <w:shd w:val="clear" w:color="auto" w:fill="CCEEFF"/>
            <w:tcMar>
              <w:top w:w="40" w:type="dxa"/>
              <w:bottom w:w="40" w:type="dxa"/>
              <w:right w:w="40" w:type="dxa"/>
            </w:tcMar>
            <w:vAlign w:val="center"/>
          </w:tcPr>
          <w:p w14:paraId="42A1152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52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2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CCEEFF"/>
            <w:tcMar>
              <w:top w:w="40" w:type="dxa"/>
              <w:bottom w:w="40" w:type="dxa"/>
              <w:right w:w="40" w:type="dxa"/>
            </w:tcMar>
            <w:vAlign w:val="center"/>
          </w:tcPr>
          <w:p w14:paraId="42A1152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52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2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w:t>
            </w:r>
          </w:p>
        </w:tc>
        <w:tc>
          <w:tcPr>
            <w:tcW w:w="0" w:type="auto"/>
            <w:shd w:val="clear" w:color="auto" w:fill="CCEEFF"/>
            <w:tcMar>
              <w:top w:w="40" w:type="dxa"/>
              <w:bottom w:w="40" w:type="dxa"/>
              <w:right w:w="40" w:type="dxa"/>
            </w:tcMar>
            <w:vAlign w:val="center"/>
          </w:tcPr>
          <w:p w14:paraId="42A1152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53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3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0.8</w:t>
            </w:r>
          </w:p>
        </w:tc>
        <w:tc>
          <w:tcPr>
            <w:tcW w:w="0" w:type="auto"/>
            <w:shd w:val="clear" w:color="auto" w:fill="CCEEFF"/>
            <w:tcMar>
              <w:top w:w="40" w:type="dxa"/>
              <w:bottom w:w="40" w:type="dxa"/>
              <w:right w:w="40" w:type="dxa"/>
            </w:tcMar>
            <w:vAlign w:val="center"/>
          </w:tcPr>
          <w:p w14:paraId="42A1153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53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3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(0.7</w:t>
            </w:r>
          </w:p>
        </w:tc>
        <w:tc>
          <w:tcPr>
            <w:tcW w:w="0" w:type="auto"/>
            <w:shd w:val="clear" w:color="auto" w:fill="CCEEFF"/>
            <w:tcMar>
              <w:top w:w="40" w:type="dxa"/>
              <w:bottom w:w="40" w:type="dxa"/>
              <w:right w:w="40" w:type="dxa"/>
            </w:tcMar>
            <w:vAlign w:val="center"/>
          </w:tcPr>
          <w:p w14:paraId="42A1153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54C" w14:textId="77777777">
        <w:trPr>
          <w:jc w:val="center"/>
        </w:trPr>
        <w:tc>
          <w:tcPr>
            <w:tcW w:w="0" w:type="auto"/>
            <w:shd w:val="clear" w:color="auto" w:fill="auto"/>
            <w:tcMar>
              <w:top w:w="40" w:type="dxa"/>
              <w:left w:w="40" w:type="dxa"/>
              <w:bottom w:w="40" w:type="dxa"/>
              <w:right w:w="40" w:type="dxa"/>
            </w:tcMar>
            <w:vAlign w:val="center"/>
          </w:tcPr>
          <w:p w14:paraId="42A1153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auto"/>
            <w:tcMar>
              <w:top w:w="40" w:type="dxa"/>
              <w:left w:w="40" w:type="dxa"/>
              <w:bottom w:w="40" w:type="dxa"/>
              <w:right w:w="40" w:type="dxa"/>
            </w:tcMar>
            <w:vAlign w:val="bottom"/>
          </w:tcPr>
          <w:p w14:paraId="42A1153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53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53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519,926</w:t>
            </w:r>
          </w:p>
        </w:tc>
        <w:tc>
          <w:tcPr>
            <w:tcW w:w="0" w:type="auto"/>
            <w:shd w:val="clear" w:color="auto" w:fill="auto"/>
            <w:vAlign w:val="bottom"/>
          </w:tcPr>
          <w:p w14:paraId="42A1153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5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53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53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510,329</w:t>
            </w:r>
          </w:p>
        </w:tc>
        <w:tc>
          <w:tcPr>
            <w:tcW w:w="0" w:type="auto"/>
            <w:shd w:val="clear" w:color="auto" w:fill="auto"/>
            <w:vAlign w:val="bottom"/>
          </w:tcPr>
          <w:p w14:paraId="42A1153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54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54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54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495,761</w:t>
            </w:r>
          </w:p>
        </w:tc>
        <w:tc>
          <w:tcPr>
            <w:tcW w:w="0" w:type="auto"/>
            <w:shd w:val="clear" w:color="auto" w:fill="auto"/>
            <w:vAlign w:val="bottom"/>
          </w:tcPr>
          <w:p w14:paraId="42A1154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54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54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54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481,317</w:t>
            </w:r>
          </w:p>
        </w:tc>
        <w:tc>
          <w:tcPr>
            <w:tcW w:w="0" w:type="auto"/>
            <w:shd w:val="clear" w:color="auto" w:fill="auto"/>
            <w:vAlign w:val="bottom"/>
          </w:tcPr>
          <w:p w14:paraId="42A1154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54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54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54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478,614</w:t>
            </w:r>
          </w:p>
        </w:tc>
        <w:tc>
          <w:tcPr>
            <w:tcW w:w="0" w:type="auto"/>
            <w:shd w:val="clear" w:color="auto" w:fill="auto"/>
            <w:vAlign w:val="bottom"/>
          </w:tcPr>
          <w:p w14:paraId="42A1154B" w14:textId="77777777" w:rsidR="00BB68E1" w:rsidRDefault="00BB68E1">
            <w:pPr>
              <w:textAlignment w:val="bottom"/>
              <w:rPr>
                <w:rFonts w:ascii="Times New Roman" w:hAnsi="Times New Roman"/>
                <w:sz w:val="20"/>
                <w:szCs w:val="20"/>
              </w:rPr>
            </w:pPr>
          </w:p>
        </w:tc>
      </w:tr>
      <w:tr w:rsidR="00BB68E1" w14:paraId="42A1155D" w14:textId="77777777">
        <w:trPr>
          <w:jc w:val="center"/>
        </w:trPr>
        <w:tc>
          <w:tcPr>
            <w:tcW w:w="0" w:type="auto"/>
            <w:shd w:val="clear" w:color="auto" w:fill="CCEEFF"/>
            <w:tcMar>
              <w:top w:w="40" w:type="dxa"/>
              <w:left w:w="40" w:type="dxa"/>
              <w:bottom w:w="40" w:type="dxa"/>
              <w:right w:w="40" w:type="dxa"/>
            </w:tcMar>
            <w:vAlign w:val="center"/>
          </w:tcPr>
          <w:p w14:paraId="42A1154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Percentage change in net sales from previous fiscal year</w:t>
            </w:r>
          </w:p>
        </w:tc>
        <w:tc>
          <w:tcPr>
            <w:tcW w:w="0" w:type="auto"/>
            <w:shd w:val="clear" w:color="auto" w:fill="CCEEFF"/>
            <w:tcMar>
              <w:top w:w="40" w:type="dxa"/>
              <w:left w:w="40" w:type="dxa"/>
              <w:bottom w:w="40" w:type="dxa"/>
              <w:right w:w="40" w:type="dxa"/>
            </w:tcMar>
            <w:vAlign w:val="bottom"/>
          </w:tcPr>
          <w:p w14:paraId="42A1154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4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w:t>
            </w:r>
          </w:p>
        </w:tc>
        <w:tc>
          <w:tcPr>
            <w:tcW w:w="0" w:type="auto"/>
            <w:shd w:val="clear" w:color="auto" w:fill="CCEEFF"/>
            <w:tcMar>
              <w:top w:w="40" w:type="dxa"/>
              <w:bottom w:w="40" w:type="dxa"/>
              <w:right w:w="40" w:type="dxa"/>
            </w:tcMar>
            <w:vAlign w:val="center"/>
          </w:tcPr>
          <w:p w14:paraId="42A1155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55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5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w:t>
            </w:r>
          </w:p>
        </w:tc>
        <w:tc>
          <w:tcPr>
            <w:tcW w:w="0" w:type="auto"/>
            <w:shd w:val="clear" w:color="auto" w:fill="CCEEFF"/>
            <w:tcMar>
              <w:top w:w="40" w:type="dxa"/>
              <w:bottom w:w="40" w:type="dxa"/>
              <w:right w:w="40" w:type="dxa"/>
            </w:tcMar>
            <w:vAlign w:val="center"/>
          </w:tcPr>
          <w:p w14:paraId="42A1155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5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5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w:t>
            </w:r>
          </w:p>
        </w:tc>
        <w:tc>
          <w:tcPr>
            <w:tcW w:w="0" w:type="auto"/>
            <w:shd w:val="clear" w:color="auto" w:fill="CCEEFF"/>
            <w:tcMar>
              <w:top w:w="40" w:type="dxa"/>
              <w:bottom w:w="40" w:type="dxa"/>
              <w:right w:w="40" w:type="dxa"/>
            </w:tcMar>
            <w:vAlign w:val="center"/>
          </w:tcPr>
          <w:p w14:paraId="42A1155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55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5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0.6</w:t>
            </w:r>
          </w:p>
        </w:tc>
        <w:tc>
          <w:tcPr>
            <w:tcW w:w="0" w:type="auto"/>
            <w:shd w:val="clear" w:color="auto" w:fill="CCEEFF"/>
            <w:tcMar>
              <w:top w:w="40" w:type="dxa"/>
              <w:bottom w:w="40" w:type="dxa"/>
              <w:right w:w="40" w:type="dxa"/>
            </w:tcMar>
            <w:vAlign w:val="center"/>
          </w:tcPr>
          <w:p w14:paraId="42A1155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55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5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(0.7</w:t>
            </w:r>
          </w:p>
        </w:tc>
        <w:tc>
          <w:tcPr>
            <w:tcW w:w="0" w:type="auto"/>
            <w:shd w:val="clear" w:color="auto" w:fill="CCEEFF"/>
            <w:tcMar>
              <w:top w:w="40" w:type="dxa"/>
              <w:bottom w:w="40" w:type="dxa"/>
              <w:right w:w="40" w:type="dxa"/>
            </w:tcMar>
            <w:vAlign w:val="center"/>
          </w:tcPr>
          <w:p w14:paraId="42A1155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56E" w14:textId="77777777">
        <w:trPr>
          <w:jc w:val="center"/>
        </w:trPr>
        <w:tc>
          <w:tcPr>
            <w:tcW w:w="0" w:type="auto"/>
            <w:shd w:val="clear" w:color="auto" w:fill="auto"/>
            <w:tcMar>
              <w:top w:w="40" w:type="dxa"/>
              <w:left w:w="40" w:type="dxa"/>
              <w:bottom w:w="40" w:type="dxa"/>
              <w:right w:w="40" w:type="dxa"/>
            </w:tcMar>
            <w:vAlign w:val="center"/>
          </w:tcPr>
          <w:p w14:paraId="42A1155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Increase (decrease) in calendar comparable sales</w:t>
            </w:r>
            <w:r>
              <w:rPr>
                <w:rFonts w:ascii="Times New Roman" w:eastAsia="宋体" w:hAnsi="Times New Roman"/>
                <w:sz w:val="10"/>
                <w:szCs w:val="10"/>
              </w:rPr>
              <w:t>(1)</w:t>
            </w:r>
            <w:r>
              <w:rPr>
                <w:rFonts w:ascii="Times New Roman" w:eastAsia="宋体" w:hAnsi="Times New Roman"/>
                <w:sz w:val="16"/>
                <w:szCs w:val="16"/>
              </w:rPr>
              <w:t> in the U.S.</w:t>
            </w:r>
          </w:p>
        </w:tc>
        <w:tc>
          <w:tcPr>
            <w:tcW w:w="0" w:type="auto"/>
            <w:shd w:val="clear" w:color="auto" w:fill="auto"/>
            <w:tcMar>
              <w:top w:w="40" w:type="dxa"/>
              <w:left w:w="40" w:type="dxa"/>
              <w:bottom w:w="40" w:type="dxa"/>
              <w:right w:w="40" w:type="dxa"/>
            </w:tcMar>
            <w:vAlign w:val="bottom"/>
          </w:tcPr>
          <w:p w14:paraId="42A1155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6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w:t>
            </w:r>
          </w:p>
        </w:tc>
        <w:tc>
          <w:tcPr>
            <w:tcW w:w="0" w:type="auto"/>
            <w:shd w:val="clear" w:color="auto" w:fill="auto"/>
            <w:tcMar>
              <w:top w:w="40" w:type="dxa"/>
              <w:bottom w:w="40" w:type="dxa"/>
              <w:right w:w="40" w:type="dxa"/>
            </w:tcMar>
            <w:vAlign w:val="center"/>
          </w:tcPr>
          <w:p w14:paraId="42A1156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56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6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w:t>
            </w:r>
          </w:p>
        </w:tc>
        <w:tc>
          <w:tcPr>
            <w:tcW w:w="0" w:type="auto"/>
            <w:shd w:val="clear" w:color="auto" w:fill="auto"/>
            <w:tcMar>
              <w:top w:w="40" w:type="dxa"/>
              <w:bottom w:w="40" w:type="dxa"/>
              <w:right w:w="40" w:type="dxa"/>
            </w:tcMar>
            <w:vAlign w:val="center"/>
          </w:tcPr>
          <w:p w14:paraId="42A1156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56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6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w:t>
            </w:r>
          </w:p>
        </w:tc>
        <w:tc>
          <w:tcPr>
            <w:tcW w:w="0" w:type="auto"/>
            <w:shd w:val="clear" w:color="auto" w:fill="auto"/>
            <w:tcMar>
              <w:top w:w="40" w:type="dxa"/>
              <w:bottom w:w="40" w:type="dxa"/>
              <w:right w:w="40" w:type="dxa"/>
            </w:tcMar>
            <w:vAlign w:val="center"/>
          </w:tcPr>
          <w:p w14:paraId="42A1156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56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6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w:t>
            </w:r>
          </w:p>
        </w:tc>
        <w:tc>
          <w:tcPr>
            <w:tcW w:w="0" w:type="auto"/>
            <w:shd w:val="clear" w:color="auto" w:fill="auto"/>
            <w:tcMar>
              <w:top w:w="40" w:type="dxa"/>
              <w:bottom w:w="40" w:type="dxa"/>
              <w:right w:w="40" w:type="dxa"/>
            </w:tcMar>
            <w:vAlign w:val="center"/>
          </w:tcPr>
          <w:p w14:paraId="42A1156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56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6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0.3</w:t>
            </w:r>
          </w:p>
        </w:tc>
        <w:tc>
          <w:tcPr>
            <w:tcW w:w="0" w:type="auto"/>
            <w:shd w:val="clear" w:color="auto" w:fill="auto"/>
            <w:tcMar>
              <w:top w:w="40" w:type="dxa"/>
              <w:bottom w:w="40" w:type="dxa"/>
              <w:right w:w="40" w:type="dxa"/>
            </w:tcMar>
            <w:vAlign w:val="center"/>
          </w:tcPr>
          <w:p w14:paraId="42A1156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r>
      <w:tr w:rsidR="00BB68E1" w14:paraId="42A1157F" w14:textId="77777777">
        <w:trPr>
          <w:jc w:val="center"/>
        </w:trPr>
        <w:tc>
          <w:tcPr>
            <w:tcW w:w="0" w:type="auto"/>
            <w:shd w:val="clear" w:color="auto" w:fill="CCEEFF"/>
            <w:tcMar>
              <w:top w:w="40" w:type="dxa"/>
              <w:left w:w="560" w:type="dxa"/>
              <w:bottom w:w="40" w:type="dxa"/>
              <w:right w:w="40" w:type="dxa"/>
            </w:tcMar>
            <w:vAlign w:val="center"/>
          </w:tcPr>
          <w:p w14:paraId="42A1156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Walmart U.S.</w:t>
            </w:r>
          </w:p>
        </w:tc>
        <w:tc>
          <w:tcPr>
            <w:tcW w:w="0" w:type="auto"/>
            <w:shd w:val="clear" w:color="auto" w:fill="CCEEFF"/>
            <w:tcMar>
              <w:top w:w="40" w:type="dxa"/>
              <w:left w:w="40" w:type="dxa"/>
              <w:bottom w:w="40" w:type="dxa"/>
              <w:right w:w="40" w:type="dxa"/>
            </w:tcMar>
            <w:vAlign w:val="bottom"/>
          </w:tcPr>
          <w:p w14:paraId="42A1157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7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w:t>
            </w:r>
          </w:p>
        </w:tc>
        <w:tc>
          <w:tcPr>
            <w:tcW w:w="0" w:type="auto"/>
            <w:shd w:val="clear" w:color="auto" w:fill="CCEEFF"/>
            <w:tcMar>
              <w:top w:w="40" w:type="dxa"/>
              <w:bottom w:w="40" w:type="dxa"/>
              <w:right w:w="40" w:type="dxa"/>
            </w:tcMar>
            <w:vAlign w:val="center"/>
          </w:tcPr>
          <w:p w14:paraId="42A1157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57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7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3.7</w:t>
            </w:r>
          </w:p>
        </w:tc>
        <w:tc>
          <w:tcPr>
            <w:tcW w:w="0" w:type="auto"/>
            <w:shd w:val="clear" w:color="auto" w:fill="CCEEFF"/>
            <w:tcMar>
              <w:top w:w="40" w:type="dxa"/>
              <w:bottom w:w="40" w:type="dxa"/>
              <w:right w:w="40" w:type="dxa"/>
            </w:tcMar>
            <w:vAlign w:val="center"/>
          </w:tcPr>
          <w:p w14:paraId="42A1157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57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7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w:t>
            </w:r>
          </w:p>
        </w:tc>
        <w:tc>
          <w:tcPr>
            <w:tcW w:w="0" w:type="auto"/>
            <w:shd w:val="clear" w:color="auto" w:fill="CCEEFF"/>
            <w:tcMar>
              <w:top w:w="40" w:type="dxa"/>
              <w:bottom w:w="40" w:type="dxa"/>
              <w:right w:w="40" w:type="dxa"/>
            </w:tcMar>
            <w:vAlign w:val="center"/>
          </w:tcPr>
          <w:p w14:paraId="42A1157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57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7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shd w:val="clear" w:color="auto" w:fill="CCEEFF"/>
            <w:tcMar>
              <w:top w:w="40" w:type="dxa"/>
              <w:bottom w:w="40" w:type="dxa"/>
              <w:right w:w="40" w:type="dxa"/>
            </w:tcMar>
            <w:vAlign w:val="center"/>
          </w:tcPr>
          <w:p w14:paraId="42A1157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5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7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w:t>
            </w:r>
          </w:p>
        </w:tc>
        <w:tc>
          <w:tcPr>
            <w:tcW w:w="0" w:type="auto"/>
            <w:shd w:val="clear" w:color="auto" w:fill="CCEEFF"/>
            <w:tcMar>
              <w:top w:w="40" w:type="dxa"/>
              <w:bottom w:w="40" w:type="dxa"/>
              <w:right w:w="40" w:type="dxa"/>
            </w:tcMar>
            <w:vAlign w:val="center"/>
          </w:tcPr>
          <w:p w14:paraId="42A1157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r>
      <w:tr w:rsidR="00BB68E1" w14:paraId="42A11590" w14:textId="77777777">
        <w:trPr>
          <w:jc w:val="center"/>
        </w:trPr>
        <w:tc>
          <w:tcPr>
            <w:tcW w:w="0" w:type="auto"/>
            <w:shd w:val="clear" w:color="auto" w:fill="auto"/>
            <w:tcMar>
              <w:top w:w="40" w:type="dxa"/>
              <w:left w:w="560" w:type="dxa"/>
              <w:bottom w:w="40" w:type="dxa"/>
              <w:right w:w="40" w:type="dxa"/>
            </w:tcMar>
            <w:vAlign w:val="center"/>
          </w:tcPr>
          <w:p w14:paraId="42A1158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Sam's Club</w:t>
            </w:r>
          </w:p>
        </w:tc>
        <w:tc>
          <w:tcPr>
            <w:tcW w:w="0" w:type="auto"/>
            <w:shd w:val="clear" w:color="auto" w:fill="auto"/>
            <w:tcMar>
              <w:top w:w="40" w:type="dxa"/>
              <w:left w:w="40" w:type="dxa"/>
              <w:bottom w:w="40" w:type="dxa"/>
              <w:right w:w="40" w:type="dxa"/>
            </w:tcMar>
            <w:vAlign w:val="bottom"/>
          </w:tcPr>
          <w:p w14:paraId="42A115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8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shd w:val="clear" w:color="auto" w:fill="auto"/>
            <w:tcMar>
              <w:top w:w="40" w:type="dxa"/>
              <w:bottom w:w="40" w:type="dxa"/>
              <w:right w:w="40" w:type="dxa"/>
            </w:tcMar>
            <w:vAlign w:val="center"/>
          </w:tcPr>
          <w:p w14:paraId="42A1158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5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8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5.4</w:t>
            </w:r>
          </w:p>
        </w:tc>
        <w:tc>
          <w:tcPr>
            <w:tcW w:w="0" w:type="auto"/>
            <w:shd w:val="clear" w:color="auto" w:fill="auto"/>
            <w:tcMar>
              <w:top w:w="40" w:type="dxa"/>
              <w:bottom w:w="40" w:type="dxa"/>
              <w:right w:w="40" w:type="dxa"/>
            </w:tcMar>
            <w:vAlign w:val="center"/>
          </w:tcPr>
          <w:p w14:paraId="42A1158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5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8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auto"/>
            <w:tcMar>
              <w:top w:w="40" w:type="dxa"/>
              <w:bottom w:w="40" w:type="dxa"/>
              <w:right w:w="40" w:type="dxa"/>
            </w:tcMar>
            <w:vAlign w:val="center"/>
          </w:tcPr>
          <w:p w14:paraId="42A1158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58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8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0.5</w:t>
            </w:r>
          </w:p>
        </w:tc>
        <w:tc>
          <w:tcPr>
            <w:tcW w:w="0" w:type="auto"/>
            <w:shd w:val="clear" w:color="auto" w:fill="auto"/>
            <w:tcMar>
              <w:top w:w="40" w:type="dxa"/>
              <w:bottom w:w="40" w:type="dxa"/>
              <w:right w:w="40" w:type="dxa"/>
            </w:tcMar>
            <w:vAlign w:val="center"/>
          </w:tcPr>
          <w:p w14:paraId="42A1158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58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8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w:t>
            </w:r>
          </w:p>
        </w:tc>
        <w:tc>
          <w:tcPr>
            <w:tcW w:w="0" w:type="auto"/>
            <w:shd w:val="clear" w:color="auto" w:fill="auto"/>
            <w:tcMar>
              <w:top w:w="40" w:type="dxa"/>
              <w:bottom w:w="40" w:type="dxa"/>
              <w:right w:w="40" w:type="dxa"/>
            </w:tcMar>
            <w:vAlign w:val="center"/>
          </w:tcPr>
          <w:p w14:paraId="42A1158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5A1" w14:textId="77777777">
        <w:trPr>
          <w:jc w:val="center"/>
        </w:trPr>
        <w:tc>
          <w:tcPr>
            <w:tcW w:w="0" w:type="auto"/>
            <w:shd w:val="clear" w:color="auto" w:fill="CCEEFF"/>
            <w:tcMar>
              <w:top w:w="40" w:type="dxa"/>
              <w:left w:w="40" w:type="dxa"/>
              <w:bottom w:w="40" w:type="dxa"/>
              <w:right w:w="40" w:type="dxa"/>
            </w:tcMar>
            <w:vAlign w:val="center"/>
          </w:tcPr>
          <w:p w14:paraId="42A1159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Gross profit margin</w:t>
            </w:r>
          </w:p>
        </w:tc>
        <w:tc>
          <w:tcPr>
            <w:tcW w:w="0" w:type="auto"/>
            <w:shd w:val="clear" w:color="auto" w:fill="CCEEFF"/>
            <w:tcMar>
              <w:top w:w="40" w:type="dxa"/>
              <w:left w:w="40" w:type="dxa"/>
              <w:bottom w:w="40" w:type="dxa"/>
              <w:right w:w="40" w:type="dxa"/>
            </w:tcMar>
            <w:vAlign w:val="bottom"/>
          </w:tcPr>
          <w:p w14:paraId="42A1159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9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24.1</w:t>
            </w:r>
          </w:p>
        </w:tc>
        <w:tc>
          <w:tcPr>
            <w:tcW w:w="0" w:type="auto"/>
            <w:shd w:val="clear" w:color="auto" w:fill="CCEEFF"/>
            <w:tcMar>
              <w:top w:w="40" w:type="dxa"/>
              <w:bottom w:w="40" w:type="dxa"/>
              <w:right w:w="40" w:type="dxa"/>
            </w:tcMar>
            <w:vAlign w:val="center"/>
          </w:tcPr>
          <w:p w14:paraId="42A1159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59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9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24.5</w:t>
            </w:r>
          </w:p>
        </w:tc>
        <w:tc>
          <w:tcPr>
            <w:tcW w:w="0" w:type="auto"/>
            <w:shd w:val="clear" w:color="auto" w:fill="CCEEFF"/>
            <w:tcMar>
              <w:top w:w="40" w:type="dxa"/>
              <w:bottom w:w="40" w:type="dxa"/>
              <w:right w:w="40" w:type="dxa"/>
            </w:tcMar>
            <w:vAlign w:val="center"/>
          </w:tcPr>
          <w:p w14:paraId="42A1159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59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9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24.7</w:t>
            </w:r>
          </w:p>
        </w:tc>
        <w:tc>
          <w:tcPr>
            <w:tcW w:w="0" w:type="auto"/>
            <w:shd w:val="clear" w:color="auto" w:fill="CCEEFF"/>
            <w:tcMar>
              <w:top w:w="40" w:type="dxa"/>
              <w:bottom w:w="40" w:type="dxa"/>
              <w:right w:w="40" w:type="dxa"/>
            </w:tcMar>
            <w:vAlign w:val="center"/>
          </w:tcPr>
          <w:p w14:paraId="42A1159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59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9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24.9</w:t>
            </w:r>
          </w:p>
        </w:tc>
        <w:tc>
          <w:tcPr>
            <w:tcW w:w="0" w:type="auto"/>
            <w:shd w:val="clear" w:color="auto" w:fill="CCEEFF"/>
            <w:tcMar>
              <w:top w:w="40" w:type="dxa"/>
              <w:bottom w:w="40" w:type="dxa"/>
              <w:right w:w="40" w:type="dxa"/>
            </w:tcMar>
            <w:vAlign w:val="center"/>
          </w:tcPr>
          <w:p w14:paraId="42A1159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59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9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24.6</w:t>
            </w:r>
          </w:p>
        </w:tc>
        <w:tc>
          <w:tcPr>
            <w:tcW w:w="0" w:type="auto"/>
            <w:shd w:val="clear" w:color="auto" w:fill="CCEEFF"/>
            <w:tcMar>
              <w:top w:w="40" w:type="dxa"/>
              <w:bottom w:w="40" w:type="dxa"/>
              <w:right w:w="40" w:type="dxa"/>
            </w:tcMar>
            <w:vAlign w:val="center"/>
          </w:tcPr>
          <w:p w14:paraId="42A115A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r>
      <w:tr w:rsidR="00BB68E1" w14:paraId="42A115B2" w14:textId="77777777">
        <w:trPr>
          <w:jc w:val="center"/>
        </w:trPr>
        <w:tc>
          <w:tcPr>
            <w:tcW w:w="0" w:type="auto"/>
            <w:shd w:val="clear" w:color="auto" w:fill="auto"/>
            <w:tcMar>
              <w:top w:w="40" w:type="dxa"/>
              <w:left w:w="40" w:type="dxa"/>
              <w:bottom w:w="40" w:type="dxa"/>
              <w:right w:w="40" w:type="dxa"/>
            </w:tcMar>
            <w:vAlign w:val="center"/>
          </w:tcPr>
          <w:p w14:paraId="42A115A2" w14:textId="77777777" w:rsidR="00BB68E1" w:rsidRDefault="005D2D5E">
            <w:pPr>
              <w:ind w:hanging="480"/>
              <w:textAlignment w:val="center"/>
              <w:rPr>
                <w:rFonts w:ascii="Times New Roman" w:hAnsi="Times New Roman"/>
                <w:sz w:val="16"/>
                <w:szCs w:val="16"/>
              </w:rPr>
            </w:pPr>
            <w:r>
              <w:rPr>
                <w:rFonts w:ascii="Times New Roman" w:eastAsia="宋体" w:hAnsi="Times New Roman"/>
                <w:sz w:val="16"/>
                <w:szCs w:val="16"/>
              </w:rPr>
              <w:t>Operating, selling, general and administrative expenses, as a percentage of net sales</w:t>
            </w:r>
          </w:p>
        </w:tc>
        <w:tc>
          <w:tcPr>
            <w:tcW w:w="0" w:type="auto"/>
            <w:shd w:val="clear" w:color="auto" w:fill="auto"/>
            <w:tcMar>
              <w:top w:w="40" w:type="dxa"/>
              <w:left w:w="40" w:type="dxa"/>
              <w:bottom w:w="40" w:type="dxa"/>
              <w:right w:w="40" w:type="dxa"/>
            </w:tcMar>
            <w:vAlign w:val="bottom"/>
          </w:tcPr>
          <w:p w14:paraId="42A115A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A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20.9</w:t>
            </w:r>
          </w:p>
        </w:tc>
        <w:tc>
          <w:tcPr>
            <w:tcW w:w="0" w:type="auto"/>
            <w:shd w:val="clear" w:color="auto" w:fill="auto"/>
            <w:tcMar>
              <w:top w:w="40" w:type="dxa"/>
              <w:bottom w:w="40" w:type="dxa"/>
              <w:right w:w="40" w:type="dxa"/>
            </w:tcMar>
            <w:vAlign w:val="center"/>
          </w:tcPr>
          <w:p w14:paraId="42A115A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5A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A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21.0</w:t>
            </w:r>
          </w:p>
        </w:tc>
        <w:tc>
          <w:tcPr>
            <w:tcW w:w="0" w:type="auto"/>
            <w:shd w:val="clear" w:color="auto" w:fill="auto"/>
            <w:tcMar>
              <w:top w:w="40" w:type="dxa"/>
              <w:bottom w:w="40" w:type="dxa"/>
              <w:right w:w="40" w:type="dxa"/>
            </w:tcMar>
            <w:vAlign w:val="center"/>
          </w:tcPr>
          <w:p w14:paraId="42A115A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5A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A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21.5</w:t>
            </w:r>
          </w:p>
        </w:tc>
        <w:tc>
          <w:tcPr>
            <w:tcW w:w="0" w:type="auto"/>
            <w:shd w:val="clear" w:color="auto" w:fill="auto"/>
            <w:tcMar>
              <w:top w:w="40" w:type="dxa"/>
              <w:bottom w:w="40" w:type="dxa"/>
              <w:right w:w="40" w:type="dxa"/>
            </w:tcMar>
            <w:vAlign w:val="center"/>
          </w:tcPr>
          <w:p w14:paraId="42A115A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5A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A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21.2</w:t>
            </w:r>
          </w:p>
        </w:tc>
        <w:tc>
          <w:tcPr>
            <w:tcW w:w="0" w:type="auto"/>
            <w:shd w:val="clear" w:color="auto" w:fill="auto"/>
            <w:tcMar>
              <w:top w:w="40" w:type="dxa"/>
              <w:bottom w:w="40" w:type="dxa"/>
              <w:right w:w="40" w:type="dxa"/>
            </w:tcMar>
            <w:vAlign w:val="center"/>
          </w:tcPr>
          <w:p w14:paraId="42A115A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5A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B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20.3</w:t>
            </w:r>
          </w:p>
        </w:tc>
        <w:tc>
          <w:tcPr>
            <w:tcW w:w="0" w:type="auto"/>
            <w:shd w:val="clear" w:color="auto" w:fill="auto"/>
            <w:tcMar>
              <w:top w:w="40" w:type="dxa"/>
              <w:bottom w:w="40" w:type="dxa"/>
              <w:right w:w="40" w:type="dxa"/>
            </w:tcMar>
            <w:vAlign w:val="center"/>
          </w:tcPr>
          <w:p w14:paraId="42A115B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r>
      <w:tr w:rsidR="00BB68E1" w14:paraId="42A115C8" w14:textId="77777777">
        <w:trPr>
          <w:jc w:val="center"/>
        </w:trPr>
        <w:tc>
          <w:tcPr>
            <w:tcW w:w="0" w:type="auto"/>
            <w:shd w:val="clear" w:color="auto" w:fill="CCEEFF"/>
            <w:tcMar>
              <w:top w:w="40" w:type="dxa"/>
              <w:left w:w="40" w:type="dxa"/>
              <w:bottom w:w="40" w:type="dxa"/>
              <w:right w:w="40" w:type="dxa"/>
            </w:tcMar>
            <w:vAlign w:val="center"/>
          </w:tcPr>
          <w:p w14:paraId="42A115B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CCEEFF"/>
            <w:tcMar>
              <w:top w:w="40" w:type="dxa"/>
              <w:left w:w="40" w:type="dxa"/>
              <w:bottom w:w="40" w:type="dxa"/>
              <w:right w:w="40" w:type="dxa"/>
            </w:tcMar>
            <w:vAlign w:val="bottom"/>
          </w:tcPr>
          <w:p w14:paraId="42A115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5B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5B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20,568</w:t>
            </w:r>
          </w:p>
        </w:tc>
        <w:tc>
          <w:tcPr>
            <w:tcW w:w="0" w:type="auto"/>
            <w:shd w:val="clear" w:color="auto" w:fill="CCEEFF"/>
            <w:vAlign w:val="bottom"/>
          </w:tcPr>
          <w:p w14:paraId="42A115B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5B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5B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5B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21,957</w:t>
            </w:r>
          </w:p>
        </w:tc>
        <w:tc>
          <w:tcPr>
            <w:tcW w:w="0" w:type="auto"/>
            <w:shd w:val="clear" w:color="auto" w:fill="CCEEFF"/>
            <w:vAlign w:val="bottom"/>
          </w:tcPr>
          <w:p w14:paraId="42A115B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5B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5B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5B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20,437</w:t>
            </w:r>
          </w:p>
        </w:tc>
        <w:tc>
          <w:tcPr>
            <w:tcW w:w="0" w:type="auto"/>
            <w:shd w:val="clear" w:color="auto" w:fill="CCEEFF"/>
            <w:vAlign w:val="bottom"/>
          </w:tcPr>
          <w:p w14:paraId="42A115B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5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5C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5C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22,764</w:t>
            </w:r>
          </w:p>
        </w:tc>
        <w:tc>
          <w:tcPr>
            <w:tcW w:w="0" w:type="auto"/>
            <w:shd w:val="clear" w:color="auto" w:fill="CCEEFF"/>
            <w:vAlign w:val="bottom"/>
          </w:tcPr>
          <w:p w14:paraId="42A115C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5C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5C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5C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24,105</w:t>
            </w:r>
          </w:p>
        </w:tc>
        <w:tc>
          <w:tcPr>
            <w:tcW w:w="0" w:type="auto"/>
            <w:shd w:val="clear" w:color="auto" w:fill="CCEEFF"/>
            <w:vAlign w:val="bottom"/>
          </w:tcPr>
          <w:p w14:paraId="42A115C7" w14:textId="77777777" w:rsidR="00BB68E1" w:rsidRDefault="00BB68E1">
            <w:pPr>
              <w:textAlignment w:val="bottom"/>
              <w:rPr>
                <w:rFonts w:ascii="Times New Roman" w:hAnsi="Times New Roman"/>
                <w:sz w:val="20"/>
                <w:szCs w:val="20"/>
              </w:rPr>
            </w:pPr>
          </w:p>
        </w:tc>
      </w:tr>
      <w:tr w:rsidR="00BB68E1" w14:paraId="42A115D9" w14:textId="77777777">
        <w:trPr>
          <w:jc w:val="center"/>
        </w:trPr>
        <w:tc>
          <w:tcPr>
            <w:tcW w:w="0" w:type="auto"/>
            <w:shd w:val="clear" w:color="auto" w:fill="auto"/>
            <w:tcMar>
              <w:top w:w="40" w:type="dxa"/>
              <w:left w:w="40" w:type="dxa"/>
              <w:bottom w:w="40" w:type="dxa"/>
              <w:right w:w="40" w:type="dxa"/>
            </w:tcMar>
            <w:vAlign w:val="center"/>
          </w:tcPr>
          <w:p w14:paraId="42A115C9" w14:textId="77777777" w:rsidR="00BB68E1" w:rsidRDefault="005D2D5E">
            <w:pPr>
              <w:ind w:hanging="480"/>
              <w:textAlignment w:val="center"/>
              <w:rPr>
                <w:rFonts w:ascii="Times New Roman" w:hAnsi="Times New Roman"/>
                <w:sz w:val="16"/>
                <w:szCs w:val="16"/>
              </w:rPr>
            </w:pPr>
            <w:r>
              <w:rPr>
                <w:rFonts w:ascii="Times New Roman" w:eastAsia="宋体" w:hAnsi="Times New Roman"/>
                <w:sz w:val="16"/>
                <w:szCs w:val="16"/>
              </w:rPr>
              <w:t>Interest, net</w:t>
            </w:r>
          </w:p>
        </w:tc>
        <w:tc>
          <w:tcPr>
            <w:tcW w:w="0" w:type="auto"/>
            <w:shd w:val="clear" w:color="auto" w:fill="auto"/>
            <w:tcMar>
              <w:top w:w="40" w:type="dxa"/>
              <w:left w:w="40" w:type="dxa"/>
              <w:bottom w:w="40" w:type="dxa"/>
              <w:right w:w="40" w:type="dxa"/>
            </w:tcMar>
            <w:vAlign w:val="bottom"/>
          </w:tcPr>
          <w:p w14:paraId="42A115C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C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2,410</w:t>
            </w:r>
          </w:p>
        </w:tc>
        <w:tc>
          <w:tcPr>
            <w:tcW w:w="0" w:type="auto"/>
            <w:shd w:val="clear" w:color="auto" w:fill="auto"/>
            <w:vAlign w:val="bottom"/>
          </w:tcPr>
          <w:p w14:paraId="42A115C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5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C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2,129</w:t>
            </w:r>
          </w:p>
        </w:tc>
        <w:tc>
          <w:tcPr>
            <w:tcW w:w="0" w:type="auto"/>
            <w:shd w:val="clear" w:color="auto" w:fill="auto"/>
            <w:vAlign w:val="bottom"/>
          </w:tcPr>
          <w:p w14:paraId="42A115C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5D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D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2,178</w:t>
            </w:r>
          </w:p>
        </w:tc>
        <w:tc>
          <w:tcPr>
            <w:tcW w:w="0" w:type="auto"/>
            <w:shd w:val="clear" w:color="auto" w:fill="auto"/>
            <w:vAlign w:val="bottom"/>
          </w:tcPr>
          <w:p w14:paraId="42A115D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5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D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2,267</w:t>
            </w:r>
          </w:p>
        </w:tc>
        <w:tc>
          <w:tcPr>
            <w:tcW w:w="0" w:type="auto"/>
            <w:shd w:val="clear" w:color="auto" w:fill="auto"/>
            <w:vAlign w:val="bottom"/>
          </w:tcPr>
          <w:p w14:paraId="42A115D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5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D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2,467</w:t>
            </w:r>
          </w:p>
        </w:tc>
        <w:tc>
          <w:tcPr>
            <w:tcW w:w="0" w:type="auto"/>
            <w:shd w:val="clear" w:color="auto" w:fill="auto"/>
            <w:vAlign w:val="bottom"/>
          </w:tcPr>
          <w:p w14:paraId="42A115D8" w14:textId="77777777" w:rsidR="00BB68E1" w:rsidRDefault="00BB68E1">
            <w:pPr>
              <w:textAlignment w:val="bottom"/>
              <w:rPr>
                <w:rFonts w:ascii="Times New Roman" w:hAnsi="Times New Roman"/>
                <w:sz w:val="20"/>
                <w:szCs w:val="20"/>
              </w:rPr>
            </w:pPr>
          </w:p>
        </w:tc>
      </w:tr>
      <w:tr w:rsidR="00BB68E1" w14:paraId="42A115EA" w14:textId="77777777">
        <w:trPr>
          <w:jc w:val="center"/>
        </w:trPr>
        <w:tc>
          <w:tcPr>
            <w:tcW w:w="0" w:type="auto"/>
            <w:shd w:val="clear" w:color="auto" w:fill="CCEEFF"/>
            <w:tcMar>
              <w:top w:w="40" w:type="dxa"/>
              <w:left w:w="40" w:type="dxa"/>
              <w:bottom w:w="40" w:type="dxa"/>
              <w:right w:w="40" w:type="dxa"/>
            </w:tcMar>
            <w:vAlign w:val="center"/>
          </w:tcPr>
          <w:p w14:paraId="42A115DA" w14:textId="77777777" w:rsidR="00BB68E1" w:rsidRDefault="005D2D5E">
            <w:pPr>
              <w:ind w:hanging="480"/>
              <w:textAlignment w:val="center"/>
              <w:rPr>
                <w:rFonts w:ascii="Times New Roman" w:hAnsi="Times New Roman"/>
                <w:sz w:val="16"/>
                <w:szCs w:val="16"/>
              </w:rPr>
            </w:pPr>
            <w:r>
              <w:rPr>
                <w:rFonts w:ascii="Times New Roman" w:eastAsia="宋体" w:hAnsi="Times New Roman"/>
                <w:sz w:val="16"/>
                <w:szCs w:val="16"/>
              </w:rPr>
              <w:t>Loss on extinguishment of debt</w:t>
            </w:r>
          </w:p>
        </w:tc>
        <w:tc>
          <w:tcPr>
            <w:tcW w:w="0" w:type="auto"/>
            <w:shd w:val="clear" w:color="auto" w:fill="CCEEFF"/>
            <w:tcMar>
              <w:top w:w="40" w:type="dxa"/>
              <w:left w:w="40" w:type="dxa"/>
              <w:bottom w:w="40" w:type="dxa"/>
              <w:right w:w="40" w:type="dxa"/>
            </w:tcMar>
            <w:vAlign w:val="bottom"/>
          </w:tcPr>
          <w:p w14:paraId="42A115D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D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5D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5D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D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5E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5E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E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3,136</w:t>
            </w:r>
          </w:p>
        </w:tc>
        <w:tc>
          <w:tcPr>
            <w:tcW w:w="0" w:type="auto"/>
            <w:shd w:val="clear" w:color="auto" w:fill="CCEEFF"/>
            <w:vAlign w:val="bottom"/>
          </w:tcPr>
          <w:p w14:paraId="42A115E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5E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E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5E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5E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E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5E9" w14:textId="77777777" w:rsidR="00BB68E1" w:rsidRDefault="00BB68E1">
            <w:pPr>
              <w:textAlignment w:val="bottom"/>
              <w:rPr>
                <w:rFonts w:ascii="Times New Roman" w:hAnsi="Times New Roman"/>
                <w:sz w:val="20"/>
                <w:szCs w:val="20"/>
              </w:rPr>
            </w:pPr>
          </w:p>
        </w:tc>
      </w:tr>
      <w:tr w:rsidR="00BB68E1" w14:paraId="42A115FB" w14:textId="77777777">
        <w:trPr>
          <w:jc w:val="center"/>
        </w:trPr>
        <w:tc>
          <w:tcPr>
            <w:tcW w:w="0" w:type="auto"/>
            <w:shd w:val="clear" w:color="auto" w:fill="auto"/>
            <w:tcMar>
              <w:top w:w="40" w:type="dxa"/>
              <w:left w:w="40" w:type="dxa"/>
              <w:bottom w:w="40" w:type="dxa"/>
              <w:right w:w="40" w:type="dxa"/>
            </w:tcMar>
            <w:vAlign w:val="center"/>
          </w:tcPr>
          <w:p w14:paraId="42A115E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 (gains) and losses</w:t>
            </w:r>
          </w:p>
        </w:tc>
        <w:tc>
          <w:tcPr>
            <w:tcW w:w="0" w:type="auto"/>
            <w:shd w:val="clear" w:color="auto" w:fill="auto"/>
            <w:tcMar>
              <w:top w:w="40" w:type="dxa"/>
              <w:left w:w="40" w:type="dxa"/>
              <w:bottom w:w="40" w:type="dxa"/>
              <w:right w:w="40" w:type="dxa"/>
            </w:tcMar>
            <w:vAlign w:val="bottom"/>
          </w:tcPr>
          <w:p w14:paraId="42A115E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E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(1,958</w:t>
            </w:r>
          </w:p>
        </w:tc>
        <w:tc>
          <w:tcPr>
            <w:tcW w:w="0" w:type="auto"/>
            <w:shd w:val="clear" w:color="auto" w:fill="auto"/>
            <w:tcMar>
              <w:top w:w="40" w:type="dxa"/>
              <w:bottom w:w="40" w:type="dxa"/>
              <w:right w:w="40" w:type="dxa"/>
            </w:tcMar>
            <w:vAlign w:val="center"/>
          </w:tcPr>
          <w:p w14:paraId="42A115E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5E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F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8,368</w:t>
            </w:r>
          </w:p>
        </w:tc>
        <w:tc>
          <w:tcPr>
            <w:tcW w:w="0" w:type="auto"/>
            <w:shd w:val="clear" w:color="auto" w:fill="auto"/>
            <w:vAlign w:val="bottom"/>
          </w:tcPr>
          <w:p w14:paraId="42A115F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5F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F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5F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5F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F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5F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5F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5F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5FA" w14:textId="77777777" w:rsidR="00BB68E1" w:rsidRDefault="00BB68E1">
            <w:pPr>
              <w:textAlignment w:val="bottom"/>
              <w:rPr>
                <w:rFonts w:ascii="Times New Roman" w:hAnsi="Times New Roman"/>
                <w:sz w:val="20"/>
                <w:szCs w:val="20"/>
              </w:rPr>
            </w:pPr>
          </w:p>
        </w:tc>
      </w:tr>
      <w:tr w:rsidR="00BB68E1" w14:paraId="42A1160C" w14:textId="77777777">
        <w:trPr>
          <w:jc w:val="center"/>
        </w:trPr>
        <w:tc>
          <w:tcPr>
            <w:tcW w:w="0" w:type="auto"/>
            <w:shd w:val="clear" w:color="auto" w:fill="CCEEFF"/>
            <w:tcMar>
              <w:top w:w="40" w:type="dxa"/>
              <w:left w:w="40" w:type="dxa"/>
              <w:bottom w:w="40" w:type="dxa"/>
              <w:right w:w="40" w:type="dxa"/>
            </w:tcMar>
            <w:vAlign w:val="center"/>
          </w:tcPr>
          <w:p w14:paraId="42A115FC" w14:textId="77777777" w:rsidR="00BB68E1" w:rsidRDefault="005D2D5E">
            <w:pPr>
              <w:ind w:hanging="480"/>
              <w:textAlignment w:val="center"/>
              <w:rPr>
                <w:rFonts w:ascii="Times New Roman" w:hAnsi="Times New Roman"/>
                <w:sz w:val="16"/>
                <w:szCs w:val="16"/>
              </w:rPr>
            </w:pPr>
            <w:r>
              <w:rPr>
                <w:rFonts w:ascii="Times New Roman" w:eastAsia="宋体" w:hAnsi="Times New Roman"/>
                <w:sz w:val="16"/>
                <w:szCs w:val="16"/>
              </w:rPr>
              <w:t>Consolidat</w:t>
            </w:r>
            <w:r>
              <w:rPr>
                <w:rFonts w:ascii="Times New Roman" w:eastAsia="宋体" w:hAnsi="Times New Roman"/>
                <w:sz w:val="16"/>
                <w:szCs w:val="16"/>
              </w:rPr>
              <w:t>ed net income attributable to Walmart</w:t>
            </w:r>
          </w:p>
        </w:tc>
        <w:tc>
          <w:tcPr>
            <w:tcW w:w="0" w:type="auto"/>
            <w:shd w:val="clear" w:color="auto" w:fill="CCEEFF"/>
            <w:tcMar>
              <w:top w:w="40" w:type="dxa"/>
              <w:left w:w="40" w:type="dxa"/>
              <w:bottom w:w="40" w:type="dxa"/>
              <w:right w:w="40" w:type="dxa"/>
            </w:tcMar>
            <w:vAlign w:val="bottom"/>
          </w:tcPr>
          <w:p w14:paraId="42A115F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5F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14,881</w:t>
            </w:r>
          </w:p>
        </w:tc>
        <w:tc>
          <w:tcPr>
            <w:tcW w:w="0" w:type="auto"/>
            <w:shd w:val="clear" w:color="auto" w:fill="CCEEFF"/>
            <w:vAlign w:val="bottom"/>
          </w:tcPr>
          <w:p w14:paraId="42A115F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0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0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6,670</w:t>
            </w:r>
          </w:p>
        </w:tc>
        <w:tc>
          <w:tcPr>
            <w:tcW w:w="0" w:type="auto"/>
            <w:shd w:val="clear" w:color="auto" w:fill="CCEEFF"/>
            <w:vAlign w:val="bottom"/>
          </w:tcPr>
          <w:p w14:paraId="42A1160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0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0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9,862</w:t>
            </w:r>
          </w:p>
        </w:tc>
        <w:tc>
          <w:tcPr>
            <w:tcW w:w="0" w:type="auto"/>
            <w:shd w:val="clear" w:color="auto" w:fill="CCEEFF"/>
            <w:vAlign w:val="bottom"/>
          </w:tcPr>
          <w:p w14:paraId="42A1160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0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0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13,643</w:t>
            </w:r>
          </w:p>
        </w:tc>
        <w:tc>
          <w:tcPr>
            <w:tcW w:w="0" w:type="auto"/>
            <w:shd w:val="clear" w:color="auto" w:fill="CCEEFF"/>
            <w:vAlign w:val="bottom"/>
          </w:tcPr>
          <w:p w14:paraId="42A1160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0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0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14,694</w:t>
            </w:r>
          </w:p>
        </w:tc>
        <w:tc>
          <w:tcPr>
            <w:tcW w:w="0" w:type="auto"/>
            <w:shd w:val="clear" w:color="auto" w:fill="CCEEFF"/>
            <w:vAlign w:val="bottom"/>
          </w:tcPr>
          <w:p w14:paraId="42A1160B" w14:textId="77777777" w:rsidR="00BB68E1" w:rsidRDefault="00BB68E1">
            <w:pPr>
              <w:textAlignment w:val="bottom"/>
              <w:rPr>
                <w:rFonts w:ascii="Times New Roman" w:hAnsi="Times New Roman"/>
                <w:sz w:val="20"/>
                <w:szCs w:val="20"/>
              </w:rPr>
            </w:pPr>
          </w:p>
        </w:tc>
      </w:tr>
      <w:tr w:rsidR="00BB68E1" w14:paraId="42A11622" w14:textId="77777777">
        <w:trPr>
          <w:jc w:val="center"/>
        </w:trPr>
        <w:tc>
          <w:tcPr>
            <w:tcW w:w="0" w:type="auto"/>
            <w:shd w:val="clear" w:color="auto" w:fill="auto"/>
            <w:tcMar>
              <w:top w:w="40" w:type="dxa"/>
              <w:left w:w="40" w:type="dxa"/>
              <w:bottom w:w="40" w:type="dxa"/>
              <w:right w:w="40" w:type="dxa"/>
            </w:tcMar>
            <w:vAlign w:val="center"/>
          </w:tcPr>
          <w:p w14:paraId="42A1160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Diluted net income per common share attributable to Walmart</w:t>
            </w:r>
          </w:p>
        </w:tc>
        <w:tc>
          <w:tcPr>
            <w:tcW w:w="0" w:type="auto"/>
            <w:shd w:val="clear" w:color="auto" w:fill="auto"/>
            <w:tcMar>
              <w:top w:w="40" w:type="dxa"/>
              <w:left w:w="40" w:type="dxa"/>
              <w:bottom w:w="40" w:type="dxa"/>
              <w:right w:w="40" w:type="dxa"/>
            </w:tcMar>
            <w:vAlign w:val="bottom"/>
          </w:tcPr>
          <w:p w14:paraId="42A116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60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61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5.19</w:t>
            </w:r>
          </w:p>
        </w:tc>
        <w:tc>
          <w:tcPr>
            <w:tcW w:w="0" w:type="auto"/>
            <w:shd w:val="clear" w:color="auto" w:fill="auto"/>
            <w:vAlign w:val="bottom"/>
          </w:tcPr>
          <w:p w14:paraId="42A1161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61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61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2.26</w:t>
            </w:r>
          </w:p>
        </w:tc>
        <w:tc>
          <w:tcPr>
            <w:tcW w:w="0" w:type="auto"/>
            <w:shd w:val="clear" w:color="auto" w:fill="auto"/>
            <w:vAlign w:val="bottom"/>
          </w:tcPr>
          <w:p w14:paraId="42A1161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1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61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61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3.28</w:t>
            </w:r>
          </w:p>
        </w:tc>
        <w:tc>
          <w:tcPr>
            <w:tcW w:w="0" w:type="auto"/>
            <w:shd w:val="clear" w:color="auto" w:fill="auto"/>
            <w:vAlign w:val="bottom"/>
          </w:tcPr>
          <w:p w14:paraId="42A1161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1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61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61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4.38</w:t>
            </w:r>
          </w:p>
        </w:tc>
        <w:tc>
          <w:tcPr>
            <w:tcW w:w="0" w:type="auto"/>
            <w:shd w:val="clear" w:color="auto" w:fill="auto"/>
            <w:vAlign w:val="bottom"/>
          </w:tcPr>
          <w:p w14:paraId="42A1161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1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61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62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4.57</w:t>
            </w:r>
          </w:p>
        </w:tc>
        <w:tc>
          <w:tcPr>
            <w:tcW w:w="0" w:type="auto"/>
            <w:shd w:val="clear" w:color="auto" w:fill="auto"/>
            <w:vAlign w:val="bottom"/>
          </w:tcPr>
          <w:p w14:paraId="42A11621" w14:textId="77777777" w:rsidR="00BB68E1" w:rsidRDefault="00BB68E1">
            <w:pPr>
              <w:textAlignment w:val="bottom"/>
              <w:rPr>
                <w:rFonts w:ascii="Times New Roman" w:hAnsi="Times New Roman"/>
                <w:sz w:val="20"/>
                <w:szCs w:val="20"/>
              </w:rPr>
            </w:pPr>
          </w:p>
        </w:tc>
      </w:tr>
      <w:tr w:rsidR="00BB68E1" w14:paraId="42A11633" w14:textId="77777777">
        <w:trPr>
          <w:jc w:val="center"/>
        </w:trPr>
        <w:tc>
          <w:tcPr>
            <w:tcW w:w="0" w:type="auto"/>
            <w:shd w:val="clear" w:color="auto" w:fill="CCEEFF"/>
            <w:tcMar>
              <w:top w:w="40" w:type="dxa"/>
              <w:left w:w="40" w:type="dxa"/>
              <w:bottom w:w="40" w:type="dxa"/>
              <w:right w:w="40" w:type="dxa"/>
            </w:tcMar>
            <w:vAlign w:val="center"/>
          </w:tcPr>
          <w:p w14:paraId="42A1162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lastRenderedPageBreak/>
              <w:t>Dividends declared per common share</w:t>
            </w:r>
          </w:p>
        </w:tc>
        <w:tc>
          <w:tcPr>
            <w:tcW w:w="0" w:type="auto"/>
            <w:shd w:val="clear" w:color="auto" w:fill="CCEEFF"/>
            <w:tcMar>
              <w:top w:w="40" w:type="dxa"/>
              <w:left w:w="40" w:type="dxa"/>
              <w:bottom w:w="40" w:type="dxa"/>
              <w:right w:w="40" w:type="dxa"/>
            </w:tcMar>
            <w:vAlign w:val="bottom"/>
          </w:tcPr>
          <w:p w14:paraId="42A1162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2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2.12</w:t>
            </w:r>
          </w:p>
        </w:tc>
        <w:tc>
          <w:tcPr>
            <w:tcW w:w="0" w:type="auto"/>
            <w:shd w:val="clear" w:color="auto" w:fill="CCEEFF"/>
            <w:vAlign w:val="bottom"/>
          </w:tcPr>
          <w:p w14:paraId="42A1162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2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2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2.08</w:t>
            </w:r>
          </w:p>
        </w:tc>
        <w:tc>
          <w:tcPr>
            <w:tcW w:w="0" w:type="auto"/>
            <w:shd w:val="clear" w:color="auto" w:fill="CCEEFF"/>
            <w:vAlign w:val="bottom"/>
          </w:tcPr>
          <w:p w14:paraId="42A1162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2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2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2.04</w:t>
            </w:r>
          </w:p>
        </w:tc>
        <w:tc>
          <w:tcPr>
            <w:tcW w:w="0" w:type="auto"/>
            <w:shd w:val="clear" w:color="auto" w:fill="CCEEFF"/>
            <w:vAlign w:val="bottom"/>
          </w:tcPr>
          <w:p w14:paraId="42A1162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2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2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2.00</w:t>
            </w:r>
          </w:p>
        </w:tc>
        <w:tc>
          <w:tcPr>
            <w:tcW w:w="0" w:type="auto"/>
            <w:shd w:val="clear" w:color="auto" w:fill="CCEEFF"/>
            <w:vAlign w:val="bottom"/>
          </w:tcPr>
          <w:p w14:paraId="42A1162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3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3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1.96</w:t>
            </w:r>
          </w:p>
        </w:tc>
        <w:tc>
          <w:tcPr>
            <w:tcW w:w="0" w:type="auto"/>
            <w:shd w:val="clear" w:color="auto" w:fill="CCEEFF"/>
            <w:vAlign w:val="bottom"/>
          </w:tcPr>
          <w:p w14:paraId="42A11632" w14:textId="77777777" w:rsidR="00BB68E1" w:rsidRDefault="00BB68E1">
            <w:pPr>
              <w:textAlignment w:val="bottom"/>
              <w:rPr>
                <w:rFonts w:ascii="Times New Roman" w:hAnsi="Times New Roman"/>
                <w:sz w:val="20"/>
                <w:szCs w:val="20"/>
              </w:rPr>
            </w:pPr>
          </w:p>
        </w:tc>
      </w:tr>
      <w:tr w:rsidR="00BB68E1" w14:paraId="42A1163F" w14:textId="77777777">
        <w:trPr>
          <w:jc w:val="center"/>
        </w:trPr>
        <w:tc>
          <w:tcPr>
            <w:tcW w:w="0" w:type="auto"/>
            <w:shd w:val="clear" w:color="auto" w:fill="auto"/>
            <w:tcMar>
              <w:top w:w="40" w:type="dxa"/>
              <w:left w:w="40" w:type="dxa"/>
              <w:bottom w:w="40" w:type="dxa"/>
              <w:right w:w="40" w:type="dxa"/>
            </w:tcMar>
            <w:vAlign w:val="bottom"/>
          </w:tcPr>
          <w:p w14:paraId="42A1163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63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63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63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63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63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63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6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6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63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63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64B" w14:textId="77777777">
        <w:trPr>
          <w:jc w:val="center"/>
        </w:trPr>
        <w:tc>
          <w:tcPr>
            <w:tcW w:w="0" w:type="auto"/>
            <w:shd w:val="clear" w:color="auto" w:fill="CCEEFF"/>
            <w:tcMar>
              <w:top w:w="40" w:type="dxa"/>
              <w:left w:w="40" w:type="dxa"/>
              <w:bottom w:w="40" w:type="dxa"/>
              <w:right w:w="40" w:type="dxa"/>
            </w:tcMar>
            <w:vAlign w:val="center"/>
          </w:tcPr>
          <w:p w14:paraId="42A11640"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Financial position</w:t>
            </w:r>
            <w:r>
              <w:rPr>
                <w:rFonts w:ascii="Times New Roman" w:eastAsia="宋体" w:hAnsi="Times New Roman"/>
                <w:b/>
                <w:bCs/>
                <w:sz w:val="10"/>
                <w:szCs w:val="10"/>
              </w:rPr>
              <w:t>(2)</w:t>
            </w:r>
          </w:p>
        </w:tc>
        <w:tc>
          <w:tcPr>
            <w:tcW w:w="0" w:type="auto"/>
            <w:shd w:val="clear" w:color="auto" w:fill="CCEEFF"/>
            <w:tcMar>
              <w:top w:w="40" w:type="dxa"/>
              <w:left w:w="40" w:type="dxa"/>
              <w:bottom w:w="40" w:type="dxa"/>
              <w:right w:w="40" w:type="dxa"/>
            </w:tcMar>
            <w:vAlign w:val="bottom"/>
          </w:tcPr>
          <w:p w14:paraId="42A1164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64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64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64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64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64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64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64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64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64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661" w14:textId="77777777">
        <w:trPr>
          <w:jc w:val="center"/>
        </w:trPr>
        <w:tc>
          <w:tcPr>
            <w:tcW w:w="0" w:type="auto"/>
            <w:shd w:val="clear" w:color="auto" w:fill="auto"/>
            <w:tcMar>
              <w:top w:w="40" w:type="dxa"/>
              <w:left w:w="40" w:type="dxa"/>
              <w:bottom w:w="40" w:type="dxa"/>
              <w:right w:w="40" w:type="dxa"/>
            </w:tcMar>
            <w:vAlign w:val="center"/>
          </w:tcPr>
          <w:p w14:paraId="42A1164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assets</w:t>
            </w:r>
          </w:p>
        </w:tc>
        <w:tc>
          <w:tcPr>
            <w:tcW w:w="0" w:type="auto"/>
            <w:shd w:val="clear" w:color="auto" w:fill="auto"/>
            <w:tcMar>
              <w:top w:w="40" w:type="dxa"/>
              <w:left w:w="40" w:type="dxa"/>
              <w:bottom w:w="40" w:type="dxa"/>
              <w:right w:w="40" w:type="dxa"/>
            </w:tcMar>
            <w:vAlign w:val="bottom"/>
          </w:tcPr>
          <w:p w14:paraId="42A116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64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64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236,495</w:t>
            </w:r>
          </w:p>
        </w:tc>
        <w:tc>
          <w:tcPr>
            <w:tcW w:w="0" w:type="auto"/>
            <w:shd w:val="clear" w:color="auto" w:fill="auto"/>
            <w:vAlign w:val="bottom"/>
          </w:tcPr>
          <w:p w14:paraId="42A1165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5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65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65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219,295</w:t>
            </w:r>
          </w:p>
        </w:tc>
        <w:tc>
          <w:tcPr>
            <w:tcW w:w="0" w:type="auto"/>
            <w:shd w:val="clear" w:color="auto" w:fill="auto"/>
            <w:vAlign w:val="bottom"/>
          </w:tcPr>
          <w:p w14:paraId="42A1165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5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65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65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204,522</w:t>
            </w:r>
          </w:p>
        </w:tc>
        <w:tc>
          <w:tcPr>
            <w:tcW w:w="0" w:type="auto"/>
            <w:shd w:val="clear" w:color="auto" w:fill="auto"/>
            <w:vAlign w:val="bottom"/>
          </w:tcPr>
          <w:p w14:paraId="42A1165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5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65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65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198,825</w:t>
            </w:r>
          </w:p>
        </w:tc>
        <w:tc>
          <w:tcPr>
            <w:tcW w:w="0" w:type="auto"/>
            <w:shd w:val="clear" w:color="auto" w:fill="auto"/>
            <w:vAlign w:val="bottom"/>
          </w:tcPr>
          <w:p w14:paraId="42A1165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5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65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65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199,581</w:t>
            </w:r>
          </w:p>
        </w:tc>
        <w:tc>
          <w:tcPr>
            <w:tcW w:w="0" w:type="auto"/>
            <w:shd w:val="clear" w:color="auto" w:fill="auto"/>
            <w:vAlign w:val="bottom"/>
          </w:tcPr>
          <w:p w14:paraId="42A11660" w14:textId="77777777" w:rsidR="00BB68E1" w:rsidRDefault="00BB68E1">
            <w:pPr>
              <w:textAlignment w:val="bottom"/>
              <w:rPr>
                <w:rFonts w:ascii="Times New Roman" w:hAnsi="Times New Roman"/>
                <w:sz w:val="20"/>
                <w:szCs w:val="20"/>
              </w:rPr>
            </w:pPr>
          </w:p>
        </w:tc>
      </w:tr>
      <w:tr w:rsidR="00BB68E1" w14:paraId="42A11672" w14:textId="77777777">
        <w:trPr>
          <w:jc w:val="center"/>
        </w:trPr>
        <w:tc>
          <w:tcPr>
            <w:tcW w:w="0" w:type="auto"/>
            <w:shd w:val="clear" w:color="auto" w:fill="CCEEFF"/>
            <w:tcMar>
              <w:top w:w="40" w:type="dxa"/>
              <w:left w:w="40" w:type="dxa"/>
              <w:bottom w:w="40" w:type="dxa"/>
              <w:right w:w="40" w:type="dxa"/>
            </w:tcMar>
            <w:vAlign w:val="center"/>
          </w:tcPr>
          <w:p w14:paraId="42A11662" w14:textId="77777777" w:rsidR="00BB68E1" w:rsidRDefault="005D2D5E">
            <w:pPr>
              <w:ind w:hanging="480"/>
              <w:textAlignment w:val="center"/>
              <w:rPr>
                <w:rFonts w:ascii="Times New Roman" w:hAnsi="Times New Roman"/>
                <w:sz w:val="16"/>
                <w:szCs w:val="16"/>
              </w:rPr>
            </w:pPr>
            <w:r>
              <w:rPr>
                <w:rFonts w:ascii="Times New Roman" w:eastAsia="宋体" w:hAnsi="Times New Roman"/>
                <w:sz w:val="16"/>
                <w:szCs w:val="16"/>
              </w:rPr>
              <w:t>Long-term debt and long-term lease obligations (excluding amounts due within one year)</w:t>
            </w:r>
          </w:p>
        </w:tc>
        <w:tc>
          <w:tcPr>
            <w:tcW w:w="0" w:type="auto"/>
            <w:shd w:val="clear" w:color="auto" w:fill="CCEEFF"/>
            <w:tcMar>
              <w:top w:w="40" w:type="dxa"/>
              <w:left w:w="40" w:type="dxa"/>
              <w:bottom w:w="40" w:type="dxa"/>
              <w:right w:w="40" w:type="dxa"/>
            </w:tcMar>
            <w:vAlign w:val="bottom"/>
          </w:tcPr>
          <w:p w14:paraId="42A1166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6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64,192</w:t>
            </w:r>
          </w:p>
        </w:tc>
        <w:tc>
          <w:tcPr>
            <w:tcW w:w="0" w:type="auto"/>
            <w:shd w:val="clear" w:color="auto" w:fill="CCEEFF"/>
            <w:vAlign w:val="bottom"/>
          </w:tcPr>
          <w:p w14:paraId="42A1166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6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6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50,203</w:t>
            </w:r>
          </w:p>
        </w:tc>
        <w:tc>
          <w:tcPr>
            <w:tcW w:w="0" w:type="auto"/>
            <w:shd w:val="clear" w:color="auto" w:fill="CCEEFF"/>
            <w:vAlign w:val="bottom"/>
          </w:tcPr>
          <w:p w14:paraId="42A1166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6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6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36,825</w:t>
            </w:r>
          </w:p>
        </w:tc>
        <w:tc>
          <w:tcPr>
            <w:tcW w:w="0" w:type="auto"/>
            <w:shd w:val="clear" w:color="auto" w:fill="CCEEFF"/>
            <w:vAlign w:val="bottom"/>
          </w:tcPr>
          <w:p w14:paraId="42A1166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6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6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42,018</w:t>
            </w:r>
          </w:p>
        </w:tc>
        <w:tc>
          <w:tcPr>
            <w:tcW w:w="0" w:type="auto"/>
            <w:shd w:val="clear" w:color="auto" w:fill="CCEEFF"/>
            <w:vAlign w:val="bottom"/>
          </w:tcPr>
          <w:p w14:paraId="42A1166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6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7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44,030</w:t>
            </w:r>
          </w:p>
        </w:tc>
        <w:tc>
          <w:tcPr>
            <w:tcW w:w="0" w:type="auto"/>
            <w:shd w:val="clear" w:color="auto" w:fill="CCEEFF"/>
            <w:vAlign w:val="bottom"/>
          </w:tcPr>
          <w:p w14:paraId="42A11671" w14:textId="77777777" w:rsidR="00BB68E1" w:rsidRDefault="00BB68E1">
            <w:pPr>
              <w:textAlignment w:val="bottom"/>
              <w:rPr>
                <w:rFonts w:ascii="Times New Roman" w:hAnsi="Times New Roman"/>
                <w:sz w:val="20"/>
                <w:szCs w:val="20"/>
              </w:rPr>
            </w:pPr>
          </w:p>
        </w:tc>
      </w:tr>
      <w:tr w:rsidR="00BB68E1" w14:paraId="42A11683" w14:textId="77777777">
        <w:trPr>
          <w:jc w:val="center"/>
        </w:trPr>
        <w:tc>
          <w:tcPr>
            <w:tcW w:w="0" w:type="auto"/>
            <w:shd w:val="clear" w:color="auto" w:fill="auto"/>
            <w:tcMar>
              <w:top w:w="40" w:type="dxa"/>
              <w:left w:w="40" w:type="dxa"/>
              <w:bottom w:w="40" w:type="dxa"/>
              <w:right w:w="40" w:type="dxa"/>
            </w:tcMar>
            <w:vAlign w:val="center"/>
          </w:tcPr>
          <w:p w14:paraId="42A1167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Walmart shareholders' equity</w:t>
            </w:r>
          </w:p>
        </w:tc>
        <w:tc>
          <w:tcPr>
            <w:tcW w:w="0" w:type="auto"/>
            <w:shd w:val="clear" w:color="auto" w:fill="auto"/>
            <w:tcMar>
              <w:top w:w="40" w:type="dxa"/>
              <w:left w:w="40" w:type="dxa"/>
              <w:bottom w:w="40" w:type="dxa"/>
              <w:right w:w="40" w:type="dxa"/>
            </w:tcMar>
            <w:vAlign w:val="bottom"/>
          </w:tcPr>
          <w:p w14:paraId="42A1167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67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74,669</w:t>
            </w:r>
          </w:p>
        </w:tc>
        <w:tc>
          <w:tcPr>
            <w:tcW w:w="0" w:type="auto"/>
            <w:shd w:val="clear" w:color="auto" w:fill="auto"/>
            <w:vAlign w:val="bottom"/>
          </w:tcPr>
          <w:p w14:paraId="42A1167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7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67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72,496</w:t>
            </w:r>
          </w:p>
        </w:tc>
        <w:tc>
          <w:tcPr>
            <w:tcW w:w="0" w:type="auto"/>
            <w:shd w:val="clear" w:color="auto" w:fill="auto"/>
            <w:vAlign w:val="bottom"/>
          </w:tcPr>
          <w:p w14:paraId="42A1167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7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67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77,869</w:t>
            </w:r>
          </w:p>
        </w:tc>
        <w:tc>
          <w:tcPr>
            <w:tcW w:w="0" w:type="auto"/>
            <w:shd w:val="clear" w:color="auto" w:fill="auto"/>
            <w:vAlign w:val="bottom"/>
          </w:tcPr>
          <w:p w14:paraId="42A1167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7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67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77,798</w:t>
            </w:r>
          </w:p>
        </w:tc>
        <w:tc>
          <w:tcPr>
            <w:tcW w:w="0" w:type="auto"/>
            <w:shd w:val="clear" w:color="auto" w:fill="auto"/>
            <w:vAlign w:val="bottom"/>
          </w:tcPr>
          <w:p w14:paraId="42A1167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8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68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80,546</w:t>
            </w:r>
          </w:p>
        </w:tc>
        <w:tc>
          <w:tcPr>
            <w:tcW w:w="0" w:type="auto"/>
            <w:shd w:val="clear" w:color="auto" w:fill="auto"/>
            <w:vAlign w:val="bottom"/>
          </w:tcPr>
          <w:p w14:paraId="42A11682" w14:textId="77777777" w:rsidR="00BB68E1" w:rsidRDefault="00BB68E1">
            <w:pPr>
              <w:textAlignment w:val="bottom"/>
              <w:rPr>
                <w:rFonts w:ascii="Times New Roman" w:hAnsi="Times New Roman"/>
                <w:sz w:val="20"/>
                <w:szCs w:val="20"/>
              </w:rPr>
            </w:pPr>
          </w:p>
        </w:tc>
      </w:tr>
      <w:tr w:rsidR="00BB68E1" w14:paraId="42A1168F" w14:textId="77777777">
        <w:trPr>
          <w:jc w:val="center"/>
        </w:trPr>
        <w:tc>
          <w:tcPr>
            <w:tcW w:w="0" w:type="auto"/>
            <w:shd w:val="clear" w:color="auto" w:fill="CCEEFF"/>
            <w:tcMar>
              <w:top w:w="40" w:type="dxa"/>
              <w:left w:w="40" w:type="dxa"/>
              <w:bottom w:w="40" w:type="dxa"/>
              <w:right w:w="40" w:type="dxa"/>
            </w:tcMar>
            <w:vAlign w:val="bottom"/>
          </w:tcPr>
          <w:p w14:paraId="42A116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68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6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6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68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68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68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68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68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68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68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69B" w14:textId="77777777">
        <w:trPr>
          <w:jc w:val="center"/>
        </w:trPr>
        <w:tc>
          <w:tcPr>
            <w:tcW w:w="0" w:type="auto"/>
            <w:shd w:val="clear" w:color="auto" w:fill="auto"/>
            <w:tcMar>
              <w:top w:w="40" w:type="dxa"/>
              <w:left w:w="40" w:type="dxa"/>
              <w:bottom w:w="40" w:type="dxa"/>
              <w:right w:w="40" w:type="dxa"/>
            </w:tcMar>
            <w:vAlign w:val="center"/>
          </w:tcPr>
          <w:p w14:paraId="42A11690"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Unit counts</w:t>
            </w:r>
          </w:p>
        </w:tc>
        <w:tc>
          <w:tcPr>
            <w:tcW w:w="0" w:type="auto"/>
            <w:shd w:val="clear" w:color="auto" w:fill="auto"/>
            <w:tcMar>
              <w:top w:w="40" w:type="dxa"/>
              <w:left w:w="40" w:type="dxa"/>
              <w:bottom w:w="40" w:type="dxa"/>
              <w:right w:w="40" w:type="dxa"/>
            </w:tcMar>
            <w:vAlign w:val="bottom"/>
          </w:tcPr>
          <w:p w14:paraId="42A1169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69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69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69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69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69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69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69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69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69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6AC" w14:textId="77777777">
        <w:trPr>
          <w:jc w:val="center"/>
        </w:trPr>
        <w:tc>
          <w:tcPr>
            <w:tcW w:w="0" w:type="auto"/>
            <w:shd w:val="clear" w:color="auto" w:fill="CCEEFF"/>
            <w:tcMar>
              <w:top w:w="40" w:type="dxa"/>
              <w:left w:w="40" w:type="dxa"/>
              <w:bottom w:w="40" w:type="dxa"/>
              <w:right w:w="40" w:type="dxa"/>
            </w:tcMar>
            <w:vAlign w:val="center"/>
          </w:tcPr>
          <w:p w14:paraId="42A1169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Walmart U.S. segment</w:t>
            </w:r>
          </w:p>
        </w:tc>
        <w:tc>
          <w:tcPr>
            <w:tcW w:w="0" w:type="auto"/>
            <w:shd w:val="clear" w:color="auto" w:fill="CCEEFF"/>
            <w:tcMar>
              <w:top w:w="40" w:type="dxa"/>
              <w:left w:w="40" w:type="dxa"/>
              <w:bottom w:w="40" w:type="dxa"/>
              <w:right w:w="40" w:type="dxa"/>
            </w:tcMar>
            <w:vAlign w:val="bottom"/>
          </w:tcPr>
          <w:p w14:paraId="42A1169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9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4,756</w:t>
            </w:r>
          </w:p>
        </w:tc>
        <w:tc>
          <w:tcPr>
            <w:tcW w:w="0" w:type="auto"/>
            <w:shd w:val="clear" w:color="auto" w:fill="CCEEFF"/>
            <w:vAlign w:val="bottom"/>
          </w:tcPr>
          <w:p w14:paraId="42A1169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A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A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4,769</w:t>
            </w:r>
          </w:p>
        </w:tc>
        <w:tc>
          <w:tcPr>
            <w:tcW w:w="0" w:type="auto"/>
            <w:shd w:val="clear" w:color="auto" w:fill="CCEEFF"/>
            <w:vAlign w:val="bottom"/>
          </w:tcPr>
          <w:p w14:paraId="42A116A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A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A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4,761</w:t>
            </w:r>
          </w:p>
        </w:tc>
        <w:tc>
          <w:tcPr>
            <w:tcW w:w="0" w:type="auto"/>
            <w:shd w:val="clear" w:color="auto" w:fill="CCEEFF"/>
            <w:vAlign w:val="bottom"/>
          </w:tcPr>
          <w:p w14:paraId="42A116A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A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A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4,672</w:t>
            </w:r>
          </w:p>
        </w:tc>
        <w:tc>
          <w:tcPr>
            <w:tcW w:w="0" w:type="auto"/>
            <w:shd w:val="clear" w:color="auto" w:fill="CCEEFF"/>
            <w:vAlign w:val="bottom"/>
          </w:tcPr>
          <w:p w14:paraId="42A116A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A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A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4,574</w:t>
            </w:r>
          </w:p>
        </w:tc>
        <w:tc>
          <w:tcPr>
            <w:tcW w:w="0" w:type="auto"/>
            <w:shd w:val="clear" w:color="auto" w:fill="CCEEFF"/>
            <w:vAlign w:val="bottom"/>
          </w:tcPr>
          <w:p w14:paraId="42A116AB" w14:textId="77777777" w:rsidR="00BB68E1" w:rsidRDefault="00BB68E1">
            <w:pPr>
              <w:textAlignment w:val="bottom"/>
              <w:rPr>
                <w:rFonts w:ascii="Times New Roman" w:hAnsi="Times New Roman"/>
                <w:sz w:val="20"/>
                <w:szCs w:val="20"/>
              </w:rPr>
            </w:pPr>
          </w:p>
        </w:tc>
      </w:tr>
      <w:tr w:rsidR="00BB68E1" w14:paraId="42A116BD" w14:textId="77777777">
        <w:trPr>
          <w:jc w:val="center"/>
        </w:trPr>
        <w:tc>
          <w:tcPr>
            <w:tcW w:w="0" w:type="auto"/>
            <w:shd w:val="clear" w:color="auto" w:fill="auto"/>
            <w:tcMar>
              <w:top w:w="40" w:type="dxa"/>
              <w:left w:w="40" w:type="dxa"/>
              <w:bottom w:w="40" w:type="dxa"/>
              <w:right w:w="40" w:type="dxa"/>
            </w:tcMar>
            <w:vAlign w:val="center"/>
          </w:tcPr>
          <w:p w14:paraId="42A116A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Walmart International segment</w:t>
            </w:r>
          </w:p>
        </w:tc>
        <w:tc>
          <w:tcPr>
            <w:tcW w:w="0" w:type="auto"/>
            <w:shd w:val="clear" w:color="auto" w:fill="auto"/>
            <w:tcMar>
              <w:top w:w="40" w:type="dxa"/>
              <w:left w:w="40" w:type="dxa"/>
              <w:bottom w:w="40" w:type="dxa"/>
              <w:right w:w="40" w:type="dxa"/>
            </w:tcMar>
            <w:vAlign w:val="bottom"/>
          </w:tcPr>
          <w:p w14:paraId="42A116A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6A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6,146</w:t>
            </w:r>
          </w:p>
        </w:tc>
        <w:tc>
          <w:tcPr>
            <w:tcW w:w="0" w:type="auto"/>
            <w:shd w:val="clear" w:color="auto" w:fill="auto"/>
            <w:vAlign w:val="bottom"/>
          </w:tcPr>
          <w:p w14:paraId="42A116B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B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6B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5,993</w:t>
            </w:r>
          </w:p>
        </w:tc>
        <w:tc>
          <w:tcPr>
            <w:tcW w:w="0" w:type="auto"/>
            <w:shd w:val="clear" w:color="auto" w:fill="auto"/>
            <w:vAlign w:val="bottom"/>
          </w:tcPr>
          <w:p w14:paraId="42A116B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6B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6,360</w:t>
            </w:r>
          </w:p>
        </w:tc>
        <w:tc>
          <w:tcPr>
            <w:tcW w:w="0" w:type="auto"/>
            <w:shd w:val="clear" w:color="auto" w:fill="auto"/>
            <w:vAlign w:val="bottom"/>
          </w:tcPr>
          <w:p w14:paraId="42A116B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B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6B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6,363</w:t>
            </w:r>
          </w:p>
        </w:tc>
        <w:tc>
          <w:tcPr>
            <w:tcW w:w="0" w:type="auto"/>
            <w:shd w:val="clear" w:color="auto" w:fill="auto"/>
            <w:vAlign w:val="bottom"/>
          </w:tcPr>
          <w:p w14:paraId="42A116B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B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6B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6,299</w:t>
            </w:r>
          </w:p>
        </w:tc>
        <w:tc>
          <w:tcPr>
            <w:tcW w:w="0" w:type="auto"/>
            <w:shd w:val="clear" w:color="auto" w:fill="auto"/>
            <w:vAlign w:val="bottom"/>
          </w:tcPr>
          <w:p w14:paraId="42A116BC" w14:textId="77777777" w:rsidR="00BB68E1" w:rsidRDefault="00BB68E1">
            <w:pPr>
              <w:textAlignment w:val="bottom"/>
              <w:rPr>
                <w:rFonts w:ascii="Times New Roman" w:hAnsi="Times New Roman"/>
                <w:sz w:val="20"/>
                <w:szCs w:val="20"/>
              </w:rPr>
            </w:pPr>
          </w:p>
        </w:tc>
      </w:tr>
      <w:tr w:rsidR="00BB68E1" w14:paraId="42A116CE" w14:textId="77777777">
        <w:trPr>
          <w:jc w:val="center"/>
        </w:trPr>
        <w:tc>
          <w:tcPr>
            <w:tcW w:w="0" w:type="auto"/>
            <w:shd w:val="clear" w:color="auto" w:fill="CCEEFF"/>
            <w:tcMar>
              <w:top w:w="40" w:type="dxa"/>
              <w:left w:w="40" w:type="dxa"/>
              <w:bottom w:w="40" w:type="dxa"/>
              <w:right w:w="40" w:type="dxa"/>
            </w:tcMar>
            <w:vAlign w:val="center"/>
          </w:tcPr>
          <w:p w14:paraId="42A116B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Sam's Club segment</w:t>
            </w:r>
          </w:p>
        </w:tc>
        <w:tc>
          <w:tcPr>
            <w:tcW w:w="0" w:type="auto"/>
            <w:shd w:val="clear" w:color="auto" w:fill="CCEEFF"/>
            <w:tcMar>
              <w:top w:w="40" w:type="dxa"/>
              <w:left w:w="40" w:type="dxa"/>
              <w:bottom w:w="40" w:type="dxa"/>
              <w:right w:w="40" w:type="dxa"/>
            </w:tcMar>
            <w:vAlign w:val="bottom"/>
          </w:tcPr>
          <w:p w14:paraId="42A116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C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599</w:t>
            </w:r>
          </w:p>
        </w:tc>
        <w:tc>
          <w:tcPr>
            <w:tcW w:w="0" w:type="auto"/>
            <w:shd w:val="clear" w:color="auto" w:fill="CCEEFF"/>
            <w:vAlign w:val="bottom"/>
          </w:tcPr>
          <w:p w14:paraId="42A116C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C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599</w:t>
            </w:r>
          </w:p>
        </w:tc>
        <w:tc>
          <w:tcPr>
            <w:tcW w:w="0" w:type="auto"/>
            <w:shd w:val="clear" w:color="auto" w:fill="CCEEFF"/>
            <w:vAlign w:val="bottom"/>
          </w:tcPr>
          <w:p w14:paraId="42A116C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C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C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597</w:t>
            </w:r>
          </w:p>
        </w:tc>
        <w:tc>
          <w:tcPr>
            <w:tcW w:w="0" w:type="auto"/>
            <w:shd w:val="clear" w:color="auto" w:fill="CCEEFF"/>
            <w:vAlign w:val="bottom"/>
          </w:tcPr>
          <w:p w14:paraId="42A116C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C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660</w:t>
            </w:r>
          </w:p>
        </w:tc>
        <w:tc>
          <w:tcPr>
            <w:tcW w:w="0" w:type="auto"/>
            <w:shd w:val="clear" w:color="auto" w:fill="CCEEFF"/>
            <w:vAlign w:val="bottom"/>
          </w:tcPr>
          <w:p w14:paraId="42A116C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6C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6C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655</w:t>
            </w:r>
          </w:p>
        </w:tc>
        <w:tc>
          <w:tcPr>
            <w:tcW w:w="0" w:type="auto"/>
            <w:shd w:val="clear" w:color="auto" w:fill="CCEEFF"/>
            <w:vAlign w:val="bottom"/>
          </w:tcPr>
          <w:p w14:paraId="42A116CD" w14:textId="77777777" w:rsidR="00BB68E1" w:rsidRDefault="00BB68E1">
            <w:pPr>
              <w:textAlignment w:val="bottom"/>
              <w:rPr>
                <w:rFonts w:ascii="Times New Roman" w:hAnsi="Times New Roman"/>
                <w:sz w:val="20"/>
                <w:szCs w:val="20"/>
              </w:rPr>
            </w:pPr>
          </w:p>
        </w:tc>
      </w:tr>
      <w:tr w:rsidR="00BB68E1" w14:paraId="42A116DF" w14:textId="77777777">
        <w:trPr>
          <w:jc w:val="center"/>
        </w:trPr>
        <w:tc>
          <w:tcPr>
            <w:tcW w:w="0" w:type="auto"/>
            <w:shd w:val="clear" w:color="auto" w:fill="auto"/>
            <w:tcMar>
              <w:top w:w="40" w:type="dxa"/>
              <w:left w:w="40" w:type="dxa"/>
              <w:bottom w:w="40" w:type="dxa"/>
              <w:right w:w="40" w:type="dxa"/>
            </w:tcMar>
            <w:vAlign w:val="center"/>
          </w:tcPr>
          <w:p w14:paraId="42A116C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units</w:t>
            </w:r>
          </w:p>
        </w:tc>
        <w:tc>
          <w:tcPr>
            <w:tcW w:w="0" w:type="auto"/>
            <w:shd w:val="clear" w:color="auto" w:fill="auto"/>
            <w:tcMar>
              <w:top w:w="40" w:type="dxa"/>
              <w:left w:w="40" w:type="dxa"/>
              <w:bottom w:w="40" w:type="dxa"/>
              <w:right w:w="40" w:type="dxa"/>
            </w:tcMar>
            <w:vAlign w:val="bottom"/>
          </w:tcPr>
          <w:p w14:paraId="42A116D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center"/>
          </w:tcPr>
          <w:p w14:paraId="42A116D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11,501</w:t>
            </w:r>
          </w:p>
        </w:tc>
        <w:tc>
          <w:tcPr>
            <w:tcW w:w="0" w:type="auto"/>
            <w:tcBorders>
              <w:top w:val="single" w:sz="8" w:space="0" w:color="000000"/>
              <w:bottom w:val="double" w:sz="6" w:space="0" w:color="000000"/>
            </w:tcBorders>
            <w:shd w:val="clear" w:color="auto" w:fill="auto"/>
            <w:vAlign w:val="bottom"/>
          </w:tcPr>
          <w:p w14:paraId="42A116D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center"/>
          </w:tcPr>
          <w:p w14:paraId="42A116D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11,361</w:t>
            </w:r>
          </w:p>
        </w:tc>
        <w:tc>
          <w:tcPr>
            <w:tcW w:w="0" w:type="auto"/>
            <w:tcBorders>
              <w:top w:val="single" w:sz="8" w:space="0" w:color="000000"/>
              <w:bottom w:val="double" w:sz="6" w:space="0" w:color="000000"/>
            </w:tcBorders>
            <w:shd w:val="clear" w:color="auto" w:fill="auto"/>
            <w:vAlign w:val="bottom"/>
          </w:tcPr>
          <w:p w14:paraId="42A116D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center"/>
          </w:tcPr>
          <w:p w14:paraId="42A116D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11,718</w:t>
            </w:r>
          </w:p>
        </w:tc>
        <w:tc>
          <w:tcPr>
            <w:tcW w:w="0" w:type="auto"/>
            <w:tcBorders>
              <w:top w:val="single" w:sz="8" w:space="0" w:color="000000"/>
              <w:bottom w:val="double" w:sz="6" w:space="0" w:color="000000"/>
            </w:tcBorders>
            <w:shd w:val="clear" w:color="auto" w:fill="auto"/>
            <w:vAlign w:val="bottom"/>
          </w:tcPr>
          <w:p w14:paraId="42A116D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D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center"/>
          </w:tcPr>
          <w:p w14:paraId="42A116D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11,695</w:t>
            </w:r>
          </w:p>
        </w:tc>
        <w:tc>
          <w:tcPr>
            <w:tcW w:w="0" w:type="auto"/>
            <w:tcBorders>
              <w:top w:val="single" w:sz="8" w:space="0" w:color="000000"/>
              <w:bottom w:val="double" w:sz="6" w:space="0" w:color="000000"/>
            </w:tcBorders>
            <w:shd w:val="clear" w:color="auto" w:fill="auto"/>
            <w:vAlign w:val="bottom"/>
          </w:tcPr>
          <w:p w14:paraId="42A116D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6D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center"/>
          </w:tcPr>
          <w:p w14:paraId="42A116D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11,528</w:t>
            </w:r>
          </w:p>
        </w:tc>
        <w:tc>
          <w:tcPr>
            <w:tcW w:w="0" w:type="auto"/>
            <w:tcBorders>
              <w:top w:val="single" w:sz="8" w:space="0" w:color="000000"/>
              <w:bottom w:val="double" w:sz="6" w:space="0" w:color="000000"/>
            </w:tcBorders>
            <w:shd w:val="clear" w:color="auto" w:fill="auto"/>
            <w:vAlign w:val="bottom"/>
          </w:tcPr>
          <w:p w14:paraId="42A116DE" w14:textId="77777777" w:rsidR="00BB68E1" w:rsidRDefault="00BB68E1">
            <w:pPr>
              <w:textAlignment w:val="bottom"/>
              <w:rPr>
                <w:rFonts w:ascii="Times New Roman" w:hAnsi="Times New Roman"/>
                <w:sz w:val="20"/>
                <w:szCs w:val="20"/>
              </w:rPr>
            </w:pPr>
          </w:p>
        </w:tc>
      </w:tr>
    </w:tbl>
    <w:p w14:paraId="42A116E0"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BB68E1" w14:paraId="42A116E3" w14:textId="77777777">
        <w:trPr>
          <w:tblCellSpacing w:w="0" w:type="dxa"/>
        </w:trPr>
        <w:tc>
          <w:tcPr>
            <w:tcW w:w="480" w:type="dxa"/>
            <w:shd w:val="clear" w:color="auto" w:fill="auto"/>
            <w:vAlign w:val="center"/>
          </w:tcPr>
          <w:p w14:paraId="42A116E1" w14:textId="77777777" w:rsidR="00BB68E1" w:rsidRDefault="00BB68E1">
            <w:pPr>
              <w:rPr>
                <w:rFonts w:ascii="Times New Roman" w:hAnsi="Times New Roman"/>
                <w:sz w:val="20"/>
                <w:szCs w:val="20"/>
              </w:rPr>
            </w:pPr>
          </w:p>
        </w:tc>
        <w:tc>
          <w:tcPr>
            <w:tcW w:w="0" w:type="auto"/>
            <w:shd w:val="clear" w:color="auto" w:fill="auto"/>
            <w:vAlign w:val="center"/>
          </w:tcPr>
          <w:p w14:paraId="42A116E2" w14:textId="77777777" w:rsidR="00BB68E1" w:rsidRDefault="00BB68E1">
            <w:pPr>
              <w:rPr>
                <w:rFonts w:ascii="Times New Roman" w:hAnsi="Times New Roman"/>
                <w:sz w:val="20"/>
                <w:szCs w:val="20"/>
              </w:rPr>
            </w:pPr>
          </w:p>
        </w:tc>
      </w:tr>
      <w:tr w:rsidR="00BB68E1" w14:paraId="42A116E6" w14:textId="77777777">
        <w:trPr>
          <w:tblCellSpacing w:w="0" w:type="dxa"/>
        </w:trPr>
        <w:tc>
          <w:tcPr>
            <w:tcW w:w="0" w:type="auto"/>
            <w:shd w:val="clear" w:color="auto" w:fill="auto"/>
          </w:tcPr>
          <w:p w14:paraId="42A116E4"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(1)</w:t>
            </w:r>
          </w:p>
        </w:tc>
        <w:tc>
          <w:tcPr>
            <w:tcW w:w="0" w:type="auto"/>
            <w:shd w:val="clear" w:color="auto" w:fill="auto"/>
          </w:tcPr>
          <w:p w14:paraId="42A116E5"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 xml:space="preserve">Comparable sales include sales from stores and clubs open for the previous 12 months, including sales from acquisitions when such acquisitions have been owned for 12 months. Sales at a </w:t>
            </w:r>
            <w:r>
              <w:rPr>
                <w:rFonts w:ascii="Times New Roman" w:eastAsia="宋体" w:hAnsi="Times New Roman"/>
                <w:sz w:val="16"/>
                <w:szCs w:val="16"/>
              </w:rPr>
              <w:t>store that has changed in format are excluded from comparable sales when the conversion of that store is accompanied by a relocation or expansion that results in a change in the store's retail square feet of more than five percent. Comparable sales include</w:t>
            </w:r>
            <w:r>
              <w:rPr>
                <w:rFonts w:ascii="Times New Roman" w:eastAsia="宋体" w:hAnsi="Times New Roman"/>
                <w:sz w:val="16"/>
                <w:szCs w:val="16"/>
              </w:rPr>
              <w:t xml:space="preserve"> fuel.</w:t>
            </w:r>
          </w:p>
        </w:tc>
      </w:tr>
    </w:tbl>
    <w:p w14:paraId="42A116E7"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BB68E1" w14:paraId="42A116EA" w14:textId="77777777">
        <w:trPr>
          <w:tblCellSpacing w:w="0" w:type="dxa"/>
        </w:trPr>
        <w:tc>
          <w:tcPr>
            <w:tcW w:w="480" w:type="dxa"/>
            <w:shd w:val="clear" w:color="auto" w:fill="auto"/>
            <w:vAlign w:val="center"/>
          </w:tcPr>
          <w:p w14:paraId="42A116E8" w14:textId="77777777" w:rsidR="00BB68E1" w:rsidRDefault="00BB68E1">
            <w:pPr>
              <w:rPr>
                <w:rFonts w:ascii="Times New Roman" w:hAnsi="Times New Roman"/>
                <w:sz w:val="20"/>
                <w:szCs w:val="20"/>
              </w:rPr>
            </w:pPr>
          </w:p>
        </w:tc>
        <w:tc>
          <w:tcPr>
            <w:tcW w:w="0" w:type="auto"/>
            <w:shd w:val="clear" w:color="auto" w:fill="auto"/>
            <w:vAlign w:val="center"/>
          </w:tcPr>
          <w:p w14:paraId="42A116E9" w14:textId="77777777" w:rsidR="00BB68E1" w:rsidRDefault="00BB68E1">
            <w:pPr>
              <w:rPr>
                <w:rFonts w:ascii="Times New Roman" w:hAnsi="Times New Roman"/>
                <w:sz w:val="20"/>
                <w:szCs w:val="20"/>
              </w:rPr>
            </w:pPr>
          </w:p>
        </w:tc>
      </w:tr>
      <w:tr w:rsidR="00BB68E1" w14:paraId="42A116ED" w14:textId="77777777">
        <w:trPr>
          <w:tblCellSpacing w:w="0" w:type="dxa"/>
        </w:trPr>
        <w:tc>
          <w:tcPr>
            <w:tcW w:w="0" w:type="auto"/>
            <w:shd w:val="clear" w:color="auto" w:fill="auto"/>
          </w:tcPr>
          <w:p w14:paraId="42A116EB"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 xml:space="preserve">(2) </w:t>
            </w:r>
          </w:p>
        </w:tc>
        <w:tc>
          <w:tcPr>
            <w:tcW w:w="0" w:type="auto"/>
            <w:shd w:val="clear" w:color="auto" w:fill="auto"/>
          </w:tcPr>
          <w:p w14:paraId="42A116EC"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 xml:space="preserve">As described in </w:t>
            </w:r>
            <w:hyperlink r:id="rId85" w:anchor="s6A750698D75D55B18BF92B9B8B91C444" w:history="1">
              <w:r>
                <w:rPr>
                  <w:rStyle w:val="a5"/>
                  <w:rFonts w:ascii="Times New Roman" w:eastAsia="宋体" w:hAnsi="Times New Roman"/>
                  <w:sz w:val="16"/>
                  <w:szCs w:val="16"/>
                </w:rPr>
                <w:t>Note 1</w:t>
              </w:r>
            </w:hyperlink>
            <w:r>
              <w:rPr>
                <w:rFonts w:ascii="Times New Roman" w:eastAsia="宋体" w:hAnsi="Times New Roman"/>
                <w:sz w:val="16"/>
                <w:szCs w:val="16"/>
              </w:rPr>
              <w:t xml:space="preserve"> to our Consolidated Financial Statements, on February 1, 20</w:t>
            </w:r>
            <w:r>
              <w:rPr>
                <w:rFonts w:ascii="Times New Roman" w:eastAsia="宋体" w:hAnsi="Times New Roman"/>
                <w:sz w:val="16"/>
                <w:szCs w:val="16"/>
              </w:rPr>
              <w:t xml:space="preserve">19, the Company adopted ASU 2016-02, </w:t>
            </w:r>
            <w:r>
              <w:rPr>
                <w:rFonts w:ascii="Times New Roman" w:eastAsia="宋体" w:hAnsi="Times New Roman"/>
                <w:i/>
                <w:iCs/>
                <w:sz w:val="16"/>
                <w:szCs w:val="16"/>
              </w:rPr>
              <w:t>Leases (Topic 842)</w:t>
            </w:r>
            <w:r>
              <w:rPr>
                <w:rFonts w:ascii="Times New Roman" w:eastAsia="宋体" w:hAnsi="Times New Roman"/>
                <w:sz w:val="16"/>
                <w:szCs w:val="16"/>
              </w:rPr>
              <w:t xml:space="preserve"> under the modified retrospective approach, and thus financial statements prior to fiscal 2020 were not recast for the adoption of this standard. </w:t>
            </w:r>
          </w:p>
        </w:tc>
      </w:tr>
    </w:tbl>
    <w:p w14:paraId="42A116EE" w14:textId="77777777" w:rsidR="00BB68E1" w:rsidRDefault="00BB68E1">
      <w:pPr>
        <w:spacing w:line="288" w:lineRule="auto"/>
        <w:ind w:hanging="480"/>
        <w:rPr>
          <w:rFonts w:ascii="Times New Roman" w:hAnsi="Times New Roman"/>
          <w:sz w:val="16"/>
          <w:szCs w:val="16"/>
        </w:rPr>
      </w:pPr>
    </w:p>
    <w:p w14:paraId="42A116EF" w14:textId="77777777" w:rsidR="00BB68E1" w:rsidRDefault="00BB68E1">
      <w:pPr>
        <w:rPr>
          <w:rFonts w:ascii="Times New Roman" w:hAnsi="Times New Roman"/>
          <w:sz w:val="20"/>
          <w:szCs w:val="20"/>
        </w:rPr>
      </w:pPr>
    </w:p>
    <w:p w14:paraId="42A116F0"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29</w:t>
      </w:r>
    </w:p>
    <w:p w14:paraId="42A116F1" w14:textId="77777777" w:rsidR="00BB68E1" w:rsidRDefault="00BB68E1">
      <w:pPr>
        <w:spacing w:line="288" w:lineRule="auto"/>
        <w:jc w:val="center"/>
        <w:rPr>
          <w:rFonts w:ascii="Times New Roman" w:hAnsi="Times New Roman"/>
          <w:sz w:val="20"/>
          <w:szCs w:val="20"/>
        </w:rPr>
      </w:pPr>
    </w:p>
    <w:p w14:paraId="42A116F2" w14:textId="77777777" w:rsidR="00BB68E1" w:rsidRDefault="005D2D5E">
      <w:r>
        <w:rPr>
          <w:rFonts w:ascii="Times New Roman" w:hAnsi="Times New Roman"/>
          <w:sz w:val="20"/>
          <w:szCs w:val="20"/>
        </w:rPr>
        <w:pict w14:anchorId="42A14294">
          <v:rect id="_x0000_i1053" style="width:415.3pt;height:1.5pt" o:hralign="center" o:hrstd="t" o:hr="t" fillcolor="#a0a0a0" stroked="f"/>
        </w:pict>
      </w:r>
    </w:p>
    <w:p w14:paraId="42A116F3" w14:textId="77777777" w:rsidR="00BB68E1" w:rsidRDefault="00BB68E1">
      <w:pPr>
        <w:spacing w:line="288" w:lineRule="auto"/>
        <w:rPr>
          <w:rFonts w:ascii="Times New Roman" w:hAnsi="Times New Roman"/>
          <w:sz w:val="20"/>
          <w:szCs w:val="20"/>
        </w:rPr>
      </w:pPr>
    </w:p>
    <w:p w14:paraId="42A116F4" w14:textId="77777777" w:rsidR="00BB68E1" w:rsidRDefault="00BB68E1">
      <w:pPr>
        <w:rPr>
          <w:rFonts w:ascii="Times New Roman" w:hAnsi="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BB68E1" w14:paraId="42A116F6" w14:textId="77777777">
        <w:tc>
          <w:tcPr>
            <w:tcW w:w="0" w:type="auto"/>
            <w:gridSpan w:val="2"/>
            <w:shd w:val="clear" w:color="auto" w:fill="auto"/>
            <w:vAlign w:val="center"/>
          </w:tcPr>
          <w:p w14:paraId="42A116F5" w14:textId="77777777" w:rsidR="00BB68E1" w:rsidRDefault="00BB68E1">
            <w:pPr>
              <w:rPr>
                <w:rFonts w:ascii="Times New Roman" w:hAnsi="Times New Roman"/>
                <w:sz w:val="20"/>
                <w:szCs w:val="20"/>
              </w:rPr>
            </w:pPr>
          </w:p>
        </w:tc>
      </w:tr>
      <w:tr w:rsidR="00BB68E1" w14:paraId="42A116F9" w14:textId="77777777">
        <w:tc>
          <w:tcPr>
            <w:tcW w:w="550" w:type="pct"/>
            <w:shd w:val="clear" w:color="auto" w:fill="auto"/>
            <w:vAlign w:val="center"/>
          </w:tcPr>
          <w:p w14:paraId="42A116F7" w14:textId="77777777" w:rsidR="00BB68E1" w:rsidRDefault="00BB68E1">
            <w:pPr>
              <w:rPr>
                <w:rFonts w:ascii="Times New Roman" w:hAnsi="Times New Roman"/>
                <w:sz w:val="20"/>
                <w:szCs w:val="20"/>
              </w:rPr>
            </w:pPr>
          </w:p>
        </w:tc>
        <w:tc>
          <w:tcPr>
            <w:tcW w:w="4450" w:type="pct"/>
            <w:shd w:val="clear" w:color="auto" w:fill="auto"/>
            <w:vAlign w:val="center"/>
          </w:tcPr>
          <w:p w14:paraId="42A116F8" w14:textId="77777777" w:rsidR="00BB68E1" w:rsidRDefault="00BB68E1">
            <w:pPr>
              <w:rPr>
                <w:rFonts w:ascii="Times New Roman" w:hAnsi="Times New Roman"/>
                <w:sz w:val="20"/>
                <w:szCs w:val="20"/>
              </w:rPr>
            </w:pPr>
          </w:p>
        </w:tc>
      </w:tr>
      <w:tr w:rsidR="00BB68E1" w14:paraId="42A116FC" w14:textId="77777777">
        <w:tc>
          <w:tcPr>
            <w:tcW w:w="0" w:type="auto"/>
            <w:shd w:val="clear" w:color="auto" w:fill="auto"/>
            <w:tcMar>
              <w:top w:w="40" w:type="dxa"/>
              <w:left w:w="40" w:type="dxa"/>
              <w:bottom w:w="40" w:type="dxa"/>
              <w:right w:w="40" w:type="dxa"/>
            </w:tcMar>
          </w:tcPr>
          <w:p w14:paraId="42A116FA"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7.</w:t>
            </w:r>
          </w:p>
        </w:tc>
        <w:tc>
          <w:tcPr>
            <w:tcW w:w="0" w:type="auto"/>
            <w:shd w:val="clear" w:color="auto" w:fill="auto"/>
            <w:tcMar>
              <w:top w:w="40" w:type="dxa"/>
              <w:left w:w="40" w:type="dxa"/>
              <w:bottom w:w="40" w:type="dxa"/>
              <w:right w:w="40" w:type="dxa"/>
            </w:tcMar>
          </w:tcPr>
          <w:p w14:paraId="42A116FB"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 xml:space="preserve">MANAGEMENT'S </w:t>
            </w:r>
            <w:r>
              <w:rPr>
                <w:rFonts w:ascii="Times New Roman" w:eastAsia="宋体" w:hAnsi="Times New Roman"/>
                <w:b/>
                <w:bCs/>
                <w:sz w:val="20"/>
                <w:szCs w:val="20"/>
                <w:u w:val="single"/>
              </w:rPr>
              <w:t>DISCUSSION AND ANALYSIS OF FINANCIAL CONDITION AND RESULTS OF OPERATIONS</w:t>
            </w:r>
          </w:p>
        </w:tc>
      </w:tr>
    </w:tbl>
    <w:p w14:paraId="42A116FD"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Overview</w:t>
      </w:r>
    </w:p>
    <w:p w14:paraId="42A116F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This discussion, which presents our results for the fiscal years ended January 31, 2020 ("fiscal 2020"), January 31, 2019 ("fiscal 2019") and January 31, 2018 </w:t>
      </w:r>
      <w:r>
        <w:rPr>
          <w:rFonts w:ascii="Times New Roman" w:eastAsia="宋体" w:hAnsi="Times New Roman"/>
          <w:sz w:val="20"/>
          <w:szCs w:val="20"/>
        </w:rPr>
        <w:t>("fiscal 2018") should be read in conjunction with our Consolidated Financial Statements and the accompanying notes. We intend for this discussion to provide the reader with information that will assist in understanding our financial statements, the change</w:t>
      </w:r>
      <w:r>
        <w:rPr>
          <w:rFonts w:ascii="Times New Roman" w:eastAsia="宋体" w:hAnsi="Times New Roman"/>
          <w:sz w:val="20"/>
          <w:szCs w:val="20"/>
        </w:rPr>
        <w:t>s in certain key items in those financial statements from period to period and the primary factors that accounted for those changes. We also discuss certain performance metrics that management uses to assess the Company's performance. Additionally, the dis</w:t>
      </w:r>
      <w:r>
        <w:rPr>
          <w:rFonts w:ascii="Times New Roman" w:eastAsia="宋体" w:hAnsi="Times New Roman"/>
          <w:sz w:val="20"/>
          <w:szCs w:val="20"/>
        </w:rPr>
        <w:t xml:space="preserve">cussion provides information about the financial results of each of the three segments to provide a better understanding of how each of those segments and its results of operations affect the financial condition and results of operations of the Company as </w:t>
      </w:r>
      <w:r>
        <w:rPr>
          <w:rFonts w:ascii="Times New Roman" w:eastAsia="宋体" w:hAnsi="Times New Roman"/>
          <w:sz w:val="20"/>
          <w:szCs w:val="20"/>
        </w:rPr>
        <w:t>a whole.</w:t>
      </w:r>
    </w:p>
    <w:p w14:paraId="42A116F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Throughout this Item 7, we discuss segment operating income, comparable store and club sales and other measures.  Management measures the results of the Company's segments using each segment's operating income, including certain corporate overhead</w:t>
      </w:r>
      <w:r>
        <w:rPr>
          <w:rFonts w:ascii="Times New Roman" w:eastAsia="宋体" w:hAnsi="Times New Roman"/>
          <w:sz w:val="20"/>
          <w:szCs w:val="20"/>
        </w:rPr>
        <w:t xml:space="preserve"> allocations, as well as other measures. From time to time, we revise the measurement of each segment's operating income and other measures as determined by the information regularly reviewed by our chief operating decision maker. </w:t>
      </w:r>
    </w:p>
    <w:p w14:paraId="42A1170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Management also measures</w:t>
      </w:r>
      <w:r>
        <w:rPr>
          <w:rFonts w:ascii="Times New Roman" w:eastAsia="宋体" w:hAnsi="Times New Roman"/>
          <w:sz w:val="20"/>
          <w:szCs w:val="20"/>
        </w:rPr>
        <w:t xml:space="preserve"> the results of comparable store and club sales, or comparable sales, a metric that indicates the performance of our existing stores and clubs by measuring the change in sales for such stores and clubs, including eCommerce sales, for a particular period fr</w:t>
      </w:r>
      <w:r>
        <w:rPr>
          <w:rFonts w:ascii="Times New Roman" w:eastAsia="宋体" w:hAnsi="Times New Roman"/>
          <w:sz w:val="20"/>
          <w:szCs w:val="20"/>
        </w:rPr>
        <w:t xml:space="preserve">om the corresponding </w:t>
      </w:r>
      <w:r>
        <w:rPr>
          <w:rFonts w:ascii="Times New Roman" w:eastAsia="宋体" w:hAnsi="Times New Roman"/>
          <w:sz w:val="20"/>
          <w:szCs w:val="20"/>
        </w:rPr>
        <w:lastRenderedPageBreak/>
        <w:t>period in the previous year. Walmart's definition of comparable sales includes sales from stores and clubs open for the previous 12 months, including remodels, relocations, expansions and conversions, as well as eCommerce sales. We mea</w:t>
      </w:r>
      <w:r>
        <w:rPr>
          <w:rFonts w:ascii="Times New Roman" w:eastAsia="宋体" w:hAnsi="Times New Roman"/>
          <w:sz w:val="20"/>
          <w:szCs w:val="20"/>
        </w:rPr>
        <w:t>sure the eCommerce sales impact by including all sales initiated online or through mobile applications, including omni-channel transactions which are fulfilled through our stores and clubs. Sales at a store that has changed in format are excluded from comp</w:t>
      </w:r>
      <w:r>
        <w:rPr>
          <w:rFonts w:ascii="Times New Roman" w:eastAsia="宋体" w:hAnsi="Times New Roman"/>
          <w:sz w:val="20"/>
          <w:szCs w:val="20"/>
        </w:rPr>
        <w:t>arable sales when the conversion of that store is accompanied by a relocation or expansion that results in a change in the store's retail square feet of more than five percent. Additionally, sales related to acquisitions are excluded until such acquisition</w:t>
      </w:r>
      <w:r>
        <w:rPr>
          <w:rFonts w:ascii="Times New Roman" w:eastAsia="宋体" w:hAnsi="Times New Roman"/>
          <w:sz w:val="20"/>
          <w:szCs w:val="20"/>
        </w:rPr>
        <w:t>s have been owned for 12 months. Comparable sales are also referred to as "same-store" sales by others within the retail industry. The method of calculating comparable sales varies across the retail industry. As a result, our calculation of comparable sale</w:t>
      </w:r>
      <w:r>
        <w:rPr>
          <w:rFonts w:ascii="Times New Roman" w:eastAsia="宋体" w:hAnsi="Times New Roman"/>
          <w:sz w:val="20"/>
          <w:szCs w:val="20"/>
        </w:rPr>
        <w:t>s is not necessarily comparable to similarly titled measures reported by other companies.</w:t>
      </w:r>
    </w:p>
    <w:p w14:paraId="42A1170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Beginning with the first quarter of fiscal 2020, we updated our definition of what was previously referred to as traffic (a component, along with ticket, of comparabl</w:t>
      </w:r>
      <w:r>
        <w:rPr>
          <w:rFonts w:ascii="Times New Roman" w:eastAsia="宋体" w:hAnsi="Times New Roman"/>
          <w:sz w:val="20"/>
          <w:szCs w:val="20"/>
        </w:rPr>
        <w:t>e sales). Traffic is now referred to as "transactions" and measures a percentage change in the number of sales transactions in our comparable stores, as well as for comparable eCommerce activity.</w:t>
      </w:r>
    </w:p>
    <w:p w14:paraId="42A1170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discussing our operating results, the term currency excha</w:t>
      </w:r>
      <w:r>
        <w:rPr>
          <w:rFonts w:ascii="Times New Roman" w:eastAsia="宋体" w:hAnsi="Times New Roman"/>
          <w:sz w:val="20"/>
          <w:szCs w:val="20"/>
        </w:rPr>
        <w:t>nge rates refers to the currency exchange rates we use to convert the operating results for countries where the functional currency is not the U.S. dollar into U.S. dollars or for countries experiencing hyperinflation. We calculate the effect of changes in</w:t>
      </w:r>
      <w:r>
        <w:rPr>
          <w:rFonts w:ascii="Times New Roman" w:eastAsia="宋体" w:hAnsi="Times New Roman"/>
          <w:sz w:val="20"/>
          <w:szCs w:val="20"/>
        </w:rPr>
        <w:t xml:space="preserve"> currency exchange rates as the difference between current period activity translated using the current period’s currency exchange rates and the comparable prior year period’s currency exchange rates. Additionally, no currency exchange rate fluctuations ar</w:t>
      </w:r>
      <w:r>
        <w:rPr>
          <w:rFonts w:ascii="Times New Roman" w:eastAsia="宋体" w:hAnsi="Times New Roman"/>
          <w:sz w:val="20"/>
          <w:szCs w:val="20"/>
        </w:rPr>
        <w:t>e calculated for non-USD acquisitions until owned for 12 months. Throughout our discussion, we refer to the results of this calculation as the impact of currency exchange rate fluctuations. Volatility in currency exchange rates may impact the results, incl</w:t>
      </w:r>
      <w:r>
        <w:rPr>
          <w:rFonts w:ascii="Times New Roman" w:eastAsia="宋体" w:hAnsi="Times New Roman"/>
          <w:sz w:val="20"/>
          <w:szCs w:val="20"/>
        </w:rPr>
        <w:t>uding net sales and operating income, of the Company and the Walmart International segment in the future.</w:t>
      </w:r>
    </w:p>
    <w:p w14:paraId="42A1170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Our business is seasonal to a certain extent due to calendar events and national and religious holidays, as well as weather patterns. Generally, our h</w:t>
      </w:r>
      <w:r>
        <w:rPr>
          <w:rFonts w:ascii="Times New Roman" w:eastAsia="宋体" w:hAnsi="Times New Roman"/>
          <w:sz w:val="20"/>
          <w:szCs w:val="20"/>
        </w:rPr>
        <w:t xml:space="preserve">ighest sales volume and operating income have occurred in the fiscal quarter ending January 31. </w:t>
      </w:r>
    </w:p>
    <w:p w14:paraId="42A1170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have taken strategic actions to strengthen our portfolio for the long-term, including:</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1707" w14:textId="77777777">
        <w:trPr>
          <w:tblCellSpacing w:w="0" w:type="dxa"/>
        </w:trPr>
        <w:tc>
          <w:tcPr>
            <w:tcW w:w="960" w:type="dxa"/>
            <w:shd w:val="clear" w:color="auto" w:fill="auto"/>
            <w:vAlign w:val="center"/>
          </w:tcPr>
          <w:p w14:paraId="42A11705" w14:textId="77777777" w:rsidR="00BB68E1" w:rsidRDefault="00BB68E1">
            <w:pPr>
              <w:rPr>
                <w:rFonts w:ascii="Times New Roman" w:hAnsi="Times New Roman"/>
                <w:sz w:val="20"/>
                <w:szCs w:val="20"/>
              </w:rPr>
            </w:pPr>
          </w:p>
        </w:tc>
        <w:tc>
          <w:tcPr>
            <w:tcW w:w="0" w:type="auto"/>
            <w:shd w:val="clear" w:color="auto" w:fill="auto"/>
            <w:vAlign w:val="center"/>
          </w:tcPr>
          <w:p w14:paraId="42A11706" w14:textId="77777777" w:rsidR="00BB68E1" w:rsidRDefault="00BB68E1">
            <w:pPr>
              <w:rPr>
                <w:rFonts w:ascii="Times New Roman" w:hAnsi="Times New Roman"/>
                <w:sz w:val="20"/>
                <w:szCs w:val="20"/>
              </w:rPr>
            </w:pPr>
          </w:p>
        </w:tc>
      </w:tr>
      <w:tr w:rsidR="00BB68E1" w14:paraId="42A1170A" w14:textId="77777777">
        <w:trPr>
          <w:tblCellSpacing w:w="0" w:type="dxa"/>
        </w:trPr>
        <w:tc>
          <w:tcPr>
            <w:tcW w:w="0" w:type="auto"/>
            <w:shd w:val="clear" w:color="auto" w:fill="auto"/>
          </w:tcPr>
          <w:p w14:paraId="42A11708"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1709"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Acquisition of 81 percent of the outstanding shares, or 77 percent of the diluted shares, of Flipkart Private Limited ("Flipkart") in August 2018, which negatively impacted fiscal 2020 and 2019 net income. Refer to </w:t>
            </w:r>
            <w:hyperlink r:id="rId86" w:anchor="sF3EC33622B9D5E9FA81B9AF6D8900DC8" w:history="1">
              <w:r>
                <w:rPr>
                  <w:rStyle w:val="a5"/>
                  <w:rFonts w:ascii="Times New Roman" w:eastAsia="宋体" w:hAnsi="Times New Roman"/>
                  <w:sz w:val="20"/>
                  <w:szCs w:val="20"/>
                </w:rPr>
                <w:t>Note 12</w:t>
              </w:r>
            </w:hyperlink>
            <w:r>
              <w:rPr>
                <w:rFonts w:ascii="Times New Roman" w:eastAsia="宋体" w:hAnsi="Times New Roman"/>
                <w:sz w:val="20"/>
                <w:szCs w:val="20"/>
              </w:rPr>
              <w:t xml:space="preserve"> for additional information on the transaction. </w:t>
            </w:r>
          </w:p>
        </w:tc>
      </w:tr>
    </w:tbl>
    <w:p w14:paraId="42A1170B"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170E" w14:textId="77777777">
        <w:trPr>
          <w:tblCellSpacing w:w="0" w:type="dxa"/>
        </w:trPr>
        <w:tc>
          <w:tcPr>
            <w:tcW w:w="960" w:type="dxa"/>
            <w:shd w:val="clear" w:color="auto" w:fill="auto"/>
            <w:vAlign w:val="center"/>
          </w:tcPr>
          <w:p w14:paraId="42A1170C" w14:textId="77777777" w:rsidR="00BB68E1" w:rsidRDefault="00BB68E1">
            <w:pPr>
              <w:rPr>
                <w:rFonts w:ascii="Times New Roman" w:hAnsi="Times New Roman"/>
                <w:sz w:val="20"/>
                <w:szCs w:val="20"/>
              </w:rPr>
            </w:pPr>
          </w:p>
        </w:tc>
        <w:tc>
          <w:tcPr>
            <w:tcW w:w="0" w:type="auto"/>
            <w:shd w:val="clear" w:color="auto" w:fill="auto"/>
            <w:vAlign w:val="center"/>
          </w:tcPr>
          <w:p w14:paraId="42A1170D" w14:textId="77777777" w:rsidR="00BB68E1" w:rsidRDefault="00BB68E1">
            <w:pPr>
              <w:rPr>
                <w:rFonts w:ascii="Times New Roman" w:hAnsi="Times New Roman"/>
                <w:sz w:val="20"/>
                <w:szCs w:val="20"/>
              </w:rPr>
            </w:pPr>
          </w:p>
        </w:tc>
      </w:tr>
      <w:tr w:rsidR="00BB68E1" w14:paraId="42A11711" w14:textId="77777777">
        <w:trPr>
          <w:tblCellSpacing w:w="0" w:type="dxa"/>
        </w:trPr>
        <w:tc>
          <w:tcPr>
            <w:tcW w:w="0" w:type="auto"/>
            <w:shd w:val="clear" w:color="auto" w:fill="auto"/>
          </w:tcPr>
          <w:p w14:paraId="42A1170F"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1710"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Divestiture of 80 percent of Walmart Brazil to Advent International ("Advent"</w:t>
            </w:r>
            <w:r>
              <w:rPr>
                <w:rFonts w:ascii="Times New Roman" w:eastAsia="宋体" w:hAnsi="Times New Roman"/>
                <w:sz w:val="20"/>
                <w:szCs w:val="20"/>
              </w:rPr>
              <w:t xml:space="preserve">) in August 2018, for which we recorded a pre-tax loss of $4.8 billion in fiscal 2019. Refer to </w:t>
            </w:r>
            <w:hyperlink r:id="rId87" w:anchor="sF3EC33622B9D5E9FA81B9AF6D8900DC8" w:history="1">
              <w:r>
                <w:rPr>
                  <w:rStyle w:val="a5"/>
                  <w:rFonts w:ascii="Times New Roman" w:eastAsia="宋体" w:hAnsi="Times New Roman"/>
                  <w:sz w:val="20"/>
                  <w:szCs w:val="20"/>
                </w:rPr>
                <w:t>Note 1</w:t>
              </w:r>
              <w:r>
                <w:rPr>
                  <w:rStyle w:val="a5"/>
                  <w:rFonts w:ascii="Times New Roman" w:eastAsia="宋体" w:hAnsi="Times New Roman"/>
                  <w:sz w:val="20"/>
                  <w:szCs w:val="20"/>
                </w:rPr>
                <w:t>2</w:t>
              </w:r>
            </w:hyperlink>
            <w:r>
              <w:rPr>
                <w:rFonts w:ascii="Times New Roman" w:eastAsia="宋体" w:hAnsi="Times New Roman"/>
                <w:sz w:val="20"/>
                <w:szCs w:val="20"/>
              </w:rPr>
              <w:t xml:space="preserve"> for additional information on the transaction.</w:t>
            </w:r>
          </w:p>
        </w:tc>
      </w:tr>
    </w:tbl>
    <w:p w14:paraId="42A11712"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1715" w14:textId="77777777">
        <w:trPr>
          <w:tblCellSpacing w:w="0" w:type="dxa"/>
        </w:trPr>
        <w:tc>
          <w:tcPr>
            <w:tcW w:w="960" w:type="dxa"/>
            <w:shd w:val="clear" w:color="auto" w:fill="auto"/>
            <w:vAlign w:val="center"/>
          </w:tcPr>
          <w:p w14:paraId="42A11713" w14:textId="77777777" w:rsidR="00BB68E1" w:rsidRDefault="00BB68E1">
            <w:pPr>
              <w:rPr>
                <w:rFonts w:ascii="Times New Roman" w:hAnsi="Times New Roman"/>
                <w:sz w:val="20"/>
                <w:szCs w:val="20"/>
              </w:rPr>
            </w:pPr>
          </w:p>
        </w:tc>
        <w:tc>
          <w:tcPr>
            <w:tcW w:w="0" w:type="auto"/>
            <w:shd w:val="clear" w:color="auto" w:fill="auto"/>
            <w:vAlign w:val="center"/>
          </w:tcPr>
          <w:p w14:paraId="42A11714" w14:textId="77777777" w:rsidR="00BB68E1" w:rsidRDefault="00BB68E1">
            <w:pPr>
              <w:rPr>
                <w:rFonts w:ascii="Times New Roman" w:hAnsi="Times New Roman"/>
                <w:sz w:val="20"/>
                <w:szCs w:val="20"/>
              </w:rPr>
            </w:pPr>
          </w:p>
        </w:tc>
      </w:tr>
      <w:tr w:rsidR="00BB68E1" w14:paraId="42A11718" w14:textId="77777777">
        <w:trPr>
          <w:tblCellSpacing w:w="0" w:type="dxa"/>
        </w:trPr>
        <w:tc>
          <w:tcPr>
            <w:tcW w:w="0" w:type="auto"/>
            <w:shd w:val="clear" w:color="auto" w:fill="auto"/>
          </w:tcPr>
          <w:p w14:paraId="42A11716"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1717"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Divestiture of banking operations in Walmart Chile and Walmart Canada in December 2018 and April 2019, respectively.</w:t>
            </w:r>
          </w:p>
        </w:tc>
      </w:tr>
    </w:tbl>
    <w:p w14:paraId="42A11719"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171C" w14:textId="77777777">
        <w:trPr>
          <w:tblCellSpacing w:w="0" w:type="dxa"/>
        </w:trPr>
        <w:tc>
          <w:tcPr>
            <w:tcW w:w="960" w:type="dxa"/>
            <w:shd w:val="clear" w:color="auto" w:fill="auto"/>
            <w:vAlign w:val="center"/>
          </w:tcPr>
          <w:p w14:paraId="42A1171A" w14:textId="77777777" w:rsidR="00BB68E1" w:rsidRDefault="00BB68E1">
            <w:pPr>
              <w:rPr>
                <w:rFonts w:ascii="Times New Roman" w:hAnsi="Times New Roman"/>
                <w:sz w:val="20"/>
                <w:szCs w:val="20"/>
              </w:rPr>
            </w:pPr>
          </w:p>
        </w:tc>
        <w:tc>
          <w:tcPr>
            <w:tcW w:w="0" w:type="auto"/>
            <w:shd w:val="clear" w:color="auto" w:fill="auto"/>
            <w:vAlign w:val="center"/>
          </w:tcPr>
          <w:p w14:paraId="42A1171B" w14:textId="77777777" w:rsidR="00BB68E1" w:rsidRDefault="00BB68E1">
            <w:pPr>
              <w:rPr>
                <w:rFonts w:ascii="Times New Roman" w:hAnsi="Times New Roman"/>
                <w:sz w:val="20"/>
                <w:szCs w:val="20"/>
              </w:rPr>
            </w:pPr>
          </w:p>
        </w:tc>
      </w:tr>
      <w:tr w:rsidR="00BB68E1" w14:paraId="42A1171F" w14:textId="77777777">
        <w:trPr>
          <w:tblCellSpacing w:w="0" w:type="dxa"/>
        </w:trPr>
        <w:tc>
          <w:tcPr>
            <w:tcW w:w="0" w:type="auto"/>
            <w:shd w:val="clear" w:color="auto" w:fill="auto"/>
          </w:tcPr>
          <w:p w14:paraId="42A1171D"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171E"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Asda made a $1.0 billion cash contribution to the Asda Group Pension Scheme (the "Plan") in October 2019 which enabled the Plan to purchase a bulk insurance annuity contract for the benefit of Plan participants in anticipation that each Plan participant wi</w:t>
            </w:r>
            <w:r>
              <w:rPr>
                <w:rFonts w:ascii="Times New Roman" w:eastAsia="宋体" w:hAnsi="Times New Roman"/>
                <w:sz w:val="20"/>
                <w:szCs w:val="20"/>
              </w:rPr>
              <w:t>ll be issued an individual annuity contract.  The issuer of the individual annuity insurance contracts will be solely responsible for paying each participant’s benefits in full and will release the Plan and Asda from any future obligations. Once all Plan p</w:t>
            </w:r>
            <w:r>
              <w:rPr>
                <w:rFonts w:ascii="Times New Roman" w:eastAsia="宋体" w:hAnsi="Times New Roman"/>
                <w:sz w:val="20"/>
                <w:szCs w:val="20"/>
              </w:rPr>
              <w:t xml:space="preserve">articipants have been issued individual annuity contracts, we currently </w:t>
            </w:r>
          </w:p>
        </w:tc>
      </w:tr>
    </w:tbl>
    <w:p w14:paraId="42A11720" w14:textId="77777777" w:rsidR="00BB68E1" w:rsidRDefault="00BB68E1">
      <w:pPr>
        <w:rPr>
          <w:rFonts w:ascii="Times New Roman" w:hAnsi="Times New Roman"/>
          <w:sz w:val="20"/>
          <w:szCs w:val="20"/>
        </w:rPr>
      </w:pPr>
    </w:p>
    <w:p w14:paraId="42A11721"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30</w:t>
      </w:r>
    </w:p>
    <w:p w14:paraId="42A11722" w14:textId="77777777" w:rsidR="00BB68E1" w:rsidRDefault="00BB68E1">
      <w:pPr>
        <w:spacing w:line="288" w:lineRule="auto"/>
        <w:jc w:val="center"/>
        <w:rPr>
          <w:rFonts w:ascii="Times New Roman" w:hAnsi="Times New Roman"/>
          <w:sz w:val="20"/>
          <w:szCs w:val="20"/>
        </w:rPr>
      </w:pPr>
    </w:p>
    <w:p w14:paraId="42A11723" w14:textId="77777777" w:rsidR="00BB68E1" w:rsidRDefault="005D2D5E">
      <w:r>
        <w:rPr>
          <w:rFonts w:ascii="Times New Roman" w:hAnsi="Times New Roman"/>
          <w:sz w:val="20"/>
          <w:szCs w:val="20"/>
        </w:rPr>
        <w:lastRenderedPageBreak/>
        <w:pict w14:anchorId="42A14295">
          <v:rect id="_x0000_i1054" style="width:415.3pt;height:1.5pt" o:hralign="center" o:hrstd="t" o:hr="t" fillcolor="#a0a0a0" stroked="f"/>
        </w:pict>
      </w:r>
    </w:p>
    <w:p w14:paraId="42A11724" w14:textId="77777777" w:rsidR="00BB68E1" w:rsidRDefault="00BB68E1">
      <w:pPr>
        <w:spacing w:line="288" w:lineRule="auto"/>
        <w:rPr>
          <w:rFonts w:ascii="Times New Roman" w:hAnsi="Times New Roman"/>
          <w:sz w:val="20"/>
          <w:szCs w:val="20"/>
        </w:rPr>
      </w:pPr>
    </w:p>
    <w:p w14:paraId="42A11725" w14:textId="77777777" w:rsidR="00BB68E1" w:rsidRDefault="00BB68E1">
      <w:pPr>
        <w:rPr>
          <w:rFonts w:ascii="Times New Roman" w:hAnsi="Times New Roman"/>
          <w:sz w:val="20"/>
          <w:szCs w:val="20"/>
        </w:rPr>
      </w:pPr>
    </w:p>
    <w:p w14:paraId="42A1172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estimate that we will recognize a total, pre-tax charge of approximately $2.2 billion related to the pension settlement in late fiscal 2021 or early fiscal 2022. Refer </w:t>
      </w:r>
      <w:r>
        <w:rPr>
          <w:rFonts w:ascii="Times New Roman" w:eastAsia="宋体" w:hAnsi="Times New Roman"/>
          <w:sz w:val="20"/>
          <w:szCs w:val="20"/>
        </w:rPr>
        <w:t>to </w:t>
      </w:r>
      <w:hyperlink r:id="rId88" w:anchor="s05C5215504E85C4C8AE815B94A409275" w:history="1">
        <w:r>
          <w:rPr>
            <w:rStyle w:val="a5"/>
            <w:rFonts w:ascii="Times New Roman" w:eastAsia="宋体" w:hAnsi="Times New Roman"/>
            <w:sz w:val="20"/>
            <w:szCs w:val="20"/>
          </w:rPr>
          <w:t>Note 11</w:t>
        </w:r>
      </w:hyperlink>
      <w:r>
        <w:rPr>
          <w:rFonts w:ascii="Times New Roman" w:eastAsia="宋体" w:hAnsi="Times New Roman"/>
          <w:sz w:val="20"/>
          <w:szCs w:val="20"/>
        </w:rPr>
        <w:t> for additional information on the transaction.</w:t>
      </w:r>
    </w:p>
    <w:p w14:paraId="42A1172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operate in the highly competitive omni</w:t>
      </w:r>
      <w:r>
        <w:rPr>
          <w:rFonts w:ascii="Times New Roman" w:eastAsia="宋体" w:hAnsi="Times New Roman"/>
          <w:sz w:val="20"/>
          <w:szCs w:val="20"/>
        </w:rPr>
        <w:t>-channel retail industry in all of the markets we serve. We face strong sales competition from other discount, department, drug, dollar, variety and specialty stores, warehouse clubs and supermarkets, as well as eCommerce businesses. Many of these competit</w:t>
      </w:r>
      <w:r>
        <w:rPr>
          <w:rFonts w:ascii="Times New Roman" w:eastAsia="宋体" w:hAnsi="Times New Roman"/>
          <w:sz w:val="20"/>
          <w:szCs w:val="20"/>
        </w:rPr>
        <w:t>ors are national, regional or international chains or have a national or international omni-channel or eCommerce presence. We compete with a number of companies for attracting and retaining quality employees ("associates"). We, along with other retail comp</w:t>
      </w:r>
      <w:r>
        <w:rPr>
          <w:rFonts w:ascii="Times New Roman" w:eastAsia="宋体" w:hAnsi="Times New Roman"/>
          <w:sz w:val="20"/>
          <w:szCs w:val="20"/>
        </w:rPr>
        <w:t>anies, are influenced by a number of factors including, but not limited to: catastrophic events, weather, global health epidemics, competitive pressures, consumer disposable income, consumer debt levels and buying patterns, consumer credit availability, co</w:t>
      </w:r>
      <w:r>
        <w:rPr>
          <w:rFonts w:ascii="Times New Roman" w:eastAsia="宋体" w:hAnsi="Times New Roman"/>
          <w:sz w:val="20"/>
          <w:szCs w:val="20"/>
        </w:rPr>
        <w:t>st of goods, currency exchange rate fluctuations, customer preferences, deflation, inflation, fuel and energy prices, general economic conditions, insurance costs, interest rates, labor costs, tax rates, the imposition of tariffs, cybersecurity attacks and</w:t>
      </w:r>
      <w:r>
        <w:rPr>
          <w:rFonts w:ascii="Times New Roman" w:eastAsia="宋体" w:hAnsi="Times New Roman"/>
          <w:sz w:val="20"/>
          <w:szCs w:val="20"/>
        </w:rPr>
        <w:t xml:space="preserve"> unemployment. Additionally, we are monitoring the potential impact of the recent coronavirus outbreak to our global business. Its financial impact is unknown at this time. Further information on the factors that can affect our operating results and on cer</w:t>
      </w:r>
      <w:r>
        <w:rPr>
          <w:rFonts w:ascii="Times New Roman" w:eastAsia="宋体" w:hAnsi="Times New Roman"/>
          <w:sz w:val="20"/>
          <w:szCs w:val="20"/>
        </w:rPr>
        <w:t>tain risks to our Company and an investment in its securities can be found herein under "</w:t>
      </w:r>
      <w:hyperlink r:id="rId89" w:anchor="s7B5987C7074851A38C2BDBF2DED3E8FF" w:history="1">
        <w:r>
          <w:rPr>
            <w:rStyle w:val="a5"/>
            <w:rFonts w:ascii="Times New Roman" w:eastAsia="宋体" w:hAnsi="Times New Roman"/>
            <w:sz w:val="20"/>
            <w:szCs w:val="20"/>
          </w:rPr>
          <w:t>Item 1A. Risk</w:t>
        </w:r>
        <w:r>
          <w:rPr>
            <w:rStyle w:val="a5"/>
            <w:rFonts w:ascii="Times New Roman" w:eastAsia="宋体" w:hAnsi="Times New Roman"/>
            <w:sz w:val="20"/>
            <w:szCs w:val="20"/>
          </w:rPr>
          <w:t xml:space="preserve"> Factors</w:t>
        </w:r>
      </w:hyperlink>
      <w:r>
        <w:rPr>
          <w:rFonts w:ascii="Times New Roman" w:eastAsia="宋体" w:hAnsi="Times New Roman"/>
          <w:sz w:val="20"/>
          <w:szCs w:val="20"/>
        </w:rPr>
        <w:t>," and under "</w:t>
      </w:r>
      <w:hyperlink r:id="rId90" w:anchor="s085F1424580D57BB8198BC910D857427" w:history="1">
        <w:r>
          <w:rPr>
            <w:rStyle w:val="a5"/>
            <w:rFonts w:ascii="Times New Roman" w:eastAsia="宋体" w:hAnsi="Times New Roman"/>
            <w:sz w:val="20"/>
            <w:szCs w:val="20"/>
          </w:rPr>
          <w:t>Cautionary Statement Regarding Forward-Looking Statements</w:t>
        </w:r>
      </w:hyperlink>
      <w:r>
        <w:rPr>
          <w:rFonts w:ascii="Times New Roman" w:eastAsia="宋体" w:hAnsi="Times New Roman"/>
          <w:sz w:val="20"/>
          <w:szCs w:val="20"/>
        </w:rPr>
        <w:t>."</w:t>
      </w:r>
    </w:p>
    <w:p w14:paraId="42A11728"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Company Perfor</w:t>
      </w:r>
      <w:r>
        <w:rPr>
          <w:rFonts w:ascii="Times New Roman" w:eastAsia="宋体" w:hAnsi="Times New Roman"/>
          <w:b/>
          <w:bCs/>
          <w:sz w:val="20"/>
          <w:szCs w:val="20"/>
        </w:rPr>
        <w:t>mance Metrics</w:t>
      </w:r>
    </w:p>
    <w:p w14:paraId="42A1172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We are committed to helping customers save money and live better through everyday low prices, supported by everyday low costs.  At times, we adjust our business strategies to maintain and strengthen our competitive positions in the countries </w:t>
      </w:r>
      <w:r>
        <w:rPr>
          <w:rFonts w:ascii="Times New Roman" w:eastAsia="宋体" w:hAnsi="Times New Roman"/>
          <w:sz w:val="20"/>
          <w:szCs w:val="20"/>
        </w:rPr>
        <w:t>in which we operate.  We define our financial framework as:</w:t>
      </w:r>
    </w:p>
    <w:tbl>
      <w:tblPr>
        <w:tblW w:w="0" w:type="auto"/>
        <w:tblCellSpacing w:w="0" w:type="dxa"/>
        <w:tblCellMar>
          <w:left w:w="0" w:type="dxa"/>
          <w:right w:w="0" w:type="dxa"/>
        </w:tblCellMar>
        <w:tblLook w:val="04A0" w:firstRow="1" w:lastRow="0" w:firstColumn="1" w:lastColumn="0" w:noHBand="0" w:noVBand="1"/>
      </w:tblPr>
      <w:tblGrid>
        <w:gridCol w:w="960"/>
        <w:gridCol w:w="1939"/>
      </w:tblGrid>
      <w:tr w:rsidR="00BB68E1" w14:paraId="42A1172C" w14:textId="77777777">
        <w:trPr>
          <w:tblCellSpacing w:w="0" w:type="dxa"/>
        </w:trPr>
        <w:tc>
          <w:tcPr>
            <w:tcW w:w="960" w:type="dxa"/>
            <w:shd w:val="clear" w:color="auto" w:fill="auto"/>
            <w:vAlign w:val="center"/>
          </w:tcPr>
          <w:p w14:paraId="42A1172A" w14:textId="77777777" w:rsidR="00BB68E1" w:rsidRDefault="00BB68E1">
            <w:pPr>
              <w:rPr>
                <w:rFonts w:ascii="Times New Roman" w:hAnsi="Times New Roman"/>
                <w:sz w:val="20"/>
                <w:szCs w:val="20"/>
              </w:rPr>
            </w:pPr>
          </w:p>
        </w:tc>
        <w:tc>
          <w:tcPr>
            <w:tcW w:w="0" w:type="auto"/>
            <w:shd w:val="clear" w:color="auto" w:fill="auto"/>
            <w:vAlign w:val="center"/>
          </w:tcPr>
          <w:p w14:paraId="42A1172B" w14:textId="77777777" w:rsidR="00BB68E1" w:rsidRDefault="00BB68E1">
            <w:pPr>
              <w:rPr>
                <w:rFonts w:ascii="Times New Roman" w:hAnsi="Times New Roman"/>
                <w:sz w:val="20"/>
                <w:szCs w:val="20"/>
              </w:rPr>
            </w:pPr>
          </w:p>
        </w:tc>
      </w:tr>
      <w:tr w:rsidR="00BB68E1" w14:paraId="42A1172F" w14:textId="77777777">
        <w:trPr>
          <w:tblCellSpacing w:w="0" w:type="dxa"/>
        </w:trPr>
        <w:tc>
          <w:tcPr>
            <w:tcW w:w="0" w:type="auto"/>
            <w:shd w:val="clear" w:color="auto" w:fill="auto"/>
          </w:tcPr>
          <w:p w14:paraId="42A1172D"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172E"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strong, efficient growth;</w:t>
            </w:r>
          </w:p>
        </w:tc>
      </w:tr>
    </w:tbl>
    <w:p w14:paraId="42A11730"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828"/>
      </w:tblGrid>
      <w:tr w:rsidR="00BB68E1" w14:paraId="42A11733" w14:textId="77777777">
        <w:trPr>
          <w:tblCellSpacing w:w="0" w:type="dxa"/>
        </w:trPr>
        <w:tc>
          <w:tcPr>
            <w:tcW w:w="960" w:type="dxa"/>
            <w:shd w:val="clear" w:color="auto" w:fill="auto"/>
            <w:vAlign w:val="center"/>
          </w:tcPr>
          <w:p w14:paraId="42A11731" w14:textId="77777777" w:rsidR="00BB68E1" w:rsidRDefault="00BB68E1">
            <w:pPr>
              <w:rPr>
                <w:rFonts w:ascii="Times New Roman" w:hAnsi="Times New Roman"/>
                <w:sz w:val="20"/>
                <w:szCs w:val="20"/>
              </w:rPr>
            </w:pPr>
          </w:p>
        </w:tc>
        <w:tc>
          <w:tcPr>
            <w:tcW w:w="0" w:type="auto"/>
            <w:shd w:val="clear" w:color="auto" w:fill="auto"/>
            <w:vAlign w:val="center"/>
          </w:tcPr>
          <w:p w14:paraId="42A11732" w14:textId="77777777" w:rsidR="00BB68E1" w:rsidRDefault="00BB68E1">
            <w:pPr>
              <w:rPr>
                <w:rFonts w:ascii="Times New Roman" w:hAnsi="Times New Roman"/>
                <w:sz w:val="20"/>
                <w:szCs w:val="20"/>
              </w:rPr>
            </w:pPr>
          </w:p>
        </w:tc>
      </w:tr>
      <w:tr w:rsidR="00BB68E1" w14:paraId="42A11736" w14:textId="77777777">
        <w:trPr>
          <w:tblCellSpacing w:w="0" w:type="dxa"/>
        </w:trPr>
        <w:tc>
          <w:tcPr>
            <w:tcW w:w="0" w:type="auto"/>
            <w:shd w:val="clear" w:color="auto" w:fill="auto"/>
          </w:tcPr>
          <w:p w14:paraId="42A11734"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1735"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consistent operating discipline; and</w:t>
            </w:r>
          </w:p>
        </w:tc>
      </w:tr>
    </w:tbl>
    <w:p w14:paraId="42A11737"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150"/>
      </w:tblGrid>
      <w:tr w:rsidR="00BB68E1" w14:paraId="42A1173A" w14:textId="77777777">
        <w:trPr>
          <w:tblCellSpacing w:w="0" w:type="dxa"/>
        </w:trPr>
        <w:tc>
          <w:tcPr>
            <w:tcW w:w="960" w:type="dxa"/>
            <w:shd w:val="clear" w:color="auto" w:fill="auto"/>
            <w:vAlign w:val="center"/>
          </w:tcPr>
          <w:p w14:paraId="42A11738" w14:textId="77777777" w:rsidR="00BB68E1" w:rsidRDefault="00BB68E1">
            <w:pPr>
              <w:rPr>
                <w:rFonts w:ascii="Times New Roman" w:hAnsi="Times New Roman"/>
                <w:sz w:val="20"/>
                <w:szCs w:val="20"/>
              </w:rPr>
            </w:pPr>
          </w:p>
        </w:tc>
        <w:tc>
          <w:tcPr>
            <w:tcW w:w="0" w:type="auto"/>
            <w:shd w:val="clear" w:color="auto" w:fill="auto"/>
            <w:vAlign w:val="center"/>
          </w:tcPr>
          <w:p w14:paraId="42A11739" w14:textId="77777777" w:rsidR="00BB68E1" w:rsidRDefault="00BB68E1">
            <w:pPr>
              <w:rPr>
                <w:rFonts w:ascii="Times New Roman" w:hAnsi="Times New Roman"/>
                <w:sz w:val="20"/>
                <w:szCs w:val="20"/>
              </w:rPr>
            </w:pPr>
          </w:p>
        </w:tc>
      </w:tr>
      <w:tr w:rsidR="00BB68E1" w14:paraId="42A1173D" w14:textId="77777777">
        <w:trPr>
          <w:tblCellSpacing w:w="0" w:type="dxa"/>
        </w:trPr>
        <w:tc>
          <w:tcPr>
            <w:tcW w:w="0" w:type="auto"/>
            <w:shd w:val="clear" w:color="auto" w:fill="auto"/>
          </w:tcPr>
          <w:p w14:paraId="42A1173B"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173C"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strategic capital allocation.</w:t>
            </w:r>
          </w:p>
        </w:tc>
      </w:tr>
    </w:tbl>
    <w:p w14:paraId="42A1173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As we execute on this financial framework, we believe our returns on capital </w:t>
      </w:r>
      <w:r>
        <w:rPr>
          <w:rFonts w:ascii="Times New Roman" w:eastAsia="宋体" w:hAnsi="Times New Roman"/>
          <w:sz w:val="20"/>
          <w:szCs w:val="20"/>
        </w:rPr>
        <w:t>will improve over time.</w:t>
      </w:r>
    </w:p>
    <w:p w14:paraId="42A1173F"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Strong, Efficient Growth</w:t>
      </w:r>
    </w:p>
    <w:p w14:paraId="42A1174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Our objective of prioritizing strong, efficient growth means we will focus on the most productive growth opportunities, increasing comparable store and club sales, accelerating eCommerce sales growth and </w:t>
      </w:r>
      <w:r>
        <w:rPr>
          <w:rFonts w:ascii="Times New Roman" w:eastAsia="宋体" w:hAnsi="Times New Roman"/>
          <w:sz w:val="20"/>
          <w:szCs w:val="20"/>
        </w:rPr>
        <w:t>expanding omni-channel initiatives while slowing the rate of growth of new stores and clubs. At times, we make strategic investments which are focused on the long-term growth of the Company.</w:t>
      </w:r>
    </w:p>
    <w:p w14:paraId="42A1174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Comparable sales is a metric that indicates the performance of ou</w:t>
      </w:r>
      <w:r>
        <w:rPr>
          <w:rFonts w:ascii="Times New Roman" w:eastAsia="宋体" w:hAnsi="Times New Roman"/>
          <w:sz w:val="20"/>
          <w:szCs w:val="20"/>
        </w:rPr>
        <w:t xml:space="preserve">r existing stores and clubs by measuring the change in sales for such stores and clubs, including eCommerce sales, for a particular period over the corresponding period in the previous year. The retail industry generally reports comparable sales using the </w:t>
      </w:r>
      <w:r>
        <w:rPr>
          <w:rFonts w:ascii="Times New Roman" w:eastAsia="宋体" w:hAnsi="Times New Roman"/>
          <w:sz w:val="20"/>
          <w:szCs w:val="20"/>
        </w:rPr>
        <w:t>retail calendar (also known as the 4-5-4 calendar). To be consistent with the retail industry, we provide comparable sales using the retail calendar in our quarterly earnings releases. However, when we discuss our comparable sales below, we are referring t</w:t>
      </w:r>
      <w:r>
        <w:rPr>
          <w:rFonts w:ascii="Times New Roman" w:eastAsia="宋体" w:hAnsi="Times New Roman"/>
          <w:sz w:val="20"/>
          <w:szCs w:val="20"/>
        </w:rPr>
        <w:t xml:space="preserve">o our calendar comparable sales calculated using our fiscal calendar, which may result in differences when compared to comparable sales using the retail calendar. </w:t>
      </w:r>
    </w:p>
    <w:p w14:paraId="42A1174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Calendar comparable sales, as well as the impact of fuel, for fiscal 2020 and 2019, were as </w:t>
      </w:r>
      <w:r>
        <w:rPr>
          <w:rFonts w:ascii="Times New Roman" w:eastAsia="宋体" w:hAnsi="Times New Roman"/>
          <w:sz w:val="20"/>
          <w:szCs w:val="20"/>
        </w:rPr>
        <w:t>follows:</w:t>
      </w:r>
    </w:p>
    <w:tbl>
      <w:tblPr>
        <w:tblW w:w="5000" w:type="pct"/>
        <w:jc w:val="center"/>
        <w:tblCellMar>
          <w:left w:w="0" w:type="dxa"/>
          <w:right w:w="0" w:type="dxa"/>
        </w:tblCellMar>
        <w:tblLook w:val="04A0" w:firstRow="1" w:lastRow="0" w:firstColumn="1" w:lastColumn="0" w:noHBand="0" w:noVBand="1"/>
      </w:tblPr>
      <w:tblGrid>
        <w:gridCol w:w="3284"/>
        <w:gridCol w:w="130"/>
        <w:gridCol w:w="1125"/>
        <w:gridCol w:w="130"/>
        <w:gridCol w:w="1125"/>
        <w:gridCol w:w="130"/>
        <w:gridCol w:w="1126"/>
        <w:gridCol w:w="130"/>
        <w:gridCol w:w="1126"/>
      </w:tblGrid>
      <w:tr w:rsidR="00BB68E1" w14:paraId="42A11744" w14:textId="77777777">
        <w:trPr>
          <w:jc w:val="center"/>
        </w:trPr>
        <w:tc>
          <w:tcPr>
            <w:tcW w:w="0" w:type="auto"/>
            <w:gridSpan w:val="9"/>
            <w:shd w:val="clear" w:color="auto" w:fill="auto"/>
            <w:vAlign w:val="center"/>
          </w:tcPr>
          <w:p w14:paraId="42A11743" w14:textId="77777777" w:rsidR="00BB68E1" w:rsidRDefault="00BB68E1">
            <w:pPr>
              <w:rPr>
                <w:rFonts w:ascii="Times New Roman" w:hAnsi="Times New Roman"/>
                <w:sz w:val="20"/>
                <w:szCs w:val="20"/>
              </w:rPr>
            </w:pPr>
          </w:p>
        </w:tc>
      </w:tr>
      <w:tr w:rsidR="00BB68E1" w14:paraId="42A1174E" w14:textId="77777777">
        <w:trPr>
          <w:jc w:val="center"/>
        </w:trPr>
        <w:tc>
          <w:tcPr>
            <w:tcW w:w="2000" w:type="pct"/>
            <w:shd w:val="clear" w:color="auto" w:fill="auto"/>
            <w:vAlign w:val="center"/>
          </w:tcPr>
          <w:p w14:paraId="42A11745" w14:textId="77777777" w:rsidR="00BB68E1" w:rsidRDefault="00BB68E1">
            <w:pPr>
              <w:rPr>
                <w:rFonts w:ascii="Times New Roman" w:hAnsi="Times New Roman"/>
                <w:sz w:val="20"/>
                <w:szCs w:val="20"/>
              </w:rPr>
            </w:pPr>
          </w:p>
        </w:tc>
        <w:tc>
          <w:tcPr>
            <w:tcW w:w="50" w:type="pct"/>
            <w:shd w:val="clear" w:color="auto" w:fill="auto"/>
            <w:vAlign w:val="center"/>
          </w:tcPr>
          <w:p w14:paraId="42A11746" w14:textId="77777777" w:rsidR="00BB68E1" w:rsidRDefault="00BB68E1">
            <w:pPr>
              <w:rPr>
                <w:rFonts w:ascii="Times New Roman" w:hAnsi="Times New Roman"/>
                <w:sz w:val="20"/>
                <w:szCs w:val="20"/>
              </w:rPr>
            </w:pPr>
          </w:p>
        </w:tc>
        <w:tc>
          <w:tcPr>
            <w:tcW w:w="700" w:type="pct"/>
            <w:shd w:val="clear" w:color="auto" w:fill="auto"/>
            <w:vAlign w:val="center"/>
          </w:tcPr>
          <w:p w14:paraId="42A11747" w14:textId="77777777" w:rsidR="00BB68E1" w:rsidRDefault="00BB68E1">
            <w:pPr>
              <w:rPr>
                <w:rFonts w:ascii="Times New Roman" w:hAnsi="Times New Roman"/>
                <w:sz w:val="20"/>
                <w:szCs w:val="20"/>
              </w:rPr>
            </w:pPr>
          </w:p>
        </w:tc>
        <w:tc>
          <w:tcPr>
            <w:tcW w:w="50" w:type="pct"/>
            <w:shd w:val="clear" w:color="auto" w:fill="auto"/>
            <w:vAlign w:val="center"/>
          </w:tcPr>
          <w:p w14:paraId="42A11748" w14:textId="77777777" w:rsidR="00BB68E1" w:rsidRDefault="00BB68E1">
            <w:pPr>
              <w:rPr>
                <w:rFonts w:ascii="Times New Roman" w:hAnsi="Times New Roman"/>
                <w:sz w:val="20"/>
                <w:szCs w:val="20"/>
              </w:rPr>
            </w:pPr>
          </w:p>
        </w:tc>
        <w:tc>
          <w:tcPr>
            <w:tcW w:w="700" w:type="pct"/>
            <w:shd w:val="clear" w:color="auto" w:fill="auto"/>
            <w:vAlign w:val="center"/>
          </w:tcPr>
          <w:p w14:paraId="42A11749" w14:textId="77777777" w:rsidR="00BB68E1" w:rsidRDefault="00BB68E1">
            <w:pPr>
              <w:rPr>
                <w:rFonts w:ascii="Times New Roman" w:hAnsi="Times New Roman"/>
                <w:sz w:val="20"/>
                <w:szCs w:val="20"/>
              </w:rPr>
            </w:pPr>
          </w:p>
        </w:tc>
        <w:tc>
          <w:tcPr>
            <w:tcW w:w="50" w:type="pct"/>
            <w:shd w:val="clear" w:color="auto" w:fill="auto"/>
            <w:vAlign w:val="center"/>
          </w:tcPr>
          <w:p w14:paraId="42A1174A" w14:textId="77777777" w:rsidR="00BB68E1" w:rsidRDefault="00BB68E1">
            <w:pPr>
              <w:rPr>
                <w:rFonts w:ascii="Times New Roman" w:hAnsi="Times New Roman"/>
                <w:sz w:val="20"/>
                <w:szCs w:val="20"/>
              </w:rPr>
            </w:pPr>
          </w:p>
        </w:tc>
        <w:tc>
          <w:tcPr>
            <w:tcW w:w="700" w:type="pct"/>
            <w:shd w:val="clear" w:color="auto" w:fill="auto"/>
            <w:vAlign w:val="center"/>
          </w:tcPr>
          <w:p w14:paraId="42A1174B" w14:textId="77777777" w:rsidR="00BB68E1" w:rsidRDefault="00BB68E1">
            <w:pPr>
              <w:rPr>
                <w:rFonts w:ascii="Times New Roman" w:hAnsi="Times New Roman"/>
                <w:sz w:val="20"/>
                <w:szCs w:val="20"/>
              </w:rPr>
            </w:pPr>
          </w:p>
        </w:tc>
        <w:tc>
          <w:tcPr>
            <w:tcW w:w="50" w:type="pct"/>
            <w:shd w:val="clear" w:color="auto" w:fill="auto"/>
            <w:vAlign w:val="center"/>
          </w:tcPr>
          <w:p w14:paraId="42A1174C" w14:textId="77777777" w:rsidR="00BB68E1" w:rsidRDefault="00BB68E1">
            <w:pPr>
              <w:rPr>
                <w:rFonts w:ascii="Times New Roman" w:hAnsi="Times New Roman"/>
                <w:sz w:val="20"/>
                <w:szCs w:val="20"/>
              </w:rPr>
            </w:pPr>
          </w:p>
        </w:tc>
        <w:tc>
          <w:tcPr>
            <w:tcW w:w="700" w:type="pct"/>
            <w:shd w:val="clear" w:color="auto" w:fill="auto"/>
            <w:vAlign w:val="center"/>
          </w:tcPr>
          <w:p w14:paraId="42A1174D" w14:textId="77777777" w:rsidR="00BB68E1" w:rsidRDefault="00BB68E1">
            <w:pPr>
              <w:rPr>
                <w:rFonts w:ascii="Times New Roman" w:hAnsi="Times New Roman"/>
                <w:sz w:val="20"/>
                <w:szCs w:val="20"/>
              </w:rPr>
            </w:pPr>
          </w:p>
        </w:tc>
      </w:tr>
      <w:tr w:rsidR="00BB68E1" w14:paraId="42A11752" w14:textId="77777777">
        <w:trPr>
          <w:jc w:val="center"/>
        </w:trPr>
        <w:tc>
          <w:tcPr>
            <w:tcW w:w="0" w:type="auto"/>
            <w:shd w:val="clear" w:color="auto" w:fill="auto"/>
            <w:tcMar>
              <w:top w:w="40" w:type="dxa"/>
              <w:left w:w="40" w:type="dxa"/>
              <w:bottom w:w="40" w:type="dxa"/>
              <w:right w:w="40" w:type="dxa"/>
            </w:tcMar>
            <w:vAlign w:val="center"/>
          </w:tcPr>
          <w:p w14:paraId="42A1174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175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right w:w="40" w:type="dxa"/>
            </w:tcMar>
            <w:vAlign w:val="center"/>
          </w:tcPr>
          <w:p w14:paraId="42A11751"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175C" w14:textId="77777777">
        <w:trPr>
          <w:jc w:val="center"/>
        </w:trPr>
        <w:tc>
          <w:tcPr>
            <w:tcW w:w="0" w:type="auto"/>
            <w:shd w:val="clear" w:color="auto" w:fill="auto"/>
            <w:tcMar>
              <w:top w:w="40" w:type="dxa"/>
              <w:left w:w="40" w:type="dxa"/>
              <w:bottom w:w="40" w:type="dxa"/>
              <w:right w:w="40" w:type="dxa"/>
            </w:tcMar>
            <w:vAlign w:val="center"/>
          </w:tcPr>
          <w:p w14:paraId="42A1175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lastRenderedPageBreak/>
              <w:t> </w:t>
            </w:r>
          </w:p>
        </w:tc>
        <w:tc>
          <w:tcPr>
            <w:tcW w:w="0" w:type="auto"/>
            <w:shd w:val="clear" w:color="auto" w:fill="auto"/>
            <w:tcMar>
              <w:top w:w="40" w:type="dxa"/>
              <w:left w:w="40" w:type="dxa"/>
              <w:bottom w:w="40" w:type="dxa"/>
              <w:right w:w="40" w:type="dxa"/>
            </w:tcMar>
            <w:vAlign w:val="bottom"/>
          </w:tcPr>
          <w:p w14:paraId="42A117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center"/>
          </w:tcPr>
          <w:p w14:paraId="42A11755"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175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720" w:type="dxa"/>
              <w:bottom w:w="40" w:type="dxa"/>
              <w:right w:w="40" w:type="dxa"/>
            </w:tcMar>
            <w:vAlign w:val="center"/>
          </w:tcPr>
          <w:p w14:paraId="42A11757"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175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center"/>
          </w:tcPr>
          <w:p w14:paraId="42A11759"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175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center"/>
          </w:tcPr>
          <w:p w14:paraId="42A1175B"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2019</w:t>
            </w:r>
          </w:p>
        </w:tc>
      </w:tr>
      <w:tr w:rsidR="00BB68E1" w14:paraId="42A11762" w14:textId="77777777">
        <w:trPr>
          <w:jc w:val="center"/>
        </w:trPr>
        <w:tc>
          <w:tcPr>
            <w:tcW w:w="0" w:type="auto"/>
            <w:shd w:val="clear" w:color="auto" w:fill="auto"/>
            <w:tcMar>
              <w:top w:w="40" w:type="dxa"/>
              <w:left w:w="40" w:type="dxa"/>
              <w:bottom w:w="40" w:type="dxa"/>
              <w:right w:w="40" w:type="dxa"/>
            </w:tcMar>
            <w:vAlign w:val="center"/>
          </w:tcPr>
          <w:p w14:paraId="42A1175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175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2A1175F"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With Fuel</w:t>
            </w:r>
          </w:p>
        </w:tc>
        <w:tc>
          <w:tcPr>
            <w:tcW w:w="0" w:type="auto"/>
            <w:shd w:val="clear" w:color="auto" w:fill="auto"/>
            <w:tcMar>
              <w:top w:w="40" w:type="dxa"/>
              <w:left w:w="40" w:type="dxa"/>
              <w:bottom w:w="40" w:type="dxa"/>
              <w:right w:w="40" w:type="dxa"/>
            </w:tcMar>
            <w:vAlign w:val="bottom"/>
          </w:tcPr>
          <w:p w14:paraId="42A1176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2A11761"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Fuel Impact</w:t>
            </w:r>
          </w:p>
        </w:tc>
      </w:tr>
      <w:tr w:rsidR="00BB68E1" w14:paraId="42A1176C" w14:textId="77777777">
        <w:trPr>
          <w:jc w:val="center"/>
        </w:trPr>
        <w:tc>
          <w:tcPr>
            <w:tcW w:w="0" w:type="auto"/>
            <w:shd w:val="clear" w:color="auto" w:fill="CCEEFF"/>
            <w:tcMar>
              <w:top w:w="40" w:type="dxa"/>
              <w:left w:w="40" w:type="dxa"/>
              <w:bottom w:w="40" w:type="dxa"/>
              <w:right w:w="40" w:type="dxa"/>
            </w:tcMar>
            <w:vAlign w:val="center"/>
          </w:tcPr>
          <w:p w14:paraId="42A1176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Walmart U.S.</w:t>
            </w:r>
          </w:p>
        </w:tc>
        <w:tc>
          <w:tcPr>
            <w:tcW w:w="0" w:type="auto"/>
            <w:shd w:val="clear" w:color="auto" w:fill="CCEEFF"/>
            <w:tcMar>
              <w:top w:w="40" w:type="dxa"/>
              <w:left w:w="40" w:type="dxa"/>
              <w:bottom w:w="40" w:type="dxa"/>
              <w:right w:w="40" w:type="dxa"/>
            </w:tcMar>
            <w:vAlign w:val="bottom"/>
          </w:tcPr>
          <w:p w14:paraId="42A1176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center"/>
          </w:tcPr>
          <w:p w14:paraId="42A11765"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2.9%</w:t>
            </w:r>
          </w:p>
        </w:tc>
        <w:tc>
          <w:tcPr>
            <w:tcW w:w="0" w:type="auto"/>
            <w:shd w:val="clear" w:color="auto" w:fill="CCEEFF"/>
            <w:tcMar>
              <w:top w:w="40" w:type="dxa"/>
              <w:left w:w="40" w:type="dxa"/>
              <w:bottom w:w="40" w:type="dxa"/>
              <w:right w:w="40" w:type="dxa"/>
            </w:tcMar>
            <w:vAlign w:val="bottom"/>
          </w:tcPr>
          <w:p w14:paraId="42A1176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center"/>
          </w:tcPr>
          <w:p w14:paraId="42A11767"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3.7%</w:t>
            </w:r>
          </w:p>
        </w:tc>
        <w:tc>
          <w:tcPr>
            <w:tcW w:w="0" w:type="auto"/>
            <w:shd w:val="clear" w:color="auto" w:fill="CCEEFF"/>
            <w:tcMar>
              <w:top w:w="40" w:type="dxa"/>
              <w:left w:w="40" w:type="dxa"/>
              <w:bottom w:w="40" w:type="dxa"/>
              <w:right w:w="40" w:type="dxa"/>
            </w:tcMar>
            <w:vAlign w:val="bottom"/>
          </w:tcPr>
          <w:p w14:paraId="42A1176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center"/>
          </w:tcPr>
          <w:p w14:paraId="42A11769"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0.0%</w:t>
            </w:r>
          </w:p>
        </w:tc>
        <w:tc>
          <w:tcPr>
            <w:tcW w:w="0" w:type="auto"/>
            <w:shd w:val="clear" w:color="auto" w:fill="CCEEFF"/>
            <w:tcMar>
              <w:top w:w="40" w:type="dxa"/>
              <w:left w:w="40" w:type="dxa"/>
              <w:bottom w:w="40" w:type="dxa"/>
              <w:right w:w="40" w:type="dxa"/>
            </w:tcMar>
            <w:vAlign w:val="bottom"/>
          </w:tcPr>
          <w:p w14:paraId="42A1176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center"/>
          </w:tcPr>
          <w:p w14:paraId="42A1176B"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0.1%</w:t>
            </w:r>
          </w:p>
        </w:tc>
      </w:tr>
      <w:tr w:rsidR="00BB68E1" w14:paraId="42A11776" w14:textId="77777777">
        <w:trPr>
          <w:jc w:val="center"/>
        </w:trPr>
        <w:tc>
          <w:tcPr>
            <w:tcW w:w="0" w:type="auto"/>
            <w:shd w:val="clear" w:color="auto" w:fill="auto"/>
            <w:tcMar>
              <w:top w:w="40" w:type="dxa"/>
              <w:left w:w="40" w:type="dxa"/>
              <w:bottom w:w="40" w:type="dxa"/>
              <w:right w:w="40" w:type="dxa"/>
            </w:tcMar>
            <w:vAlign w:val="center"/>
          </w:tcPr>
          <w:p w14:paraId="42A1176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Sam's Club</w:t>
            </w:r>
          </w:p>
        </w:tc>
        <w:tc>
          <w:tcPr>
            <w:tcW w:w="0" w:type="auto"/>
            <w:shd w:val="clear" w:color="auto" w:fill="auto"/>
            <w:tcMar>
              <w:top w:w="40" w:type="dxa"/>
              <w:left w:w="40" w:type="dxa"/>
              <w:bottom w:w="40" w:type="dxa"/>
              <w:right w:w="40" w:type="dxa"/>
            </w:tcMar>
            <w:vAlign w:val="bottom"/>
          </w:tcPr>
          <w:p w14:paraId="42A117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center"/>
          </w:tcPr>
          <w:p w14:paraId="42A1176F"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1.6%</w:t>
            </w:r>
          </w:p>
        </w:tc>
        <w:tc>
          <w:tcPr>
            <w:tcW w:w="0" w:type="auto"/>
            <w:shd w:val="clear" w:color="auto" w:fill="auto"/>
            <w:tcMar>
              <w:top w:w="40" w:type="dxa"/>
              <w:left w:w="40" w:type="dxa"/>
              <w:bottom w:w="40" w:type="dxa"/>
              <w:right w:w="40" w:type="dxa"/>
            </w:tcMar>
            <w:vAlign w:val="bottom"/>
          </w:tcPr>
          <w:p w14:paraId="42A1177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center"/>
          </w:tcPr>
          <w:p w14:paraId="42A11771"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5.4%</w:t>
            </w:r>
          </w:p>
        </w:tc>
        <w:tc>
          <w:tcPr>
            <w:tcW w:w="0" w:type="auto"/>
            <w:shd w:val="clear" w:color="auto" w:fill="auto"/>
            <w:tcMar>
              <w:top w:w="40" w:type="dxa"/>
              <w:left w:w="40" w:type="dxa"/>
              <w:bottom w:w="40" w:type="dxa"/>
              <w:right w:w="40" w:type="dxa"/>
            </w:tcMar>
            <w:vAlign w:val="bottom"/>
          </w:tcPr>
          <w:p w14:paraId="42A1177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center"/>
          </w:tcPr>
          <w:p w14:paraId="42A11773"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0.8%</w:t>
            </w:r>
          </w:p>
        </w:tc>
        <w:tc>
          <w:tcPr>
            <w:tcW w:w="0" w:type="auto"/>
            <w:shd w:val="clear" w:color="auto" w:fill="auto"/>
            <w:tcMar>
              <w:top w:w="40" w:type="dxa"/>
              <w:left w:w="40" w:type="dxa"/>
              <w:bottom w:w="40" w:type="dxa"/>
              <w:right w:w="40" w:type="dxa"/>
            </w:tcMar>
            <w:vAlign w:val="bottom"/>
          </w:tcPr>
          <w:p w14:paraId="42A1177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center"/>
          </w:tcPr>
          <w:p w14:paraId="42A11775"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1.6%</w:t>
            </w:r>
          </w:p>
        </w:tc>
      </w:tr>
      <w:tr w:rsidR="00BB68E1" w14:paraId="42A11780" w14:textId="77777777">
        <w:trPr>
          <w:jc w:val="center"/>
        </w:trPr>
        <w:tc>
          <w:tcPr>
            <w:tcW w:w="0" w:type="auto"/>
            <w:shd w:val="clear" w:color="auto" w:fill="CCEEFF"/>
            <w:tcMar>
              <w:top w:w="40" w:type="dxa"/>
              <w:left w:w="40" w:type="dxa"/>
              <w:bottom w:w="40" w:type="dxa"/>
              <w:right w:w="40" w:type="dxa"/>
            </w:tcMar>
            <w:vAlign w:val="center"/>
          </w:tcPr>
          <w:p w14:paraId="42A11777"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U.S.</w:t>
            </w:r>
          </w:p>
        </w:tc>
        <w:tc>
          <w:tcPr>
            <w:tcW w:w="0" w:type="auto"/>
            <w:shd w:val="clear" w:color="auto" w:fill="CCEEFF"/>
            <w:tcMar>
              <w:top w:w="40" w:type="dxa"/>
              <w:left w:w="40" w:type="dxa"/>
              <w:bottom w:w="40" w:type="dxa"/>
              <w:right w:w="40" w:type="dxa"/>
            </w:tcMar>
            <w:vAlign w:val="bottom"/>
          </w:tcPr>
          <w:p w14:paraId="42A1177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center"/>
          </w:tcPr>
          <w:p w14:paraId="42A11779"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2.7%</w:t>
            </w:r>
          </w:p>
        </w:tc>
        <w:tc>
          <w:tcPr>
            <w:tcW w:w="0" w:type="auto"/>
            <w:shd w:val="clear" w:color="auto" w:fill="CCEEFF"/>
            <w:tcMar>
              <w:top w:w="40" w:type="dxa"/>
              <w:left w:w="40" w:type="dxa"/>
              <w:bottom w:w="40" w:type="dxa"/>
              <w:right w:w="40" w:type="dxa"/>
            </w:tcMar>
            <w:vAlign w:val="bottom"/>
          </w:tcPr>
          <w:p w14:paraId="42A1177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center"/>
          </w:tcPr>
          <w:p w14:paraId="42A1177B"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4.0%</w:t>
            </w:r>
          </w:p>
        </w:tc>
        <w:tc>
          <w:tcPr>
            <w:tcW w:w="0" w:type="auto"/>
            <w:shd w:val="clear" w:color="auto" w:fill="CCEEFF"/>
            <w:tcMar>
              <w:top w:w="40" w:type="dxa"/>
              <w:left w:w="40" w:type="dxa"/>
              <w:bottom w:w="40" w:type="dxa"/>
              <w:right w:w="40" w:type="dxa"/>
            </w:tcMar>
            <w:vAlign w:val="bottom"/>
          </w:tcPr>
          <w:p w14:paraId="42A117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center"/>
          </w:tcPr>
          <w:p w14:paraId="42A1177D"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0.1%</w:t>
            </w:r>
          </w:p>
        </w:tc>
        <w:tc>
          <w:tcPr>
            <w:tcW w:w="0" w:type="auto"/>
            <w:shd w:val="clear" w:color="auto" w:fill="CCEEFF"/>
            <w:tcMar>
              <w:top w:w="40" w:type="dxa"/>
              <w:left w:w="40" w:type="dxa"/>
              <w:bottom w:w="40" w:type="dxa"/>
              <w:right w:w="40" w:type="dxa"/>
            </w:tcMar>
            <w:vAlign w:val="bottom"/>
          </w:tcPr>
          <w:p w14:paraId="42A1177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center"/>
          </w:tcPr>
          <w:p w14:paraId="42A1177F"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0.4%</w:t>
            </w:r>
          </w:p>
        </w:tc>
      </w:tr>
    </w:tbl>
    <w:p w14:paraId="42A1178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Walmart U.S. comparable sales increased 2.9% and 3.7% in fiscal 2020 and 2019, respectively, driven by ticket and transactions growth. Walmart U.S. eCommerce sales positively contributed approximately 1.7% and 1.3% to comparable sales for fiscal 2020 and 2</w:t>
      </w:r>
      <w:r>
        <w:rPr>
          <w:rFonts w:ascii="Times New Roman" w:eastAsia="宋体" w:hAnsi="Times New Roman"/>
          <w:sz w:val="20"/>
          <w:szCs w:val="20"/>
        </w:rPr>
        <w:t>019, respectively, as we continue to focus on a seamless omni-channel experience for our customers. Sam's Club comparable sales increased 1.6% and 5.4% in fiscal 2020 and 2019, respectively. Sam's Club comparable sales for both fiscal 2020 and 2019 benefit</w:t>
      </w:r>
      <w:r>
        <w:rPr>
          <w:rFonts w:ascii="Times New Roman" w:eastAsia="宋体" w:hAnsi="Times New Roman"/>
          <w:sz w:val="20"/>
          <w:szCs w:val="20"/>
        </w:rPr>
        <w:t>ed from growth in transactions and higher fuel sales, which were partially offset by lower ticket due to our decision to remove tobacco from certain club locations. Sam's Club fiscal 2019 comparable sales were further aided by transfers of sales from our c</w:t>
      </w:r>
      <w:r>
        <w:rPr>
          <w:rFonts w:ascii="Times New Roman" w:eastAsia="宋体" w:hAnsi="Times New Roman"/>
          <w:sz w:val="20"/>
          <w:szCs w:val="20"/>
        </w:rPr>
        <w:t xml:space="preserve">losed clubs to our existing clubs. Sam's Club eCommerce sales positively contributed approximately 1.5% and 0.9% to comparable sales for fiscal 2020 and 2019, respectively. </w:t>
      </w:r>
    </w:p>
    <w:p w14:paraId="42A11782" w14:textId="77777777" w:rsidR="00BB68E1" w:rsidRDefault="00BB68E1">
      <w:pPr>
        <w:rPr>
          <w:rFonts w:ascii="Times New Roman" w:hAnsi="Times New Roman"/>
          <w:sz w:val="20"/>
          <w:szCs w:val="20"/>
        </w:rPr>
      </w:pPr>
    </w:p>
    <w:p w14:paraId="42A11783"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31</w:t>
      </w:r>
    </w:p>
    <w:p w14:paraId="42A11784" w14:textId="77777777" w:rsidR="00BB68E1" w:rsidRDefault="00BB68E1">
      <w:pPr>
        <w:spacing w:line="288" w:lineRule="auto"/>
        <w:jc w:val="center"/>
        <w:rPr>
          <w:rFonts w:ascii="Times New Roman" w:hAnsi="Times New Roman"/>
          <w:sz w:val="20"/>
          <w:szCs w:val="20"/>
        </w:rPr>
      </w:pPr>
    </w:p>
    <w:p w14:paraId="42A11785" w14:textId="77777777" w:rsidR="00BB68E1" w:rsidRDefault="005D2D5E">
      <w:r>
        <w:rPr>
          <w:rFonts w:ascii="Times New Roman" w:hAnsi="Times New Roman"/>
          <w:sz w:val="20"/>
          <w:szCs w:val="20"/>
        </w:rPr>
        <w:pict w14:anchorId="42A14296">
          <v:rect id="_x0000_i1055" style="width:415.3pt;height:1.5pt" o:hralign="center" o:hrstd="t" o:hr="t" fillcolor="#a0a0a0" stroked="f"/>
        </w:pict>
      </w:r>
    </w:p>
    <w:p w14:paraId="42A11786" w14:textId="77777777" w:rsidR="00BB68E1" w:rsidRDefault="00BB68E1">
      <w:pPr>
        <w:spacing w:line="288" w:lineRule="auto"/>
        <w:rPr>
          <w:rFonts w:ascii="Times New Roman" w:hAnsi="Times New Roman"/>
          <w:sz w:val="20"/>
          <w:szCs w:val="20"/>
        </w:rPr>
      </w:pPr>
    </w:p>
    <w:p w14:paraId="42A11787" w14:textId="77777777" w:rsidR="00BB68E1" w:rsidRDefault="00BB68E1">
      <w:pPr>
        <w:rPr>
          <w:rFonts w:ascii="Times New Roman" w:hAnsi="Times New Roman"/>
          <w:sz w:val="20"/>
          <w:szCs w:val="20"/>
        </w:rPr>
      </w:pPr>
    </w:p>
    <w:p w14:paraId="42A11788"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Consistent Operating Discipline</w:t>
      </w:r>
    </w:p>
    <w:p w14:paraId="42A1178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operate with discipline by managing expenses, optimizing the efficiency of how we work and creating an environment in which we have sustainable lowest cost to serve. We invest in technology and process improvements to increase productivity, manage inven</w:t>
      </w:r>
      <w:r>
        <w:rPr>
          <w:rFonts w:ascii="Times New Roman" w:eastAsia="宋体" w:hAnsi="Times New Roman"/>
          <w:sz w:val="20"/>
          <w:szCs w:val="20"/>
        </w:rPr>
        <w:t xml:space="preserve">tory and reduce costs. We measure operating discipline through expense leverage, which we define as net sales growing at a faster rate than operating, selling, general and administrative expenses. </w:t>
      </w:r>
    </w:p>
    <w:tbl>
      <w:tblPr>
        <w:tblW w:w="5000" w:type="pct"/>
        <w:jc w:val="center"/>
        <w:tblCellMar>
          <w:left w:w="0" w:type="dxa"/>
          <w:right w:w="0" w:type="dxa"/>
        </w:tblCellMar>
        <w:tblLook w:val="04A0" w:firstRow="1" w:lastRow="0" w:firstColumn="1" w:lastColumn="0" w:noHBand="0" w:noVBand="1"/>
      </w:tblPr>
      <w:tblGrid>
        <w:gridCol w:w="5863"/>
        <w:gridCol w:w="130"/>
        <w:gridCol w:w="120"/>
        <w:gridCol w:w="797"/>
        <w:gridCol w:w="174"/>
        <w:gridCol w:w="130"/>
        <w:gridCol w:w="120"/>
        <w:gridCol w:w="798"/>
        <w:gridCol w:w="174"/>
      </w:tblGrid>
      <w:tr w:rsidR="00BB68E1" w14:paraId="42A1178B" w14:textId="77777777">
        <w:trPr>
          <w:jc w:val="center"/>
        </w:trPr>
        <w:tc>
          <w:tcPr>
            <w:tcW w:w="0" w:type="auto"/>
            <w:gridSpan w:val="9"/>
            <w:shd w:val="clear" w:color="auto" w:fill="auto"/>
            <w:vAlign w:val="center"/>
          </w:tcPr>
          <w:p w14:paraId="42A1178A" w14:textId="77777777" w:rsidR="00BB68E1" w:rsidRDefault="00BB68E1">
            <w:pPr>
              <w:rPr>
                <w:rFonts w:ascii="Times New Roman" w:hAnsi="Times New Roman"/>
                <w:sz w:val="20"/>
                <w:szCs w:val="20"/>
              </w:rPr>
            </w:pPr>
          </w:p>
        </w:tc>
      </w:tr>
      <w:tr w:rsidR="00BB68E1" w14:paraId="42A11795" w14:textId="77777777">
        <w:trPr>
          <w:jc w:val="center"/>
        </w:trPr>
        <w:tc>
          <w:tcPr>
            <w:tcW w:w="3600" w:type="pct"/>
            <w:shd w:val="clear" w:color="auto" w:fill="auto"/>
            <w:vAlign w:val="center"/>
          </w:tcPr>
          <w:p w14:paraId="42A1178C" w14:textId="77777777" w:rsidR="00BB68E1" w:rsidRDefault="00BB68E1">
            <w:pPr>
              <w:rPr>
                <w:rFonts w:ascii="Times New Roman" w:hAnsi="Times New Roman"/>
                <w:sz w:val="20"/>
                <w:szCs w:val="20"/>
              </w:rPr>
            </w:pPr>
          </w:p>
        </w:tc>
        <w:tc>
          <w:tcPr>
            <w:tcW w:w="50" w:type="pct"/>
            <w:shd w:val="clear" w:color="auto" w:fill="auto"/>
            <w:vAlign w:val="center"/>
          </w:tcPr>
          <w:p w14:paraId="42A1178D" w14:textId="77777777" w:rsidR="00BB68E1" w:rsidRDefault="00BB68E1">
            <w:pPr>
              <w:rPr>
                <w:rFonts w:ascii="Times New Roman" w:hAnsi="Times New Roman"/>
                <w:sz w:val="20"/>
                <w:szCs w:val="20"/>
              </w:rPr>
            </w:pPr>
          </w:p>
        </w:tc>
        <w:tc>
          <w:tcPr>
            <w:tcW w:w="50" w:type="pct"/>
            <w:shd w:val="clear" w:color="auto" w:fill="auto"/>
            <w:vAlign w:val="center"/>
          </w:tcPr>
          <w:p w14:paraId="42A1178E" w14:textId="77777777" w:rsidR="00BB68E1" w:rsidRDefault="00BB68E1">
            <w:pPr>
              <w:rPr>
                <w:rFonts w:ascii="Times New Roman" w:hAnsi="Times New Roman"/>
                <w:sz w:val="20"/>
                <w:szCs w:val="20"/>
              </w:rPr>
            </w:pPr>
          </w:p>
        </w:tc>
        <w:tc>
          <w:tcPr>
            <w:tcW w:w="550" w:type="pct"/>
            <w:shd w:val="clear" w:color="auto" w:fill="auto"/>
            <w:vAlign w:val="center"/>
          </w:tcPr>
          <w:p w14:paraId="42A1178F" w14:textId="77777777" w:rsidR="00BB68E1" w:rsidRDefault="00BB68E1">
            <w:pPr>
              <w:rPr>
                <w:rFonts w:ascii="Times New Roman" w:hAnsi="Times New Roman"/>
                <w:sz w:val="20"/>
                <w:szCs w:val="20"/>
              </w:rPr>
            </w:pPr>
          </w:p>
        </w:tc>
        <w:tc>
          <w:tcPr>
            <w:tcW w:w="50" w:type="pct"/>
            <w:shd w:val="clear" w:color="auto" w:fill="auto"/>
            <w:vAlign w:val="center"/>
          </w:tcPr>
          <w:p w14:paraId="42A11790" w14:textId="77777777" w:rsidR="00BB68E1" w:rsidRDefault="00BB68E1">
            <w:pPr>
              <w:rPr>
                <w:rFonts w:ascii="Times New Roman" w:hAnsi="Times New Roman"/>
                <w:sz w:val="20"/>
                <w:szCs w:val="20"/>
              </w:rPr>
            </w:pPr>
          </w:p>
        </w:tc>
        <w:tc>
          <w:tcPr>
            <w:tcW w:w="50" w:type="pct"/>
            <w:shd w:val="clear" w:color="auto" w:fill="auto"/>
            <w:vAlign w:val="center"/>
          </w:tcPr>
          <w:p w14:paraId="42A11791" w14:textId="77777777" w:rsidR="00BB68E1" w:rsidRDefault="00BB68E1">
            <w:pPr>
              <w:rPr>
                <w:rFonts w:ascii="Times New Roman" w:hAnsi="Times New Roman"/>
                <w:sz w:val="20"/>
                <w:szCs w:val="20"/>
              </w:rPr>
            </w:pPr>
          </w:p>
        </w:tc>
        <w:tc>
          <w:tcPr>
            <w:tcW w:w="50" w:type="pct"/>
            <w:shd w:val="clear" w:color="auto" w:fill="auto"/>
            <w:vAlign w:val="center"/>
          </w:tcPr>
          <w:p w14:paraId="42A11792" w14:textId="77777777" w:rsidR="00BB68E1" w:rsidRDefault="00BB68E1">
            <w:pPr>
              <w:rPr>
                <w:rFonts w:ascii="Times New Roman" w:hAnsi="Times New Roman"/>
                <w:sz w:val="20"/>
                <w:szCs w:val="20"/>
              </w:rPr>
            </w:pPr>
          </w:p>
        </w:tc>
        <w:tc>
          <w:tcPr>
            <w:tcW w:w="550" w:type="pct"/>
            <w:shd w:val="clear" w:color="auto" w:fill="auto"/>
            <w:vAlign w:val="center"/>
          </w:tcPr>
          <w:p w14:paraId="42A11793" w14:textId="77777777" w:rsidR="00BB68E1" w:rsidRDefault="00BB68E1">
            <w:pPr>
              <w:rPr>
                <w:rFonts w:ascii="Times New Roman" w:hAnsi="Times New Roman"/>
                <w:sz w:val="20"/>
                <w:szCs w:val="20"/>
              </w:rPr>
            </w:pPr>
          </w:p>
        </w:tc>
        <w:tc>
          <w:tcPr>
            <w:tcW w:w="50" w:type="pct"/>
            <w:shd w:val="clear" w:color="auto" w:fill="auto"/>
            <w:vAlign w:val="center"/>
          </w:tcPr>
          <w:p w14:paraId="42A11794" w14:textId="77777777" w:rsidR="00BB68E1" w:rsidRDefault="00BB68E1">
            <w:pPr>
              <w:rPr>
                <w:rFonts w:ascii="Times New Roman" w:hAnsi="Times New Roman"/>
                <w:sz w:val="20"/>
                <w:szCs w:val="20"/>
              </w:rPr>
            </w:pPr>
          </w:p>
        </w:tc>
      </w:tr>
      <w:tr w:rsidR="00BB68E1" w14:paraId="42A11799" w14:textId="77777777">
        <w:trPr>
          <w:jc w:val="center"/>
        </w:trPr>
        <w:tc>
          <w:tcPr>
            <w:tcW w:w="0" w:type="auto"/>
            <w:shd w:val="clear" w:color="auto" w:fill="auto"/>
            <w:tcMar>
              <w:top w:w="40" w:type="dxa"/>
              <w:left w:w="40" w:type="dxa"/>
              <w:bottom w:w="40" w:type="dxa"/>
              <w:right w:w="40" w:type="dxa"/>
            </w:tcMar>
            <w:vAlign w:val="bottom"/>
          </w:tcPr>
          <w:p w14:paraId="42A1179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79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center"/>
          </w:tcPr>
          <w:p w14:paraId="42A11798"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179F" w14:textId="77777777">
        <w:trPr>
          <w:jc w:val="center"/>
        </w:trPr>
        <w:tc>
          <w:tcPr>
            <w:tcW w:w="0" w:type="auto"/>
            <w:shd w:val="clear" w:color="auto" w:fill="auto"/>
            <w:tcMar>
              <w:top w:w="40" w:type="dxa"/>
              <w:left w:w="40" w:type="dxa"/>
              <w:bottom w:w="40" w:type="dxa"/>
              <w:right w:w="40" w:type="dxa"/>
            </w:tcMar>
            <w:vAlign w:val="bottom"/>
          </w:tcPr>
          <w:p w14:paraId="42A1179A"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 except unit counts)</w:t>
            </w:r>
          </w:p>
        </w:tc>
        <w:tc>
          <w:tcPr>
            <w:tcW w:w="0" w:type="auto"/>
            <w:shd w:val="clear" w:color="auto" w:fill="auto"/>
            <w:tcMar>
              <w:top w:w="40" w:type="dxa"/>
              <w:left w:w="40" w:type="dxa"/>
              <w:bottom w:w="40" w:type="dxa"/>
              <w:right w:w="40" w:type="dxa"/>
            </w:tcMar>
            <w:vAlign w:val="bottom"/>
          </w:tcPr>
          <w:p w14:paraId="42A1179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79C"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179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79E"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BB68E1" w14:paraId="42A117A9" w14:textId="77777777">
        <w:trPr>
          <w:jc w:val="center"/>
        </w:trPr>
        <w:tc>
          <w:tcPr>
            <w:tcW w:w="0" w:type="auto"/>
            <w:shd w:val="clear" w:color="auto" w:fill="CCEEFF"/>
            <w:tcMar>
              <w:top w:w="40" w:type="dxa"/>
              <w:left w:w="40" w:type="dxa"/>
              <w:bottom w:w="40" w:type="dxa"/>
              <w:right w:w="40" w:type="dxa"/>
            </w:tcMar>
            <w:vAlign w:val="center"/>
          </w:tcPr>
          <w:p w14:paraId="42A117A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CCEEFF"/>
            <w:tcMar>
              <w:top w:w="40" w:type="dxa"/>
              <w:left w:w="40" w:type="dxa"/>
              <w:bottom w:w="40" w:type="dxa"/>
              <w:right w:w="40" w:type="dxa"/>
            </w:tcMar>
            <w:vAlign w:val="bottom"/>
          </w:tcPr>
          <w:p w14:paraId="42A117A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7A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7A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519,926</w:t>
            </w:r>
          </w:p>
        </w:tc>
        <w:tc>
          <w:tcPr>
            <w:tcW w:w="0" w:type="auto"/>
            <w:tcBorders>
              <w:top w:val="single" w:sz="8" w:space="0" w:color="000000"/>
            </w:tcBorders>
            <w:shd w:val="clear" w:color="auto" w:fill="CCEEFF"/>
            <w:vAlign w:val="bottom"/>
          </w:tcPr>
          <w:p w14:paraId="42A117A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7A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7A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7A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510,329</w:t>
            </w:r>
          </w:p>
        </w:tc>
        <w:tc>
          <w:tcPr>
            <w:tcW w:w="0" w:type="auto"/>
            <w:shd w:val="clear" w:color="auto" w:fill="CCEEFF"/>
            <w:vAlign w:val="bottom"/>
          </w:tcPr>
          <w:p w14:paraId="42A117A8" w14:textId="77777777" w:rsidR="00BB68E1" w:rsidRDefault="00BB68E1">
            <w:pPr>
              <w:textAlignment w:val="bottom"/>
              <w:rPr>
                <w:rFonts w:ascii="Times New Roman" w:hAnsi="Times New Roman"/>
                <w:sz w:val="20"/>
                <w:szCs w:val="20"/>
              </w:rPr>
            </w:pPr>
          </w:p>
        </w:tc>
      </w:tr>
      <w:tr w:rsidR="00BB68E1" w14:paraId="42A117B1" w14:textId="77777777">
        <w:trPr>
          <w:jc w:val="center"/>
        </w:trPr>
        <w:tc>
          <w:tcPr>
            <w:tcW w:w="0" w:type="auto"/>
            <w:shd w:val="clear" w:color="auto" w:fill="auto"/>
            <w:tcMar>
              <w:top w:w="40" w:type="dxa"/>
              <w:left w:w="40" w:type="dxa"/>
              <w:bottom w:w="40" w:type="dxa"/>
              <w:right w:w="40" w:type="dxa"/>
            </w:tcMar>
            <w:vAlign w:val="center"/>
          </w:tcPr>
          <w:p w14:paraId="42A117A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shd w:val="clear" w:color="auto" w:fill="auto"/>
            <w:tcMar>
              <w:top w:w="40" w:type="dxa"/>
              <w:left w:w="40" w:type="dxa"/>
              <w:bottom w:w="40" w:type="dxa"/>
              <w:right w:w="40" w:type="dxa"/>
            </w:tcMar>
            <w:vAlign w:val="bottom"/>
          </w:tcPr>
          <w:p w14:paraId="42A117A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7A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w:t>
            </w:r>
          </w:p>
        </w:tc>
        <w:tc>
          <w:tcPr>
            <w:tcW w:w="0" w:type="auto"/>
            <w:shd w:val="clear" w:color="auto" w:fill="auto"/>
            <w:tcMar>
              <w:top w:w="40" w:type="dxa"/>
              <w:bottom w:w="40" w:type="dxa"/>
              <w:right w:w="40" w:type="dxa"/>
            </w:tcMar>
            <w:vAlign w:val="center"/>
          </w:tcPr>
          <w:p w14:paraId="42A117A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7A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7A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w:t>
            </w:r>
          </w:p>
        </w:tc>
        <w:tc>
          <w:tcPr>
            <w:tcW w:w="0" w:type="auto"/>
            <w:shd w:val="clear" w:color="auto" w:fill="auto"/>
            <w:tcMar>
              <w:top w:w="40" w:type="dxa"/>
              <w:bottom w:w="40" w:type="dxa"/>
              <w:right w:w="40" w:type="dxa"/>
            </w:tcMar>
            <w:vAlign w:val="center"/>
          </w:tcPr>
          <w:p w14:paraId="42A117B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7BB" w14:textId="77777777">
        <w:trPr>
          <w:jc w:val="center"/>
        </w:trPr>
        <w:tc>
          <w:tcPr>
            <w:tcW w:w="0" w:type="auto"/>
            <w:shd w:val="clear" w:color="auto" w:fill="CCEEFF"/>
            <w:tcMar>
              <w:top w:w="40" w:type="dxa"/>
              <w:left w:w="40" w:type="dxa"/>
              <w:bottom w:w="40" w:type="dxa"/>
              <w:right w:w="40" w:type="dxa"/>
            </w:tcMar>
            <w:vAlign w:val="center"/>
          </w:tcPr>
          <w:p w14:paraId="42A117B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selling, general and administrative expenses</w:t>
            </w:r>
          </w:p>
        </w:tc>
        <w:tc>
          <w:tcPr>
            <w:tcW w:w="0" w:type="auto"/>
            <w:shd w:val="clear" w:color="auto" w:fill="CCEEFF"/>
            <w:tcMar>
              <w:top w:w="40" w:type="dxa"/>
              <w:left w:w="40" w:type="dxa"/>
              <w:bottom w:w="40" w:type="dxa"/>
              <w:right w:w="40" w:type="dxa"/>
            </w:tcMar>
            <w:vAlign w:val="bottom"/>
          </w:tcPr>
          <w:p w14:paraId="42A117B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7B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7B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108,791</w:t>
            </w:r>
          </w:p>
        </w:tc>
        <w:tc>
          <w:tcPr>
            <w:tcW w:w="0" w:type="auto"/>
            <w:shd w:val="clear" w:color="auto" w:fill="CCEEFF"/>
            <w:vAlign w:val="bottom"/>
          </w:tcPr>
          <w:p w14:paraId="42A117B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7B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7B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7B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107,147</w:t>
            </w:r>
          </w:p>
        </w:tc>
        <w:tc>
          <w:tcPr>
            <w:tcW w:w="0" w:type="auto"/>
            <w:shd w:val="clear" w:color="auto" w:fill="CCEEFF"/>
            <w:vAlign w:val="bottom"/>
          </w:tcPr>
          <w:p w14:paraId="42A117BA" w14:textId="77777777" w:rsidR="00BB68E1" w:rsidRDefault="00BB68E1">
            <w:pPr>
              <w:textAlignment w:val="bottom"/>
              <w:rPr>
                <w:rFonts w:ascii="Times New Roman" w:hAnsi="Times New Roman"/>
                <w:sz w:val="20"/>
                <w:szCs w:val="20"/>
              </w:rPr>
            </w:pPr>
          </w:p>
        </w:tc>
      </w:tr>
      <w:tr w:rsidR="00BB68E1" w14:paraId="42A117C3" w14:textId="77777777">
        <w:trPr>
          <w:jc w:val="center"/>
        </w:trPr>
        <w:tc>
          <w:tcPr>
            <w:tcW w:w="0" w:type="auto"/>
            <w:shd w:val="clear" w:color="auto" w:fill="auto"/>
            <w:tcMar>
              <w:top w:w="40" w:type="dxa"/>
              <w:left w:w="40" w:type="dxa"/>
              <w:bottom w:w="40" w:type="dxa"/>
              <w:right w:w="40" w:type="dxa"/>
            </w:tcMar>
            <w:vAlign w:val="center"/>
          </w:tcPr>
          <w:p w14:paraId="42A117B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Percentage </w:t>
            </w:r>
            <w:r>
              <w:rPr>
                <w:rFonts w:ascii="Times New Roman" w:eastAsia="宋体" w:hAnsi="Times New Roman"/>
                <w:sz w:val="16"/>
                <w:szCs w:val="16"/>
              </w:rPr>
              <w:t>change from comparable period</w:t>
            </w:r>
          </w:p>
        </w:tc>
        <w:tc>
          <w:tcPr>
            <w:tcW w:w="0" w:type="auto"/>
            <w:shd w:val="clear" w:color="auto" w:fill="auto"/>
            <w:tcMar>
              <w:top w:w="40" w:type="dxa"/>
              <w:left w:w="40" w:type="dxa"/>
              <w:bottom w:w="40" w:type="dxa"/>
              <w:right w:w="40" w:type="dxa"/>
            </w:tcMar>
            <w:vAlign w:val="bottom"/>
          </w:tcPr>
          <w:p w14:paraId="42A117B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7B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shd w:val="clear" w:color="auto" w:fill="auto"/>
            <w:tcMar>
              <w:top w:w="40" w:type="dxa"/>
              <w:bottom w:w="40" w:type="dxa"/>
              <w:right w:w="40" w:type="dxa"/>
            </w:tcMar>
            <w:vAlign w:val="center"/>
          </w:tcPr>
          <w:p w14:paraId="42A117B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7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7C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0.6</w:t>
            </w:r>
          </w:p>
        </w:tc>
        <w:tc>
          <w:tcPr>
            <w:tcW w:w="0" w:type="auto"/>
            <w:shd w:val="clear" w:color="auto" w:fill="auto"/>
            <w:tcMar>
              <w:top w:w="40" w:type="dxa"/>
              <w:bottom w:w="40" w:type="dxa"/>
              <w:right w:w="40" w:type="dxa"/>
            </w:tcMar>
            <w:vAlign w:val="center"/>
          </w:tcPr>
          <w:p w14:paraId="42A117C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7CB" w14:textId="77777777">
        <w:trPr>
          <w:jc w:val="center"/>
        </w:trPr>
        <w:tc>
          <w:tcPr>
            <w:tcW w:w="0" w:type="auto"/>
            <w:shd w:val="clear" w:color="auto" w:fill="CCEEFF"/>
            <w:tcMar>
              <w:top w:w="40" w:type="dxa"/>
              <w:left w:w="40" w:type="dxa"/>
              <w:bottom w:w="40" w:type="dxa"/>
              <w:right w:w="40" w:type="dxa"/>
            </w:tcMar>
            <w:vAlign w:val="center"/>
          </w:tcPr>
          <w:p w14:paraId="42A117C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selling, general and administrative expenses as a percentage of net sales</w:t>
            </w:r>
          </w:p>
        </w:tc>
        <w:tc>
          <w:tcPr>
            <w:tcW w:w="0" w:type="auto"/>
            <w:shd w:val="clear" w:color="auto" w:fill="CCEEFF"/>
            <w:tcMar>
              <w:top w:w="40" w:type="dxa"/>
              <w:left w:w="40" w:type="dxa"/>
              <w:bottom w:w="40" w:type="dxa"/>
              <w:right w:w="40" w:type="dxa"/>
            </w:tcMar>
            <w:vAlign w:val="bottom"/>
          </w:tcPr>
          <w:p w14:paraId="42A117C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7C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20.9</w:t>
            </w:r>
          </w:p>
        </w:tc>
        <w:tc>
          <w:tcPr>
            <w:tcW w:w="0" w:type="auto"/>
            <w:shd w:val="clear" w:color="auto" w:fill="CCEEFF"/>
            <w:tcMar>
              <w:top w:w="40" w:type="dxa"/>
              <w:bottom w:w="40" w:type="dxa"/>
              <w:right w:w="40" w:type="dxa"/>
            </w:tcMar>
            <w:vAlign w:val="center"/>
          </w:tcPr>
          <w:p w14:paraId="42A117C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7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7C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21.0</w:t>
            </w:r>
          </w:p>
        </w:tc>
        <w:tc>
          <w:tcPr>
            <w:tcW w:w="0" w:type="auto"/>
            <w:shd w:val="clear" w:color="auto" w:fill="CCEEFF"/>
            <w:tcMar>
              <w:top w:w="40" w:type="dxa"/>
              <w:bottom w:w="40" w:type="dxa"/>
              <w:right w:w="40" w:type="dxa"/>
            </w:tcMar>
            <w:vAlign w:val="center"/>
          </w:tcPr>
          <w:p w14:paraId="42A117C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bl>
    <w:p w14:paraId="42A117C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For fiscal 2020, operating, selling, general and administrative ("operating") expenses as a </w:t>
      </w:r>
      <w:r>
        <w:rPr>
          <w:rFonts w:ascii="Times New Roman" w:eastAsia="宋体" w:hAnsi="Times New Roman"/>
          <w:sz w:val="20"/>
          <w:szCs w:val="20"/>
        </w:rPr>
        <w:t>percentage of net sales decreased 8 basis points, when compared to the previous fiscal year due to our focus on expense management combined with our growth in comparable store sales. These improvements were partially offset by $0.9 billion in business rest</w:t>
      </w:r>
      <w:r>
        <w:rPr>
          <w:rFonts w:ascii="Times New Roman" w:eastAsia="宋体" w:hAnsi="Times New Roman"/>
          <w:sz w:val="20"/>
          <w:szCs w:val="20"/>
        </w:rPr>
        <w:t>ructuring charges consisting primarily of non-cash impairment charges for certain trade names, acquired developed technology, and other business restructuring charges due to strategic decisions that resulted in the write down of certain assets in the Walma</w:t>
      </w:r>
      <w:r>
        <w:rPr>
          <w:rFonts w:ascii="Times New Roman" w:eastAsia="宋体" w:hAnsi="Times New Roman"/>
          <w:sz w:val="20"/>
          <w:szCs w:val="20"/>
        </w:rPr>
        <w:t>rt U.S. and Walmart International segments.</w:t>
      </w:r>
    </w:p>
    <w:p w14:paraId="42A117C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For fiscal 2019, operating expenses as a percentage of net sales decreased 48 basis points, when compared to the previous fiscal year. The primary drivers of the expense leverage were strong sales performance in </w:t>
      </w:r>
      <w:r>
        <w:rPr>
          <w:rFonts w:ascii="Times New Roman" w:eastAsia="宋体" w:hAnsi="Times New Roman"/>
          <w:sz w:val="20"/>
          <w:szCs w:val="20"/>
        </w:rPr>
        <w:t>conjunction with productivity improvements and lapping of certain fiscal 2018 charges. The improvements in fiscal 2019 were partially offset by additional investments in eCommerce and technology, as well as a $160 million charge related to a securities cla</w:t>
      </w:r>
      <w:r>
        <w:rPr>
          <w:rFonts w:ascii="Times New Roman" w:eastAsia="宋体" w:hAnsi="Times New Roman"/>
          <w:sz w:val="20"/>
          <w:szCs w:val="20"/>
        </w:rPr>
        <w:t>ss action lawsuit.</w:t>
      </w:r>
    </w:p>
    <w:p w14:paraId="42A117CE"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Strategic Capital Allocation</w:t>
      </w:r>
    </w:p>
    <w:p w14:paraId="42A117C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Our strategy includes improving our customer-facing initiatives in stores and clubs and creating a seamless omni-channel experience for our customers. As such, we are allocating more capital to eCommerce, tec</w:t>
      </w:r>
      <w:r>
        <w:rPr>
          <w:rFonts w:ascii="Times New Roman" w:eastAsia="宋体" w:hAnsi="Times New Roman"/>
          <w:sz w:val="20"/>
          <w:szCs w:val="20"/>
        </w:rPr>
        <w:t>hnology, supply chain, and store remodels and less to new store and club openings, when compared to prior years. Total fiscal 2020 capital expenditures increased slightly compared to the prior year; the following table provides additional detail:</w:t>
      </w:r>
    </w:p>
    <w:tbl>
      <w:tblPr>
        <w:tblW w:w="5000" w:type="pct"/>
        <w:tblCellMar>
          <w:left w:w="0" w:type="dxa"/>
          <w:right w:w="0" w:type="dxa"/>
        </w:tblCellMar>
        <w:tblLook w:val="04A0" w:firstRow="1" w:lastRow="0" w:firstColumn="1" w:lastColumn="0" w:noHBand="0" w:noVBand="1"/>
      </w:tblPr>
      <w:tblGrid>
        <w:gridCol w:w="5946"/>
        <w:gridCol w:w="130"/>
        <w:gridCol w:w="120"/>
        <w:gridCol w:w="880"/>
        <w:gridCol w:w="49"/>
        <w:gridCol w:w="130"/>
        <w:gridCol w:w="120"/>
        <w:gridCol w:w="881"/>
        <w:gridCol w:w="50"/>
      </w:tblGrid>
      <w:tr w:rsidR="00BB68E1" w14:paraId="42A117D1" w14:textId="77777777">
        <w:tc>
          <w:tcPr>
            <w:tcW w:w="0" w:type="auto"/>
            <w:gridSpan w:val="9"/>
            <w:shd w:val="clear" w:color="auto" w:fill="auto"/>
            <w:vAlign w:val="center"/>
          </w:tcPr>
          <w:p w14:paraId="42A117D0" w14:textId="77777777" w:rsidR="00BB68E1" w:rsidRDefault="00BB68E1">
            <w:pPr>
              <w:rPr>
                <w:rFonts w:ascii="Times New Roman" w:hAnsi="Times New Roman"/>
                <w:sz w:val="20"/>
                <w:szCs w:val="20"/>
              </w:rPr>
            </w:pPr>
          </w:p>
        </w:tc>
      </w:tr>
      <w:tr w:rsidR="00BB68E1" w14:paraId="42A117DB" w14:textId="77777777">
        <w:tc>
          <w:tcPr>
            <w:tcW w:w="3600" w:type="pct"/>
            <w:shd w:val="clear" w:color="auto" w:fill="auto"/>
            <w:vAlign w:val="center"/>
          </w:tcPr>
          <w:p w14:paraId="42A117D2" w14:textId="77777777" w:rsidR="00BB68E1" w:rsidRDefault="00BB68E1">
            <w:pPr>
              <w:rPr>
                <w:rFonts w:ascii="Times New Roman" w:hAnsi="Times New Roman"/>
                <w:sz w:val="20"/>
                <w:szCs w:val="20"/>
              </w:rPr>
            </w:pPr>
          </w:p>
        </w:tc>
        <w:tc>
          <w:tcPr>
            <w:tcW w:w="50" w:type="pct"/>
            <w:shd w:val="clear" w:color="auto" w:fill="auto"/>
            <w:vAlign w:val="center"/>
          </w:tcPr>
          <w:p w14:paraId="42A117D3" w14:textId="77777777" w:rsidR="00BB68E1" w:rsidRDefault="00BB68E1">
            <w:pPr>
              <w:rPr>
                <w:rFonts w:ascii="Times New Roman" w:hAnsi="Times New Roman"/>
                <w:sz w:val="20"/>
                <w:szCs w:val="20"/>
              </w:rPr>
            </w:pPr>
          </w:p>
        </w:tc>
        <w:tc>
          <w:tcPr>
            <w:tcW w:w="50" w:type="pct"/>
            <w:shd w:val="clear" w:color="auto" w:fill="auto"/>
            <w:vAlign w:val="center"/>
          </w:tcPr>
          <w:p w14:paraId="42A117D4" w14:textId="77777777" w:rsidR="00BB68E1" w:rsidRDefault="00BB68E1">
            <w:pPr>
              <w:rPr>
                <w:rFonts w:ascii="Times New Roman" w:hAnsi="Times New Roman"/>
                <w:sz w:val="20"/>
                <w:szCs w:val="20"/>
              </w:rPr>
            </w:pPr>
          </w:p>
        </w:tc>
        <w:tc>
          <w:tcPr>
            <w:tcW w:w="550" w:type="pct"/>
            <w:shd w:val="clear" w:color="auto" w:fill="auto"/>
            <w:vAlign w:val="center"/>
          </w:tcPr>
          <w:p w14:paraId="42A117D5" w14:textId="77777777" w:rsidR="00BB68E1" w:rsidRDefault="00BB68E1">
            <w:pPr>
              <w:rPr>
                <w:rFonts w:ascii="Times New Roman" w:hAnsi="Times New Roman"/>
                <w:sz w:val="20"/>
                <w:szCs w:val="20"/>
              </w:rPr>
            </w:pPr>
          </w:p>
        </w:tc>
        <w:tc>
          <w:tcPr>
            <w:tcW w:w="50" w:type="pct"/>
            <w:shd w:val="clear" w:color="auto" w:fill="auto"/>
            <w:vAlign w:val="center"/>
          </w:tcPr>
          <w:p w14:paraId="42A117D6" w14:textId="77777777" w:rsidR="00BB68E1" w:rsidRDefault="00BB68E1">
            <w:pPr>
              <w:rPr>
                <w:rFonts w:ascii="Times New Roman" w:hAnsi="Times New Roman"/>
                <w:sz w:val="20"/>
                <w:szCs w:val="20"/>
              </w:rPr>
            </w:pPr>
          </w:p>
        </w:tc>
        <w:tc>
          <w:tcPr>
            <w:tcW w:w="50" w:type="pct"/>
            <w:shd w:val="clear" w:color="auto" w:fill="auto"/>
            <w:vAlign w:val="center"/>
          </w:tcPr>
          <w:p w14:paraId="42A117D7" w14:textId="77777777" w:rsidR="00BB68E1" w:rsidRDefault="00BB68E1">
            <w:pPr>
              <w:rPr>
                <w:rFonts w:ascii="Times New Roman" w:hAnsi="Times New Roman"/>
                <w:sz w:val="20"/>
                <w:szCs w:val="20"/>
              </w:rPr>
            </w:pPr>
          </w:p>
        </w:tc>
        <w:tc>
          <w:tcPr>
            <w:tcW w:w="50" w:type="pct"/>
            <w:shd w:val="clear" w:color="auto" w:fill="auto"/>
            <w:vAlign w:val="center"/>
          </w:tcPr>
          <w:p w14:paraId="42A117D8" w14:textId="77777777" w:rsidR="00BB68E1" w:rsidRDefault="00BB68E1">
            <w:pPr>
              <w:rPr>
                <w:rFonts w:ascii="Times New Roman" w:hAnsi="Times New Roman"/>
                <w:sz w:val="20"/>
                <w:szCs w:val="20"/>
              </w:rPr>
            </w:pPr>
          </w:p>
        </w:tc>
        <w:tc>
          <w:tcPr>
            <w:tcW w:w="550" w:type="pct"/>
            <w:shd w:val="clear" w:color="auto" w:fill="auto"/>
            <w:vAlign w:val="center"/>
          </w:tcPr>
          <w:p w14:paraId="42A117D9" w14:textId="77777777" w:rsidR="00BB68E1" w:rsidRDefault="00BB68E1">
            <w:pPr>
              <w:rPr>
                <w:rFonts w:ascii="Times New Roman" w:hAnsi="Times New Roman"/>
                <w:sz w:val="20"/>
                <w:szCs w:val="20"/>
              </w:rPr>
            </w:pPr>
          </w:p>
        </w:tc>
        <w:tc>
          <w:tcPr>
            <w:tcW w:w="50" w:type="pct"/>
            <w:shd w:val="clear" w:color="auto" w:fill="auto"/>
            <w:vAlign w:val="center"/>
          </w:tcPr>
          <w:p w14:paraId="42A117DA" w14:textId="77777777" w:rsidR="00BB68E1" w:rsidRDefault="00BB68E1">
            <w:pPr>
              <w:rPr>
                <w:rFonts w:ascii="Times New Roman" w:hAnsi="Times New Roman"/>
                <w:sz w:val="20"/>
                <w:szCs w:val="20"/>
              </w:rPr>
            </w:pPr>
          </w:p>
        </w:tc>
      </w:tr>
      <w:tr w:rsidR="00BB68E1" w14:paraId="42A117DF" w14:textId="77777777">
        <w:tc>
          <w:tcPr>
            <w:tcW w:w="0" w:type="auto"/>
            <w:shd w:val="clear" w:color="auto" w:fill="auto"/>
            <w:tcMar>
              <w:top w:w="40" w:type="dxa"/>
              <w:left w:w="40" w:type="dxa"/>
              <w:bottom w:w="40" w:type="dxa"/>
              <w:right w:w="40" w:type="dxa"/>
            </w:tcMar>
            <w:vAlign w:val="bottom"/>
          </w:tcPr>
          <w:p w14:paraId="42A117DC"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17D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center"/>
          </w:tcPr>
          <w:p w14:paraId="42A117DE"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17E5" w14:textId="77777777">
        <w:tc>
          <w:tcPr>
            <w:tcW w:w="0" w:type="auto"/>
            <w:shd w:val="clear" w:color="auto" w:fill="auto"/>
            <w:tcMar>
              <w:top w:w="40" w:type="dxa"/>
              <w:left w:w="40" w:type="dxa"/>
              <w:bottom w:w="40" w:type="dxa"/>
              <w:right w:w="40" w:type="dxa"/>
            </w:tcMar>
            <w:vAlign w:val="bottom"/>
          </w:tcPr>
          <w:p w14:paraId="42A117E0"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Allocation of Capital Expenditures</w:t>
            </w:r>
          </w:p>
        </w:tc>
        <w:tc>
          <w:tcPr>
            <w:tcW w:w="0" w:type="auto"/>
            <w:shd w:val="clear" w:color="auto" w:fill="auto"/>
            <w:tcMar>
              <w:top w:w="40" w:type="dxa"/>
              <w:left w:w="40" w:type="dxa"/>
              <w:bottom w:w="40" w:type="dxa"/>
              <w:right w:w="40" w:type="dxa"/>
            </w:tcMar>
            <w:vAlign w:val="bottom"/>
          </w:tcPr>
          <w:p w14:paraId="42A117E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7E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2A117E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7E4"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BB68E1" w14:paraId="42A117EF" w14:textId="77777777">
        <w:tc>
          <w:tcPr>
            <w:tcW w:w="0" w:type="auto"/>
            <w:shd w:val="clear" w:color="auto" w:fill="CCEEFF"/>
            <w:tcMar>
              <w:top w:w="40" w:type="dxa"/>
              <w:left w:w="40" w:type="dxa"/>
              <w:bottom w:w="40" w:type="dxa"/>
              <w:right w:w="40" w:type="dxa"/>
            </w:tcMar>
            <w:vAlign w:val="center"/>
          </w:tcPr>
          <w:p w14:paraId="42A117E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eCommerce, technology, supply chain and other</w:t>
            </w:r>
          </w:p>
        </w:tc>
        <w:tc>
          <w:tcPr>
            <w:tcW w:w="0" w:type="auto"/>
            <w:shd w:val="clear" w:color="auto" w:fill="CCEEFF"/>
            <w:tcMar>
              <w:top w:w="40" w:type="dxa"/>
              <w:left w:w="40" w:type="dxa"/>
              <w:bottom w:w="40" w:type="dxa"/>
              <w:right w:w="40" w:type="dxa"/>
            </w:tcMar>
            <w:vAlign w:val="bottom"/>
          </w:tcPr>
          <w:p w14:paraId="42A117E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7E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7E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5,643</w:t>
            </w:r>
          </w:p>
        </w:tc>
        <w:tc>
          <w:tcPr>
            <w:tcW w:w="0" w:type="auto"/>
            <w:tcBorders>
              <w:top w:val="single" w:sz="8" w:space="0" w:color="000000"/>
            </w:tcBorders>
            <w:shd w:val="clear" w:color="auto" w:fill="CCEEFF"/>
            <w:vAlign w:val="bottom"/>
          </w:tcPr>
          <w:p w14:paraId="42A117E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7E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7E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7E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5,218</w:t>
            </w:r>
          </w:p>
        </w:tc>
        <w:tc>
          <w:tcPr>
            <w:tcW w:w="0" w:type="auto"/>
            <w:shd w:val="clear" w:color="auto" w:fill="CCEEFF"/>
            <w:vAlign w:val="bottom"/>
          </w:tcPr>
          <w:p w14:paraId="42A117EE" w14:textId="77777777" w:rsidR="00BB68E1" w:rsidRDefault="00BB68E1">
            <w:pPr>
              <w:textAlignment w:val="bottom"/>
              <w:rPr>
                <w:rFonts w:ascii="Times New Roman" w:hAnsi="Times New Roman"/>
                <w:sz w:val="20"/>
                <w:szCs w:val="20"/>
              </w:rPr>
            </w:pPr>
          </w:p>
        </w:tc>
      </w:tr>
      <w:tr w:rsidR="00BB68E1" w14:paraId="42A117F7" w14:textId="77777777">
        <w:tc>
          <w:tcPr>
            <w:tcW w:w="0" w:type="auto"/>
            <w:shd w:val="clear" w:color="auto" w:fill="auto"/>
            <w:tcMar>
              <w:top w:w="40" w:type="dxa"/>
              <w:left w:w="40" w:type="dxa"/>
              <w:bottom w:w="40" w:type="dxa"/>
              <w:right w:w="40" w:type="dxa"/>
            </w:tcMar>
            <w:vAlign w:val="center"/>
          </w:tcPr>
          <w:p w14:paraId="42A117F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Remodels</w:t>
            </w:r>
          </w:p>
        </w:tc>
        <w:tc>
          <w:tcPr>
            <w:tcW w:w="0" w:type="auto"/>
            <w:shd w:val="clear" w:color="auto" w:fill="auto"/>
            <w:tcMar>
              <w:top w:w="40" w:type="dxa"/>
              <w:left w:w="40" w:type="dxa"/>
              <w:bottom w:w="40" w:type="dxa"/>
              <w:right w:w="40" w:type="dxa"/>
            </w:tcMar>
            <w:vAlign w:val="bottom"/>
          </w:tcPr>
          <w:p w14:paraId="42A117F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7F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2,184</w:t>
            </w:r>
          </w:p>
        </w:tc>
        <w:tc>
          <w:tcPr>
            <w:tcW w:w="0" w:type="auto"/>
            <w:shd w:val="clear" w:color="auto" w:fill="auto"/>
            <w:vAlign w:val="bottom"/>
          </w:tcPr>
          <w:p w14:paraId="42A117F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7F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7F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2,152</w:t>
            </w:r>
          </w:p>
        </w:tc>
        <w:tc>
          <w:tcPr>
            <w:tcW w:w="0" w:type="auto"/>
            <w:shd w:val="clear" w:color="auto" w:fill="auto"/>
            <w:vAlign w:val="bottom"/>
          </w:tcPr>
          <w:p w14:paraId="42A117F6" w14:textId="77777777" w:rsidR="00BB68E1" w:rsidRDefault="00BB68E1">
            <w:pPr>
              <w:textAlignment w:val="bottom"/>
              <w:rPr>
                <w:rFonts w:ascii="Times New Roman" w:hAnsi="Times New Roman"/>
                <w:sz w:val="20"/>
                <w:szCs w:val="20"/>
              </w:rPr>
            </w:pPr>
          </w:p>
        </w:tc>
      </w:tr>
      <w:tr w:rsidR="00BB68E1" w14:paraId="42A117FF" w14:textId="77777777">
        <w:tc>
          <w:tcPr>
            <w:tcW w:w="0" w:type="auto"/>
            <w:shd w:val="clear" w:color="auto" w:fill="CCEEFF"/>
            <w:tcMar>
              <w:top w:w="40" w:type="dxa"/>
              <w:left w:w="40" w:type="dxa"/>
              <w:bottom w:w="40" w:type="dxa"/>
              <w:right w:w="40" w:type="dxa"/>
            </w:tcMar>
            <w:vAlign w:val="center"/>
          </w:tcPr>
          <w:p w14:paraId="42A117F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New stores and clubs, including </w:t>
            </w:r>
            <w:r>
              <w:rPr>
                <w:rFonts w:ascii="Times New Roman" w:eastAsia="宋体" w:hAnsi="Times New Roman"/>
                <w:sz w:val="16"/>
                <w:szCs w:val="16"/>
              </w:rPr>
              <w:t>expansions and relocations</w:t>
            </w:r>
          </w:p>
        </w:tc>
        <w:tc>
          <w:tcPr>
            <w:tcW w:w="0" w:type="auto"/>
            <w:shd w:val="clear" w:color="auto" w:fill="CCEEFF"/>
            <w:tcMar>
              <w:top w:w="40" w:type="dxa"/>
              <w:left w:w="40" w:type="dxa"/>
              <w:bottom w:w="40" w:type="dxa"/>
              <w:right w:w="40" w:type="dxa"/>
            </w:tcMar>
            <w:vAlign w:val="bottom"/>
          </w:tcPr>
          <w:p w14:paraId="42A117F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17F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77</w:t>
            </w:r>
          </w:p>
        </w:tc>
        <w:tc>
          <w:tcPr>
            <w:tcW w:w="0" w:type="auto"/>
            <w:tcBorders>
              <w:bottom w:val="single" w:sz="8" w:space="0" w:color="000000"/>
            </w:tcBorders>
            <w:shd w:val="clear" w:color="auto" w:fill="CCEEFF"/>
            <w:vAlign w:val="bottom"/>
          </w:tcPr>
          <w:p w14:paraId="42A117F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7F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17F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313</w:t>
            </w:r>
          </w:p>
        </w:tc>
        <w:tc>
          <w:tcPr>
            <w:tcW w:w="0" w:type="auto"/>
            <w:tcBorders>
              <w:bottom w:val="single" w:sz="8" w:space="0" w:color="000000"/>
            </w:tcBorders>
            <w:shd w:val="clear" w:color="auto" w:fill="CCEEFF"/>
            <w:vAlign w:val="bottom"/>
          </w:tcPr>
          <w:p w14:paraId="42A117FE" w14:textId="77777777" w:rsidR="00BB68E1" w:rsidRDefault="00BB68E1">
            <w:pPr>
              <w:textAlignment w:val="bottom"/>
              <w:rPr>
                <w:rFonts w:ascii="Times New Roman" w:hAnsi="Times New Roman"/>
                <w:sz w:val="20"/>
                <w:szCs w:val="20"/>
              </w:rPr>
            </w:pPr>
          </w:p>
        </w:tc>
      </w:tr>
      <w:tr w:rsidR="00BB68E1" w14:paraId="42A11809" w14:textId="77777777">
        <w:tc>
          <w:tcPr>
            <w:tcW w:w="0" w:type="auto"/>
            <w:shd w:val="clear" w:color="auto" w:fill="auto"/>
            <w:tcMar>
              <w:top w:w="40" w:type="dxa"/>
              <w:left w:w="40" w:type="dxa"/>
              <w:bottom w:w="40" w:type="dxa"/>
              <w:right w:w="40" w:type="dxa"/>
            </w:tcMar>
            <w:vAlign w:val="center"/>
          </w:tcPr>
          <w:p w14:paraId="42A11800"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U.S.</w:t>
            </w:r>
          </w:p>
        </w:tc>
        <w:tc>
          <w:tcPr>
            <w:tcW w:w="0" w:type="auto"/>
            <w:shd w:val="clear" w:color="auto" w:fill="auto"/>
            <w:tcMar>
              <w:top w:w="40" w:type="dxa"/>
              <w:left w:w="40" w:type="dxa"/>
              <w:bottom w:w="40" w:type="dxa"/>
              <w:right w:w="40" w:type="dxa"/>
            </w:tcMar>
            <w:vAlign w:val="bottom"/>
          </w:tcPr>
          <w:p w14:paraId="42A1180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80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80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7,904</w:t>
            </w:r>
          </w:p>
        </w:tc>
        <w:tc>
          <w:tcPr>
            <w:tcW w:w="0" w:type="auto"/>
            <w:shd w:val="clear" w:color="auto" w:fill="auto"/>
            <w:vAlign w:val="bottom"/>
          </w:tcPr>
          <w:p w14:paraId="42A1180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80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80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80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7,683</w:t>
            </w:r>
          </w:p>
        </w:tc>
        <w:tc>
          <w:tcPr>
            <w:tcW w:w="0" w:type="auto"/>
            <w:shd w:val="clear" w:color="auto" w:fill="auto"/>
            <w:vAlign w:val="bottom"/>
          </w:tcPr>
          <w:p w14:paraId="42A11808" w14:textId="77777777" w:rsidR="00BB68E1" w:rsidRDefault="00BB68E1">
            <w:pPr>
              <w:textAlignment w:val="bottom"/>
              <w:rPr>
                <w:rFonts w:ascii="Times New Roman" w:hAnsi="Times New Roman"/>
                <w:sz w:val="20"/>
                <w:szCs w:val="20"/>
              </w:rPr>
            </w:pPr>
          </w:p>
        </w:tc>
      </w:tr>
      <w:tr w:rsidR="00BB68E1" w14:paraId="42A11811" w14:textId="77777777">
        <w:tc>
          <w:tcPr>
            <w:tcW w:w="0" w:type="auto"/>
            <w:shd w:val="clear" w:color="auto" w:fill="CCEEFF"/>
            <w:tcMar>
              <w:top w:w="40" w:type="dxa"/>
              <w:left w:w="40" w:type="dxa"/>
              <w:bottom w:w="40" w:type="dxa"/>
              <w:right w:w="40" w:type="dxa"/>
            </w:tcMar>
            <w:vAlign w:val="center"/>
          </w:tcPr>
          <w:p w14:paraId="42A1180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Walmart International</w:t>
            </w:r>
          </w:p>
        </w:tc>
        <w:tc>
          <w:tcPr>
            <w:tcW w:w="0" w:type="auto"/>
            <w:shd w:val="clear" w:color="auto" w:fill="CCEEFF"/>
            <w:tcMar>
              <w:top w:w="40" w:type="dxa"/>
              <w:left w:w="40" w:type="dxa"/>
              <w:bottom w:w="40" w:type="dxa"/>
              <w:right w:w="40" w:type="dxa"/>
            </w:tcMar>
            <w:vAlign w:val="bottom"/>
          </w:tcPr>
          <w:p w14:paraId="42A1180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180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2,801</w:t>
            </w:r>
          </w:p>
        </w:tc>
        <w:tc>
          <w:tcPr>
            <w:tcW w:w="0" w:type="auto"/>
            <w:tcBorders>
              <w:bottom w:val="single" w:sz="8" w:space="0" w:color="000000"/>
            </w:tcBorders>
            <w:shd w:val="clear" w:color="auto" w:fill="CCEEFF"/>
            <w:vAlign w:val="bottom"/>
          </w:tcPr>
          <w:p w14:paraId="42A1180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8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180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2,661</w:t>
            </w:r>
          </w:p>
        </w:tc>
        <w:tc>
          <w:tcPr>
            <w:tcW w:w="0" w:type="auto"/>
            <w:tcBorders>
              <w:bottom w:val="single" w:sz="8" w:space="0" w:color="000000"/>
            </w:tcBorders>
            <w:shd w:val="clear" w:color="auto" w:fill="CCEEFF"/>
            <w:vAlign w:val="bottom"/>
          </w:tcPr>
          <w:p w14:paraId="42A11810" w14:textId="77777777" w:rsidR="00BB68E1" w:rsidRDefault="00BB68E1">
            <w:pPr>
              <w:textAlignment w:val="bottom"/>
              <w:rPr>
                <w:rFonts w:ascii="Times New Roman" w:hAnsi="Times New Roman"/>
                <w:sz w:val="20"/>
                <w:szCs w:val="20"/>
              </w:rPr>
            </w:pPr>
          </w:p>
        </w:tc>
      </w:tr>
      <w:tr w:rsidR="00BB68E1" w14:paraId="42A1181B" w14:textId="77777777">
        <w:tc>
          <w:tcPr>
            <w:tcW w:w="0" w:type="auto"/>
            <w:shd w:val="clear" w:color="auto" w:fill="auto"/>
            <w:tcMar>
              <w:top w:w="40" w:type="dxa"/>
              <w:left w:w="40" w:type="dxa"/>
              <w:bottom w:w="40" w:type="dxa"/>
              <w:right w:w="40" w:type="dxa"/>
            </w:tcMar>
            <w:vAlign w:val="center"/>
          </w:tcPr>
          <w:p w14:paraId="42A11812"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capital expenditures</w:t>
            </w:r>
          </w:p>
        </w:tc>
        <w:tc>
          <w:tcPr>
            <w:tcW w:w="0" w:type="auto"/>
            <w:shd w:val="clear" w:color="auto" w:fill="auto"/>
            <w:tcMar>
              <w:top w:w="40" w:type="dxa"/>
              <w:left w:w="40" w:type="dxa"/>
              <w:bottom w:w="40" w:type="dxa"/>
              <w:right w:w="40" w:type="dxa"/>
            </w:tcMar>
            <w:vAlign w:val="bottom"/>
          </w:tcPr>
          <w:p w14:paraId="42A1181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181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2A1181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10,705</w:t>
            </w:r>
          </w:p>
        </w:tc>
        <w:tc>
          <w:tcPr>
            <w:tcW w:w="0" w:type="auto"/>
            <w:tcBorders>
              <w:bottom w:val="double" w:sz="6" w:space="0" w:color="000000"/>
            </w:tcBorders>
            <w:shd w:val="clear" w:color="auto" w:fill="auto"/>
            <w:vAlign w:val="bottom"/>
          </w:tcPr>
          <w:p w14:paraId="42A1181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81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181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2A1181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10,344</w:t>
            </w:r>
          </w:p>
        </w:tc>
        <w:tc>
          <w:tcPr>
            <w:tcW w:w="0" w:type="auto"/>
            <w:tcBorders>
              <w:bottom w:val="double" w:sz="6" w:space="0" w:color="000000"/>
            </w:tcBorders>
            <w:shd w:val="clear" w:color="auto" w:fill="auto"/>
            <w:vAlign w:val="bottom"/>
          </w:tcPr>
          <w:p w14:paraId="42A1181A" w14:textId="77777777" w:rsidR="00BB68E1" w:rsidRDefault="00BB68E1">
            <w:pPr>
              <w:textAlignment w:val="bottom"/>
              <w:rPr>
                <w:rFonts w:ascii="Times New Roman" w:hAnsi="Times New Roman"/>
                <w:sz w:val="20"/>
                <w:szCs w:val="20"/>
              </w:rPr>
            </w:pPr>
          </w:p>
        </w:tc>
      </w:tr>
    </w:tbl>
    <w:p w14:paraId="42A1181C"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Returns</w:t>
      </w:r>
    </w:p>
    <w:p w14:paraId="42A1181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As we execute our financial framework, we believe our return on capital will improve over time. We measure return on capital with our return on assets, return on investment and free cash flow metrics. We also provide returns in the form of share repurchase</w:t>
      </w:r>
      <w:r>
        <w:rPr>
          <w:rFonts w:ascii="Times New Roman" w:eastAsia="宋体" w:hAnsi="Times New Roman"/>
          <w:sz w:val="20"/>
          <w:szCs w:val="20"/>
        </w:rPr>
        <w:t xml:space="preserve">s and dividends, which are discussed in the </w:t>
      </w:r>
      <w:hyperlink r:id="rId91" w:anchor="sCC2D30B50C3E580FBB49E7546DF54BD6" w:history="1">
        <w:r>
          <w:rPr>
            <w:rStyle w:val="a5"/>
            <w:rFonts w:ascii="Times New Roman" w:eastAsia="宋体" w:hAnsi="Times New Roman"/>
            <w:sz w:val="20"/>
            <w:szCs w:val="20"/>
          </w:rPr>
          <w:t>Liquidity and Capital Resources</w:t>
        </w:r>
      </w:hyperlink>
      <w:r>
        <w:rPr>
          <w:rFonts w:ascii="Times New Roman" w:eastAsia="宋体" w:hAnsi="Times New Roman"/>
          <w:sz w:val="20"/>
          <w:szCs w:val="20"/>
        </w:rPr>
        <w:t xml:space="preserve"> section.</w:t>
      </w:r>
    </w:p>
    <w:p w14:paraId="42A1181E"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Return on Asse</w:t>
      </w:r>
      <w:r>
        <w:rPr>
          <w:rFonts w:ascii="Times New Roman" w:eastAsia="宋体" w:hAnsi="Times New Roman"/>
          <w:i/>
          <w:iCs/>
          <w:sz w:val="20"/>
          <w:szCs w:val="20"/>
        </w:rPr>
        <w:t xml:space="preserve">ts and Return on Investment </w:t>
      </w:r>
    </w:p>
    <w:p w14:paraId="42A1181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include Return on Assets ("ROA"), the most directly comparable measure based on our financial statements presented in accordance with generally accepted accounting principles in the U.S. ("GAAP"), and Return on Investment ("</w:t>
      </w:r>
      <w:r>
        <w:rPr>
          <w:rFonts w:ascii="Times New Roman" w:eastAsia="宋体" w:hAnsi="Times New Roman"/>
          <w:sz w:val="20"/>
          <w:szCs w:val="20"/>
        </w:rPr>
        <w:t>ROI") as metrics to assess returns on assets. While ROI is considered a non-GAAP financial measure, management believes ROI is a meaningful metric to share with investors because it helps investors assess how effectively Walmart is deploying its assets. Tr</w:t>
      </w:r>
      <w:r>
        <w:rPr>
          <w:rFonts w:ascii="Times New Roman" w:eastAsia="宋体" w:hAnsi="Times New Roman"/>
          <w:sz w:val="20"/>
          <w:szCs w:val="20"/>
        </w:rPr>
        <w:t>ends in ROI can fluctuate over time as management balances long-term strategic initiatives with possible short-term impacts. ROA was 6.7% and 3.4% for fiscal 2020 and 2019, respectively. The increase in ROA was primarily due to the increase in consolidated</w:t>
      </w:r>
      <w:r>
        <w:rPr>
          <w:rFonts w:ascii="Times New Roman" w:eastAsia="宋体" w:hAnsi="Times New Roman"/>
          <w:sz w:val="20"/>
          <w:szCs w:val="20"/>
        </w:rPr>
        <w:t xml:space="preserve"> net income primarily due to the change in fair value of the investment in JD.com and lapping the $4.5 billion net loss recorded in fiscal 2019 related to the sale of the majority stake in Walmart Brazil, partially offset by the dilution to operating incom</w:t>
      </w:r>
      <w:r>
        <w:rPr>
          <w:rFonts w:ascii="Times New Roman" w:eastAsia="宋体" w:hAnsi="Times New Roman"/>
          <w:sz w:val="20"/>
          <w:szCs w:val="20"/>
        </w:rPr>
        <w:t>e related to Flipkart. ROI was 13.4% and 14.2% for fiscal 2020 and 2019, respectively. The decrease in ROI was due to the decrease in operating income primarily as a result of the dilution from Flipkart as well as business restructuring charges recorded in</w:t>
      </w:r>
      <w:r>
        <w:rPr>
          <w:rFonts w:ascii="Times New Roman" w:eastAsia="宋体" w:hAnsi="Times New Roman"/>
          <w:sz w:val="20"/>
          <w:szCs w:val="20"/>
        </w:rPr>
        <w:t xml:space="preserve"> fiscal 2020. The denominator remained relatively flat as the increase in average total assets due to the acquisition of Flipkart was offset by the decrease in average invested capital resulting from the removal of the eight times rent factor upon adoption</w:t>
      </w:r>
      <w:r>
        <w:rPr>
          <w:rFonts w:ascii="Times New Roman" w:eastAsia="宋体" w:hAnsi="Times New Roman"/>
          <w:sz w:val="20"/>
          <w:szCs w:val="20"/>
        </w:rPr>
        <w:t xml:space="preserve"> of ASU 2016-02, </w:t>
      </w:r>
      <w:r>
        <w:rPr>
          <w:rFonts w:ascii="Times New Roman" w:eastAsia="宋体" w:hAnsi="Times New Roman"/>
          <w:i/>
          <w:iCs/>
          <w:sz w:val="20"/>
          <w:szCs w:val="20"/>
        </w:rPr>
        <w:t>Leases</w:t>
      </w:r>
      <w:r>
        <w:rPr>
          <w:rFonts w:ascii="Times New Roman" w:eastAsia="宋体" w:hAnsi="Times New Roman"/>
          <w:sz w:val="20"/>
          <w:szCs w:val="20"/>
        </w:rPr>
        <w:t xml:space="preserve"> ("ASU 2016-02") since operating lease right of use assets are now included in total assets.</w:t>
      </w:r>
    </w:p>
    <w:p w14:paraId="42A11820" w14:textId="77777777" w:rsidR="00BB68E1" w:rsidRDefault="00BB68E1">
      <w:pPr>
        <w:rPr>
          <w:rFonts w:ascii="Times New Roman" w:hAnsi="Times New Roman"/>
          <w:sz w:val="20"/>
          <w:szCs w:val="20"/>
        </w:rPr>
      </w:pPr>
    </w:p>
    <w:p w14:paraId="42A11821"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32</w:t>
      </w:r>
    </w:p>
    <w:p w14:paraId="42A11822" w14:textId="77777777" w:rsidR="00BB68E1" w:rsidRDefault="00BB68E1">
      <w:pPr>
        <w:spacing w:line="288" w:lineRule="auto"/>
        <w:jc w:val="center"/>
        <w:rPr>
          <w:rFonts w:ascii="Times New Roman" w:hAnsi="Times New Roman"/>
          <w:sz w:val="20"/>
          <w:szCs w:val="20"/>
        </w:rPr>
      </w:pPr>
    </w:p>
    <w:p w14:paraId="42A11823" w14:textId="77777777" w:rsidR="00BB68E1" w:rsidRDefault="005D2D5E">
      <w:r>
        <w:rPr>
          <w:rFonts w:ascii="Times New Roman" w:hAnsi="Times New Roman"/>
          <w:sz w:val="20"/>
          <w:szCs w:val="20"/>
        </w:rPr>
        <w:pict w14:anchorId="42A14297">
          <v:rect id="_x0000_i1056" style="width:415.3pt;height:1.5pt" o:hralign="center" o:hrstd="t" o:hr="t" fillcolor="#a0a0a0" stroked="f"/>
        </w:pict>
      </w:r>
    </w:p>
    <w:p w14:paraId="42A11824" w14:textId="77777777" w:rsidR="00BB68E1" w:rsidRDefault="00BB68E1">
      <w:pPr>
        <w:spacing w:line="288" w:lineRule="auto"/>
        <w:rPr>
          <w:rFonts w:ascii="Times New Roman" w:hAnsi="Times New Roman"/>
          <w:sz w:val="20"/>
          <w:szCs w:val="20"/>
        </w:rPr>
      </w:pPr>
    </w:p>
    <w:p w14:paraId="42A11825" w14:textId="77777777" w:rsidR="00BB68E1" w:rsidRDefault="00BB68E1">
      <w:pPr>
        <w:rPr>
          <w:rFonts w:ascii="Times New Roman" w:hAnsi="Times New Roman"/>
          <w:sz w:val="20"/>
          <w:szCs w:val="20"/>
        </w:rPr>
      </w:pPr>
    </w:p>
    <w:p w14:paraId="42A1182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shd w:val="clear" w:color="auto" w:fill="FFFFFF"/>
        </w:rPr>
        <w:t xml:space="preserve">We define ROI as operating income plus interest income, depreciation and amortization, and rent expense for the trailing 12 </w:t>
      </w:r>
      <w:r>
        <w:rPr>
          <w:rFonts w:ascii="Times New Roman" w:eastAsia="宋体" w:hAnsi="Times New Roman"/>
          <w:sz w:val="20"/>
          <w:szCs w:val="20"/>
          <w:shd w:val="clear" w:color="auto" w:fill="FFFFFF"/>
        </w:rPr>
        <w:t>months divided by average invested capital during that period. We consider average invested capital to be the average of our beginning and ending total assets, plus average accumulated depreciation and average amortization, less average accounts payable an</w:t>
      </w:r>
      <w:r>
        <w:rPr>
          <w:rFonts w:ascii="Times New Roman" w:eastAsia="宋体" w:hAnsi="Times New Roman"/>
          <w:sz w:val="20"/>
          <w:szCs w:val="20"/>
          <w:shd w:val="clear" w:color="auto" w:fill="FFFFFF"/>
        </w:rPr>
        <w:t xml:space="preserve">d average accrued liabilities for that period. Upon adoption of ASU 2016-02, rent for the trailing 12 months multiplied by </w:t>
      </w:r>
      <w:r>
        <w:rPr>
          <w:rFonts w:ascii="Times New Roman" w:eastAsia="宋体" w:hAnsi="Times New Roman"/>
          <w:sz w:val="20"/>
          <w:szCs w:val="20"/>
          <w:shd w:val="clear" w:color="auto" w:fill="FFFFFF"/>
        </w:rPr>
        <w:lastRenderedPageBreak/>
        <w:t>a factor of 8 is no longer included in the calculation of ROI on a prospective basis as operating lease assets are now capitalized. F</w:t>
      </w:r>
      <w:r>
        <w:rPr>
          <w:rFonts w:ascii="Times New Roman" w:eastAsia="宋体" w:hAnsi="Times New Roman"/>
          <w:sz w:val="20"/>
          <w:szCs w:val="20"/>
          <w:shd w:val="clear" w:color="auto" w:fill="FFFFFF"/>
        </w:rPr>
        <w:t>or fiscal 2020, lease related assets and associated accumulated amortization are included in the denominator at their carrying amount as of the current balance sheet date, rather than averaged, because they are no longer directly comparable to the prior ye</w:t>
      </w:r>
      <w:r>
        <w:rPr>
          <w:rFonts w:ascii="Times New Roman" w:eastAsia="宋体" w:hAnsi="Times New Roman"/>
          <w:sz w:val="20"/>
          <w:szCs w:val="20"/>
          <w:shd w:val="clear" w:color="auto" w:fill="FFFFFF"/>
        </w:rPr>
        <w:t>ar calculation which included rent for the trailing 12 months multiplied by a factor of 8. A two-point average will be used for leased assets beginning in fiscal 2021, after one full year from the date of adoption of the new lease standard. Further, beginn</w:t>
      </w:r>
      <w:r>
        <w:rPr>
          <w:rFonts w:ascii="Times New Roman" w:eastAsia="宋体" w:hAnsi="Times New Roman"/>
          <w:sz w:val="20"/>
          <w:szCs w:val="20"/>
          <w:shd w:val="clear" w:color="auto" w:fill="FFFFFF"/>
        </w:rPr>
        <w:t>ing prospectively in fiscal 2020, rent expense in the numerator excludes short-term and variable lease costs as these costs are not included in the operating lease right of use asset balance.</w:t>
      </w:r>
    </w:p>
    <w:p w14:paraId="42A1182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Prior to adoption of ASU 2016-02, we defined ROI as operating in</w:t>
      </w:r>
      <w:r>
        <w:rPr>
          <w:rFonts w:ascii="Times New Roman" w:eastAsia="宋体" w:hAnsi="Times New Roman"/>
          <w:sz w:val="20"/>
          <w:szCs w:val="20"/>
        </w:rPr>
        <w:t>come plus interest income, depreciation and amortization, and rent expense for the trailing 12 months divided by average invested capital during that period. We considered average invested capital to be the average of our beginning and ending total assets,</w:t>
      </w:r>
      <w:r>
        <w:rPr>
          <w:rFonts w:ascii="Times New Roman" w:eastAsia="宋体" w:hAnsi="Times New Roman"/>
          <w:sz w:val="20"/>
          <w:szCs w:val="20"/>
        </w:rPr>
        <w:t xml:space="preserve"> plus average accumulated depreciation and average amortization, less average accounts payable and average accrued liabilities for that period, plus a rent factor equal to the rent for the fiscal year or trailing 12 months multiplied by a factor of 8, whic</w:t>
      </w:r>
      <w:r>
        <w:rPr>
          <w:rFonts w:ascii="Times New Roman" w:eastAsia="宋体" w:hAnsi="Times New Roman"/>
          <w:sz w:val="20"/>
          <w:szCs w:val="20"/>
        </w:rPr>
        <w:t>h estimated the hypothetical capitalization of our operating leases. Because the new lease standard was adopted under the modified retrospective approach as of February 1, 2019, our calculation of ROI for fiscal 2019 was not revised.</w:t>
      </w:r>
    </w:p>
    <w:p w14:paraId="42A1182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Our calculation of ROI</w:t>
      </w:r>
      <w:r>
        <w:rPr>
          <w:rFonts w:ascii="Times New Roman" w:eastAsia="宋体" w:hAnsi="Times New Roman"/>
          <w:sz w:val="20"/>
          <w:szCs w:val="20"/>
        </w:rPr>
        <w:t xml:space="preserve"> is considered a non-GAAP financial measure because we calculate ROI using financial measures that exclude and include amounts that are included and excluded in the most directly comparable GAAP financial measure. For example, we exclude the impact of depr</w:t>
      </w:r>
      <w:r>
        <w:rPr>
          <w:rFonts w:ascii="Times New Roman" w:eastAsia="宋体" w:hAnsi="Times New Roman"/>
          <w:sz w:val="20"/>
          <w:szCs w:val="20"/>
        </w:rPr>
        <w:t>eciation and amortization from our reported operating income in calculating the numerator of our calculation of ROI. As mentioned above, we consider ROA to be the financial measure computed in accordance with generally accepted accounting principles most d</w:t>
      </w:r>
      <w:r>
        <w:rPr>
          <w:rFonts w:ascii="Times New Roman" w:eastAsia="宋体" w:hAnsi="Times New Roman"/>
          <w:sz w:val="20"/>
          <w:szCs w:val="20"/>
        </w:rPr>
        <w:t>irectly comparable to our calculation of ROI. ROI differs from ROA (which is consolidated net income for the period divided by average total assets for the period) because ROI: adjusts operating income to exclude certain expense items and adds interest inc</w:t>
      </w:r>
      <w:r>
        <w:rPr>
          <w:rFonts w:ascii="Times New Roman" w:eastAsia="宋体" w:hAnsi="Times New Roman"/>
          <w:sz w:val="20"/>
          <w:szCs w:val="20"/>
        </w:rPr>
        <w:t>ome; and adjusts total assets for the impact of accumulated depreciation and amortization, accounts payable and accrued liabilities to arrive at total invested capital. Because of the adjustments mentioned above, we believe ROI more accurately measures how</w:t>
      </w:r>
      <w:r>
        <w:rPr>
          <w:rFonts w:ascii="Times New Roman" w:eastAsia="宋体" w:hAnsi="Times New Roman"/>
          <w:sz w:val="20"/>
          <w:szCs w:val="20"/>
        </w:rPr>
        <w:t xml:space="preserve"> we are deploying our key assets and is more meaningful to investors than ROA. Although ROI is a standard financial measure, numerous methods exist for calculating a company's ROI. As a result, the method used by management to calculate our ROI may differ </w:t>
      </w:r>
      <w:r>
        <w:rPr>
          <w:rFonts w:ascii="Times New Roman" w:eastAsia="宋体" w:hAnsi="Times New Roman"/>
          <w:sz w:val="20"/>
          <w:szCs w:val="20"/>
        </w:rPr>
        <w:t>from the methods used by other companies to calculate their ROI.</w:t>
      </w:r>
    </w:p>
    <w:p w14:paraId="42A1182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calculation of ROA and ROI, along with a reconciliation of ROI to the calculation of ROA, the most comparable GAAP financial measure, is as follows: </w:t>
      </w:r>
    </w:p>
    <w:tbl>
      <w:tblPr>
        <w:tblW w:w="5000" w:type="pct"/>
        <w:tblCellMar>
          <w:left w:w="0" w:type="dxa"/>
          <w:right w:w="0" w:type="dxa"/>
        </w:tblCellMar>
        <w:tblLook w:val="04A0" w:firstRow="1" w:lastRow="0" w:firstColumn="1" w:lastColumn="0" w:noHBand="0" w:noVBand="1"/>
      </w:tblPr>
      <w:tblGrid>
        <w:gridCol w:w="5863"/>
        <w:gridCol w:w="130"/>
        <w:gridCol w:w="120"/>
        <w:gridCol w:w="797"/>
        <w:gridCol w:w="174"/>
        <w:gridCol w:w="130"/>
        <w:gridCol w:w="120"/>
        <w:gridCol w:w="798"/>
        <w:gridCol w:w="174"/>
      </w:tblGrid>
      <w:tr w:rsidR="00BB68E1" w14:paraId="42A1182B" w14:textId="77777777">
        <w:tc>
          <w:tcPr>
            <w:tcW w:w="0" w:type="auto"/>
            <w:gridSpan w:val="9"/>
            <w:shd w:val="clear" w:color="auto" w:fill="auto"/>
            <w:vAlign w:val="center"/>
          </w:tcPr>
          <w:p w14:paraId="42A1182A" w14:textId="77777777" w:rsidR="00BB68E1" w:rsidRDefault="00BB68E1">
            <w:pPr>
              <w:rPr>
                <w:rFonts w:ascii="Times New Roman" w:hAnsi="Times New Roman"/>
                <w:sz w:val="20"/>
                <w:szCs w:val="20"/>
              </w:rPr>
            </w:pPr>
          </w:p>
        </w:tc>
      </w:tr>
      <w:tr w:rsidR="00BB68E1" w14:paraId="42A11835" w14:textId="77777777">
        <w:tc>
          <w:tcPr>
            <w:tcW w:w="3600" w:type="pct"/>
            <w:shd w:val="clear" w:color="auto" w:fill="auto"/>
            <w:vAlign w:val="center"/>
          </w:tcPr>
          <w:p w14:paraId="42A1182C" w14:textId="77777777" w:rsidR="00BB68E1" w:rsidRDefault="00BB68E1">
            <w:pPr>
              <w:rPr>
                <w:rFonts w:ascii="Times New Roman" w:hAnsi="Times New Roman"/>
                <w:sz w:val="20"/>
                <w:szCs w:val="20"/>
              </w:rPr>
            </w:pPr>
          </w:p>
        </w:tc>
        <w:tc>
          <w:tcPr>
            <w:tcW w:w="50" w:type="pct"/>
            <w:shd w:val="clear" w:color="auto" w:fill="auto"/>
            <w:vAlign w:val="center"/>
          </w:tcPr>
          <w:p w14:paraId="42A1182D" w14:textId="77777777" w:rsidR="00BB68E1" w:rsidRDefault="00BB68E1">
            <w:pPr>
              <w:rPr>
                <w:rFonts w:ascii="Times New Roman" w:hAnsi="Times New Roman"/>
                <w:sz w:val="20"/>
                <w:szCs w:val="20"/>
              </w:rPr>
            </w:pPr>
          </w:p>
        </w:tc>
        <w:tc>
          <w:tcPr>
            <w:tcW w:w="50" w:type="pct"/>
            <w:shd w:val="clear" w:color="auto" w:fill="auto"/>
            <w:vAlign w:val="center"/>
          </w:tcPr>
          <w:p w14:paraId="42A1182E" w14:textId="77777777" w:rsidR="00BB68E1" w:rsidRDefault="00BB68E1">
            <w:pPr>
              <w:rPr>
                <w:rFonts w:ascii="Times New Roman" w:hAnsi="Times New Roman"/>
                <w:sz w:val="20"/>
                <w:szCs w:val="20"/>
              </w:rPr>
            </w:pPr>
          </w:p>
        </w:tc>
        <w:tc>
          <w:tcPr>
            <w:tcW w:w="550" w:type="pct"/>
            <w:shd w:val="clear" w:color="auto" w:fill="auto"/>
            <w:vAlign w:val="center"/>
          </w:tcPr>
          <w:p w14:paraId="42A1182F" w14:textId="77777777" w:rsidR="00BB68E1" w:rsidRDefault="00BB68E1">
            <w:pPr>
              <w:rPr>
                <w:rFonts w:ascii="Times New Roman" w:hAnsi="Times New Roman"/>
                <w:sz w:val="20"/>
                <w:szCs w:val="20"/>
              </w:rPr>
            </w:pPr>
          </w:p>
        </w:tc>
        <w:tc>
          <w:tcPr>
            <w:tcW w:w="50" w:type="pct"/>
            <w:shd w:val="clear" w:color="auto" w:fill="auto"/>
            <w:vAlign w:val="center"/>
          </w:tcPr>
          <w:p w14:paraId="42A11830" w14:textId="77777777" w:rsidR="00BB68E1" w:rsidRDefault="00BB68E1">
            <w:pPr>
              <w:rPr>
                <w:rFonts w:ascii="Times New Roman" w:hAnsi="Times New Roman"/>
                <w:sz w:val="20"/>
                <w:szCs w:val="20"/>
              </w:rPr>
            </w:pPr>
          </w:p>
        </w:tc>
        <w:tc>
          <w:tcPr>
            <w:tcW w:w="50" w:type="pct"/>
            <w:shd w:val="clear" w:color="auto" w:fill="auto"/>
            <w:vAlign w:val="center"/>
          </w:tcPr>
          <w:p w14:paraId="42A11831" w14:textId="77777777" w:rsidR="00BB68E1" w:rsidRDefault="00BB68E1">
            <w:pPr>
              <w:rPr>
                <w:rFonts w:ascii="Times New Roman" w:hAnsi="Times New Roman"/>
                <w:sz w:val="20"/>
                <w:szCs w:val="20"/>
              </w:rPr>
            </w:pPr>
          </w:p>
        </w:tc>
        <w:tc>
          <w:tcPr>
            <w:tcW w:w="50" w:type="pct"/>
            <w:shd w:val="clear" w:color="auto" w:fill="auto"/>
            <w:vAlign w:val="center"/>
          </w:tcPr>
          <w:p w14:paraId="42A11832" w14:textId="77777777" w:rsidR="00BB68E1" w:rsidRDefault="00BB68E1">
            <w:pPr>
              <w:rPr>
                <w:rFonts w:ascii="Times New Roman" w:hAnsi="Times New Roman"/>
                <w:sz w:val="20"/>
                <w:szCs w:val="20"/>
              </w:rPr>
            </w:pPr>
          </w:p>
        </w:tc>
        <w:tc>
          <w:tcPr>
            <w:tcW w:w="550" w:type="pct"/>
            <w:shd w:val="clear" w:color="auto" w:fill="auto"/>
            <w:vAlign w:val="center"/>
          </w:tcPr>
          <w:p w14:paraId="42A11833" w14:textId="77777777" w:rsidR="00BB68E1" w:rsidRDefault="00BB68E1">
            <w:pPr>
              <w:rPr>
                <w:rFonts w:ascii="Times New Roman" w:hAnsi="Times New Roman"/>
                <w:sz w:val="20"/>
                <w:szCs w:val="20"/>
              </w:rPr>
            </w:pPr>
          </w:p>
        </w:tc>
        <w:tc>
          <w:tcPr>
            <w:tcW w:w="50" w:type="pct"/>
            <w:shd w:val="clear" w:color="auto" w:fill="auto"/>
            <w:vAlign w:val="center"/>
          </w:tcPr>
          <w:p w14:paraId="42A11834" w14:textId="77777777" w:rsidR="00BB68E1" w:rsidRDefault="00BB68E1">
            <w:pPr>
              <w:rPr>
                <w:rFonts w:ascii="Times New Roman" w:hAnsi="Times New Roman"/>
                <w:sz w:val="20"/>
                <w:szCs w:val="20"/>
              </w:rPr>
            </w:pPr>
          </w:p>
        </w:tc>
      </w:tr>
      <w:tr w:rsidR="00BB68E1" w14:paraId="42A11839" w14:textId="77777777">
        <w:tc>
          <w:tcPr>
            <w:tcW w:w="0" w:type="auto"/>
            <w:shd w:val="clear" w:color="auto" w:fill="auto"/>
            <w:tcMar>
              <w:top w:w="40" w:type="dxa"/>
              <w:left w:w="40" w:type="dxa"/>
              <w:bottom w:w="40" w:type="dxa"/>
              <w:right w:w="40" w:type="dxa"/>
            </w:tcMar>
            <w:vAlign w:val="bottom"/>
          </w:tcPr>
          <w:p w14:paraId="42A11836"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183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2A11838"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 xml:space="preserve">Fiscal Years </w:t>
            </w:r>
            <w:r>
              <w:rPr>
                <w:rFonts w:ascii="Times New Roman" w:eastAsia="宋体" w:hAnsi="Times New Roman"/>
                <w:b/>
                <w:bCs/>
                <w:sz w:val="16"/>
                <w:szCs w:val="16"/>
              </w:rPr>
              <w:t>Ended January 31,</w:t>
            </w:r>
          </w:p>
        </w:tc>
      </w:tr>
      <w:tr w:rsidR="00BB68E1" w14:paraId="42A1183F" w14:textId="77777777">
        <w:tc>
          <w:tcPr>
            <w:tcW w:w="0" w:type="auto"/>
            <w:shd w:val="clear" w:color="auto" w:fill="auto"/>
            <w:tcMar>
              <w:top w:w="40" w:type="dxa"/>
              <w:left w:w="40" w:type="dxa"/>
              <w:bottom w:w="40" w:type="dxa"/>
              <w:right w:w="40" w:type="dxa"/>
            </w:tcMar>
            <w:vAlign w:val="bottom"/>
          </w:tcPr>
          <w:p w14:paraId="42A1183A"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18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83C"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183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83E"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BB68E1" w14:paraId="42A11841" w14:textId="77777777">
        <w:tc>
          <w:tcPr>
            <w:tcW w:w="0" w:type="auto"/>
            <w:gridSpan w:val="9"/>
            <w:shd w:val="clear" w:color="auto" w:fill="auto"/>
            <w:tcMar>
              <w:top w:w="40" w:type="dxa"/>
              <w:left w:w="40" w:type="dxa"/>
              <w:bottom w:w="40" w:type="dxa"/>
              <w:right w:w="40" w:type="dxa"/>
            </w:tcMar>
            <w:vAlign w:val="center"/>
          </w:tcPr>
          <w:p w14:paraId="42A11840"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CALCULATION OF RETURN ON ASSETS</w:t>
            </w:r>
          </w:p>
        </w:tc>
      </w:tr>
      <w:tr w:rsidR="00BB68E1" w14:paraId="42A11847" w14:textId="77777777">
        <w:tc>
          <w:tcPr>
            <w:tcW w:w="0" w:type="auto"/>
            <w:shd w:val="clear" w:color="auto" w:fill="auto"/>
            <w:tcMar>
              <w:top w:w="40" w:type="dxa"/>
              <w:left w:w="40" w:type="dxa"/>
              <w:bottom w:w="40" w:type="dxa"/>
              <w:right w:w="40" w:type="dxa"/>
            </w:tcMar>
            <w:vAlign w:val="center"/>
          </w:tcPr>
          <w:p w14:paraId="42A11842"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Numerator</w:t>
            </w:r>
          </w:p>
        </w:tc>
        <w:tc>
          <w:tcPr>
            <w:tcW w:w="0" w:type="auto"/>
            <w:shd w:val="clear" w:color="auto" w:fill="auto"/>
            <w:tcMar>
              <w:top w:w="40" w:type="dxa"/>
              <w:left w:w="40" w:type="dxa"/>
              <w:bottom w:w="40" w:type="dxa"/>
              <w:right w:w="40" w:type="dxa"/>
            </w:tcMar>
            <w:vAlign w:val="bottom"/>
          </w:tcPr>
          <w:p w14:paraId="42A1184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84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84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84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851" w14:textId="77777777">
        <w:tc>
          <w:tcPr>
            <w:tcW w:w="0" w:type="auto"/>
            <w:shd w:val="clear" w:color="auto" w:fill="CCEEFF"/>
            <w:tcMar>
              <w:top w:w="40" w:type="dxa"/>
              <w:left w:w="560" w:type="dxa"/>
              <w:bottom w:w="40" w:type="dxa"/>
              <w:right w:w="40" w:type="dxa"/>
            </w:tcMar>
            <w:vAlign w:val="center"/>
          </w:tcPr>
          <w:p w14:paraId="42A1184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Consolidated net income</w:t>
            </w:r>
          </w:p>
        </w:tc>
        <w:tc>
          <w:tcPr>
            <w:tcW w:w="0" w:type="auto"/>
            <w:shd w:val="clear" w:color="auto" w:fill="CCEEFF"/>
            <w:tcMar>
              <w:top w:w="40" w:type="dxa"/>
              <w:left w:w="40" w:type="dxa"/>
              <w:bottom w:w="40" w:type="dxa"/>
              <w:right w:w="40" w:type="dxa"/>
            </w:tcMar>
            <w:vAlign w:val="bottom"/>
          </w:tcPr>
          <w:p w14:paraId="42A1184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184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184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15,201</w:t>
            </w:r>
          </w:p>
        </w:tc>
        <w:tc>
          <w:tcPr>
            <w:tcW w:w="0" w:type="auto"/>
            <w:tcBorders>
              <w:bottom w:val="double" w:sz="6" w:space="0" w:color="000000"/>
            </w:tcBorders>
            <w:shd w:val="clear" w:color="auto" w:fill="CCEEFF"/>
            <w:vAlign w:val="bottom"/>
          </w:tcPr>
          <w:p w14:paraId="42A1184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8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184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184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7,179</w:t>
            </w:r>
          </w:p>
        </w:tc>
        <w:tc>
          <w:tcPr>
            <w:tcW w:w="0" w:type="auto"/>
            <w:tcBorders>
              <w:bottom w:val="double" w:sz="6" w:space="0" w:color="000000"/>
            </w:tcBorders>
            <w:shd w:val="clear" w:color="auto" w:fill="CCEEFF"/>
            <w:vAlign w:val="bottom"/>
          </w:tcPr>
          <w:p w14:paraId="42A11850" w14:textId="77777777" w:rsidR="00BB68E1" w:rsidRDefault="00BB68E1">
            <w:pPr>
              <w:textAlignment w:val="bottom"/>
              <w:rPr>
                <w:rFonts w:ascii="Times New Roman" w:hAnsi="Times New Roman"/>
                <w:sz w:val="20"/>
                <w:szCs w:val="20"/>
              </w:rPr>
            </w:pPr>
          </w:p>
        </w:tc>
      </w:tr>
      <w:tr w:rsidR="00BB68E1" w14:paraId="42A11857" w14:textId="77777777">
        <w:tc>
          <w:tcPr>
            <w:tcW w:w="0" w:type="auto"/>
            <w:shd w:val="clear" w:color="auto" w:fill="auto"/>
            <w:tcMar>
              <w:top w:w="40" w:type="dxa"/>
              <w:left w:w="40" w:type="dxa"/>
              <w:bottom w:w="40" w:type="dxa"/>
              <w:right w:w="40" w:type="dxa"/>
            </w:tcMar>
            <w:vAlign w:val="center"/>
          </w:tcPr>
          <w:p w14:paraId="42A11852"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Denominator</w:t>
            </w:r>
          </w:p>
        </w:tc>
        <w:tc>
          <w:tcPr>
            <w:tcW w:w="0" w:type="auto"/>
            <w:shd w:val="clear" w:color="auto" w:fill="auto"/>
            <w:tcMar>
              <w:top w:w="40" w:type="dxa"/>
              <w:left w:w="40" w:type="dxa"/>
              <w:bottom w:w="40" w:type="dxa"/>
              <w:right w:w="40" w:type="dxa"/>
            </w:tcMar>
            <w:vAlign w:val="bottom"/>
          </w:tcPr>
          <w:p w14:paraId="42A1185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8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85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85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861" w14:textId="77777777">
        <w:tc>
          <w:tcPr>
            <w:tcW w:w="0" w:type="auto"/>
            <w:shd w:val="clear" w:color="auto" w:fill="CCEEFF"/>
            <w:tcMar>
              <w:top w:w="40" w:type="dxa"/>
              <w:left w:w="560" w:type="dxa"/>
              <w:bottom w:w="40" w:type="dxa"/>
              <w:right w:w="40" w:type="dxa"/>
            </w:tcMar>
            <w:vAlign w:val="center"/>
          </w:tcPr>
          <w:p w14:paraId="42A1185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Average total assets</w:t>
            </w:r>
            <w:r>
              <w:rPr>
                <w:rFonts w:ascii="Times New Roman" w:eastAsia="宋体" w:hAnsi="Times New Roman"/>
                <w:sz w:val="10"/>
                <w:szCs w:val="10"/>
              </w:rPr>
              <w:t>(1)</w:t>
            </w:r>
          </w:p>
        </w:tc>
        <w:tc>
          <w:tcPr>
            <w:tcW w:w="0" w:type="auto"/>
            <w:shd w:val="clear" w:color="auto" w:fill="CCEEFF"/>
            <w:tcMar>
              <w:top w:w="40" w:type="dxa"/>
              <w:left w:w="40" w:type="dxa"/>
              <w:bottom w:w="40" w:type="dxa"/>
              <w:right w:w="40" w:type="dxa"/>
            </w:tcMar>
            <w:vAlign w:val="bottom"/>
          </w:tcPr>
          <w:p w14:paraId="42A1185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185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185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227,895</w:t>
            </w:r>
          </w:p>
        </w:tc>
        <w:tc>
          <w:tcPr>
            <w:tcW w:w="0" w:type="auto"/>
            <w:tcBorders>
              <w:bottom w:val="double" w:sz="6" w:space="0" w:color="000000"/>
            </w:tcBorders>
            <w:shd w:val="clear" w:color="auto" w:fill="CCEEFF"/>
            <w:vAlign w:val="bottom"/>
          </w:tcPr>
          <w:p w14:paraId="42A1185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85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185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185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211,909</w:t>
            </w:r>
          </w:p>
        </w:tc>
        <w:tc>
          <w:tcPr>
            <w:tcW w:w="0" w:type="auto"/>
            <w:tcBorders>
              <w:bottom w:val="double" w:sz="6" w:space="0" w:color="000000"/>
            </w:tcBorders>
            <w:shd w:val="clear" w:color="auto" w:fill="CCEEFF"/>
            <w:vAlign w:val="bottom"/>
          </w:tcPr>
          <w:p w14:paraId="42A11860" w14:textId="77777777" w:rsidR="00BB68E1" w:rsidRDefault="00BB68E1">
            <w:pPr>
              <w:textAlignment w:val="bottom"/>
              <w:rPr>
                <w:rFonts w:ascii="Times New Roman" w:hAnsi="Times New Roman"/>
                <w:sz w:val="20"/>
                <w:szCs w:val="20"/>
              </w:rPr>
            </w:pPr>
          </w:p>
        </w:tc>
      </w:tr>
      <w:tr w:rsidR="00BB68E1" w14:paraId="42A11869" w14:textId="77777777">
        <w:tc>
          <w:tcPr>
            <w:tcW w:w="0" w:type="auto"/>
            <w:shd w:val="clear" w:color="auto" w:fill="auto"/>
            <w:tcMar>
              <w:top w:w="40" w:type="dxa"/>
              <w:left w:w="40" w:type="dxa"/>
              <w:bottom w:w="40" w:type="dxa"/>
              <w:right w:w="40" w:type="dxa"/>
            </w:tcMar>
            <w:vAlign w:val="center"/>
          </w:tcPr>
          <w:p w14:paraId="42A11862"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Return on assets (ROA)</w:t>
            </w:r>
          </w:p>
        </w:tc>
        <w:tc>
          <w:tcPr>
            <w:tcW w:w="0" w:type="auto"/>
            <w:shd w:val="clear" w:color="auto" w:fill="auto"/>
            <w:tcMar>
              <w:top w:w="40" w:type="dxa"/>
              <w:left w:w="40" w:type="dxa"/>
              <w:bottom w:w="40" w:type="dxa"/>
              <w:right w:w="40" w:type="dxa"/>
            </w:tcMar>
            <w:vAlign w:val="bottom"/>
          </w:tcPr>
          <w:p w14:paraId="42A1186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center"/>
          </w:tcPr>
          <w:p w14:paraId="42A1186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6.7</w:t>
            </w:r>
          </w:p>
        </w:tc>
        <w:tc>
          <w:tcPr>
            <w:tcW w:w="0" w:type="auto"/>
            <w:tcBorders>
              <w:bottom w:val="double" w:sz="6" w:space="0" w:color="000000"/>
            </w:tcBorders>
            <w:shd w:val="clear" w:color="auto" w:fill="auto"/>
            <w:tcMar>
              <w:top w:w="40" w:type="dxa"/>
              <w:bottom w:w="40" w:type="dxa"/>
              <w:right w:w="40" w:type="dxa"/>
            </w:tcMar>
            <w:vAlign w:val="center"/>
          </w:tcPr>
          <w:p w14:paraId="42A1186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86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center"/>
          </w:tcPr>
          <w:p w14:paraId="42A1186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3.4</w:t>
            </w:r>
          </w:p>
        </w:tc>
        <w:tc>
          <w:tcPr>
            <w:tcW w:w="0" w:type="auto"/>
            <w:tcBorders>
              <w:bottom w:val="double" w:sz="6" w:space="0" w:color="000000"/>
            </w:tcBorders>
            <w:shd w:val="clear" w:color="auto" w:fill="auto"/>
            <w:tcMar>
              <w:top w:w="40" w:type="dxa"/>
              <w:bottom w:w="40" w:type="dxa"/>
              <w:right w:w="40" w:type="dxa"/>
            </w:tcMar>
            <w:vAlign w:val="center"/>
          </w:tcPr>
          <w:p w14:paraId="42A1186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86F" w14:textId="77777777">
        <w:tc>
          <w:tcPr>
            <w:tcW w:w="0" w:type="auto"/>
            <w:shd w:val="clear" w:color="auto" w:fill="CCEEFF"/>
            <w:tcMar>
              <w:top w:w="40" w:type="dxa"/>
              <w:left w:w="40" w:type="dxa"/>
              <w:bottom w:w="40" w:type="dxa"/>
              <w:right w:w="40" w:type="dxa"/>
            </w:tcMar>
            <w:vAlign w:val="bottom"/>
          </w:tcPr>
          <w:p w14:paraId="42A1186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86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86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86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8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871" w14:textId="77777777">
        <w:tc>
          <w:tcPr>
            <w:tcW w:w="0" w:type="auto"/>
            <w:gridSpan w:val="9"/>
            <w:shd w:val="clear" w:color="auto" w:fill="auto"/>
            <w:tcMar>
              <w:top w:w="40" w:type="dxa"/>
              <w:left w:w="40" w:type="dxa"/>
              <w:bottom w:w="40" w:type="dxa"/>
              <w:right w:w="40" w:type="dxa"/>
            </w:tcMar>
            <w:vAlign w:val="center"/>
          </w:tcPr>
          <w:p w14:paraId="42A11870"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CALCULATION OF RETURN ON INVESTMENT</w:t>
            </w:r>
          </w:p>
        </w:tc>
      </w:tr>
      <w:tr w:rsidR="00BB68E1" w14:paraId="42A11877" w14:textId="77777777">
        <w:tc>
          <w:tcPr>
            <w:tcW w:w="0" w:type="auto"/>
            <w:shd w:val="clear" w:color="auto" w:fill="CCEEFF"/>
            <w:tcMar>
              <w:top w:w="40" w:type="dxa"/>
              <w:left w:w="40" w:type="dxa"/>
              <w:bottom w:w="40" w:type="dxa"/>
              <w:right w:w="40" w:type="dxa"/>
            </w:tcMar>
            <w:vAlign w:val="center"/>
          </w:tcPr>
          <w:p w14:paraId="42A11872"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Numerator</w:t>
            </w:r>
          </w:p>
        </w:tc>
        <w:tc>
          <w:tcPr>
            <w:tcW w:w="0" w:type="auto"/>
            <w:shd w:val="clear" w:color="auto" w:fill="CCEEFF"/>
            <w:tcMar>
              <w:top w:w="40" w:type="dxa"/>
              <w:left w:w="40" w:type="dxa"/>
              <w:bottom w:w="40" w:type="dxa"/>
              <w:right w:w="40" w:type="dxa"/>
            </w:tcMar>
            <w:vAlign w:val="bottom"/>
          </w:tcPr>
          <w:p w14:paraId="42A1187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87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87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87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881" w14:textId="77777777">
        <w:tc>
          <w:tcPr>
            <w:tcW w:w="0" w:type="auto"/>
            <w:shd w:val="clear" w:color="auto" w:fill="auto"/>
            <w:tcMar>
              <w:top w:w="40" w:type="dxa"/>
              <w:left w:w="560" w:type="dxa"/>
              <w:bottom w:w="40" w:type="dxa"/>
              <w:right w:w="40" w:type="dxa"/>
            </w:tcMar>
            <w:vAlign w:val="center"/>
          </w:tcPr>
          <w:p w14:paraId="42A1187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auto"/>
            <w:tcMar>
              <w:top w:w="40" w:type="dxa"/>
              <w:left w:w="40" w:type="dxa"/>
              <w:bottom w:w="40" w:type="dxa"/>
              <w:right w:w="40" w:type="dxa"/>
            </w:tcMar>
            <w:vAlign w:val="bottom"/>
          </w:tcPr>
          <w:p w14:paraId="42A1187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87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87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20,568</w:t>
            </w:r>
          </w:p>
        </w:tc>
        <w:tc>
          <w:tcPr>
            <w:tcW w:w="0" w:type="auto"/>
            <w:shd w:val="clear" w:color="auto" w:fill="auto"/>
            <w:vAlign w:val="bottom"/>
          </w:tcPr>
          <w:p w14:paraId="42A1187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87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87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87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21,957</w:t>
            </w:r>
          </w:p>
        </w:tc>
        <w:tc>
          <w:tcPr>
            <w:tcW w:w="0" w:type="auto"/>
            <w:shd w:val="clear" w:color="auto" w:fill="auto"/>
            <w:vAlign w:val="bottom"/>
          </w:tcPr>
          <w:p w14:paraId="42A11880" w14:textId="77777777" w:rsidR="00BB68E1" w:rsidRDefault="00BB68E1">
            <w:pPr>
              <w:textAlignment w:val="bottom"/>
              <w:rPr>
                <w:rFonts w:ascii="Times New Roman" w:hAnsi="Times New Roman"/>
                <w:sz w:val="20"/>
                <w:szCs w:val="20"/>
              </w:rPr>
            </w:pPr>
          </w:p>
        </w:tc>
      </w:tr>
      <w:tr w:rsidR="00BB68E1" w14:paraId="42A11889" w14:textId="77777777">
        <w:tc>
          <w:tcPr>
            <w:tcW w:w="0" w:type="auto"/>
            <w:shd w:val="clear" w:color="auto" w:fill="CCEEFF"/>
            <w:tcMar>
              <w:top w:w="40" w:type="dxa"/>
              <w:left w:w="560" w:type="dxa"/>
              <w:bottom w:w="40" w:type="dxa"/>
              <w:right w:w="40" w:type="dxa"/>
            </w:tcMar>
            <w:vAlign w:val="center"/>
          </w:tcPr>
          <w:p w14:paraId="42A1188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Interest income</w:t>
            </w:r>
          </w:p>
        </w:tc>
        <w:tc>
          <w:tcPr>
            <w:tcW w:w="0" w:type="auto"/>
            <w:shd w:val="clear" w:color="auto" w:fill="CCEEFF"/>
            <w:tcMar>
              <w:top w:w="40" w:type="dxa"/>
              <w:left w:w="40" w:type="dxa"/>
              <w:bottom w:w="40" w:type="dxa"/>
              <w:right w:w="40" w:type="dxa"/>
            </w:tcMar>
            <w:vAlign w:val="bottom"/>
          </w:tcPr>
          <w:p w14:paraId="42A1188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88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189</w:t>
            </w:r>
          </w:p>
        </w:tc>
        <w:tc>
          <w:tcPr>
            <w:tcW w:w="0" w:type="auto"/>
            <w:shd w:val="clear" w:color="auto" w:fill="CCEEFF"/>
            <w:vAlign w:val="bottom"/>
          </w:tcPr>
          <w:p w14:paraId="42A1188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8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88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217</w:t>
            </w:r>
          </w:p>
        </w:tc>
        <w:tc>
          <w:tcPr>
            <w:tcW w:w="0" w:type="auto"/>
            <w:shd w:val="clear" w:color="auto" w:fill="CCEEFF"/>
            <w:vAlign w:val="bottom"/>
          </w:tcPr>
          <w:p w14:paraId="42A11888" w14:textId="77777777" w:rsidR="00BB68E1" w:rsidRDefault="00BB68E1">
            <w:pPr>
              <w:textAlignment w:val="bottom"/>
              <w:rPr>
                <w:rFonts w:ascii="Times New Roman" w:hAnsi="Times New Roman"/>
                <w:sz w:val="20"/>
                <w:szCs w:val="20"/>
              </w:rPr>
            </w:pPr>
          </w:p>
        </w:tc>
      </w:tr>
      <w:tr w:rsidR="00BB68E1" w14:paraId="42A11891" w14:textId="77777777">
        <w:tc>
          <w:tcPr>
            <w:tcW w:w="0" w:type="auto"/>
            <w:shd w:val="clear" w:color="auto" w:fill="auto"/>
            <w:tcMar>
              <w:top w:w="40" w:type="dxa"/>
              <w:left w:w="560" w:type="dxa"/>
              <w:bottom w:w="40" w:type="dxa"/>
              <w:right w:w="40" w:type="dxa"/>
            </w:tcMar>
            <w:vAlign w:val="center"/>
          </w:tcPr>
          <w:p w14:paraId="42A1188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Depreciation and amortization</w:t>
            </w:r>
          </w:p>
        </w:tc>
        <w:tc>
          <w:tcPr>
            <w:tcW w:w="0" w:type="auto"/>
            <w:shd w:val="clear" w:color="auto" w:fill="auto"/>
            <w:tcMar>
              <w:top w:w="40" w:type="dxa"/>
              <w:left w:w="40" w:type="dxa"/>
              <w:bottom w:w="40" w:type="dxa"/>
              <w:right w:w="40" w:type="dxa"/>
            </w:tcMar>
            <w:vAlign w:val="bottom"/>
          </w:tcPr>
          <w:p w14:paraId="42A1188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88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10,987</w:t>
            </w:r>
          </w:p>
        </w:tc>
        <w:tc>
          <w:tcPr>
            <w:tcW w:w="0" w:type="auto"/>
            <w:shd w:val="clear" w:color="auto" w:fill="auto"/>
            <w:vAlign w:val="bottom"/>
          </w:tcPr>
          <w:p w14:paraId="42A1188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88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88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10,678</w:t>
            </w:r>
          </w:p>
        </w:tc>
        <w:tc>
          <w:tcPr>
            <w:tcW w:w="0" w:type="auto"/>
            <w:shd w:val="clear" w:color="auto" w:fill="auto"/>
            <w:vAlign w:val="bottom"/>
          </w:tcPr>
          <w:p w14:paraId="42A11890" w14:textId="77777777" w:rsidR="00BB68E1" w:rsidRDefault="00BB68E1">
            <w:pPr>
              <w:textAlignment w:val="bottom"/>
              <w:rPr>
                <w:rFonts w:ascii="Times New Roman" w:hAnsi="Times New Roman"/>
                <w:sz w:val="20"/>
                <w:szCs w:val="20"/>
              </w:rPr>
            </w:pPr>
          </w:p>
        </w:tc>
      </w:tr>
      <w:tr w:rsidR="00BB68E1" w14:paraId="42A11899" w14:textId="77777777">
        <w:tc>
          <w:tcPr>
            <w:tcW w:w="0" w:type="auto"/>
            <w:shd w:val="clear" w:color="auto" w:fill="CCEEFF"/>
            <w:tcMar>
              <w:top w:w="40" w:type="dxa"/>
              <w:left w:w="560" w:type="dxa"/>
              <w:bottom w:w="40" w:type="dxa"/>
              <w:right w:w="40" w:type="dxa"/>
            </w:tcMar>
            <w:vAlign w:val="center"/>
          </w:tcPr>
          <w:p w14:paraId="42A1189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lastRenderedPageBreak/>
              <w:t>+ Rent</w:t>
            </w:r>
          </w:p>
        </w:tc>
        <w:tc>
          <w:tcPr>
            <w:tcW w:w="0" w:type="auto"/>
            <w:shd w:val="clear" w:color="auto" w:fill="CCEEFF"/>
            <w:tcMar>
              <w:top w:w="40" w:type="dxa"/>
              <w:left w:w="40" w:type="dxa"/>
              <w:bottom w:w="40" w:type="dxa"/>
              <w:right w:w="40" w:type="dxa"/>
            </w:tcMar>
            <w:vAlign w:val="bottom"/>
          </w:tcPr>
          <w:p w14:paraId="42A1189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189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2,670</w:t>
            </w:r>
          </w:p>
        </w:tc>
        <w:tc>
          <w:tcPr>
            <w:tcW w:w="0" w:type="auto"/>
            <w:tcBorders>
              <w:bottom w:val="single" w:sz="8" w:space="0" w:color="000000"/>
            </w:tcBorders>
            <w:shd w:val="clear" w:color="auto" w:fill="CCEEFF"/>
            <w:vAlign w:val="bottom"/>
          </w:tcPr>
          <w:p w14:paraId="42A1189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89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189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3,004</w:t>
            </w:r>
          </w:p>
        </w:tc>
        <w:tc>
          <w:tcPr>
            <w:tcW w:w="0" w:type="auto"/>
            <w:tcBorders>
              <w:bottom w:val="single" w:sz="8" w:space="0" w:color="000000"/>
            </w:tcBorders>
            <w:shd w:val="clear" w:color="auto" w:fill="CCEEFF"/>
            <w:vAlign w:val="bottom"/>
          </w:tcPr>
          <w:p w14:paraId="42A11898" w14:textId="77777777" w:rsidR="00BB68E1" w:rsidRDefault="00BB68E1">
            <w:pPr>
              <w:textAlignment w:val="bottom"/>
              <w:rPr>
                <w:rFonts w:ascii="Times New Roman" w:hAnsi="Times New Roman"/>
                <w:sz w:val="20"/>
                <w:szCs w:val="20"/>
              </w:rPr>
            </w:pPr>
          </w:p>
        </w:tc>
      </w:tr>
      <w:tr w:rsidR="00BB68E1" w14:paraId="42A118A3" w14:textId="77777777">
        <w:tc>
          <w:tcPr>
            <w:tcW w:w="0" w:type="auto"/>
            <w:shd w:val="clear" w:color="auto" w:fill="auto"/>
            <w:tcMar>
              <w:top w:w="40" w:type="dxa"/>
              <w:left w:w="560" w:type="dxa"/>
              <w:bottom w:w="40" w:type="dxa"/>
              <w:right w:w="40" w:type="dxa"/>
            </w:tcMar>
            <w:vAlign w:val="center"/>
          </w:tcPr>
          <w:p w14:paraId="42A1189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ROI </w:t>
            </w:r>
            <w:r>
              <w:rPr>
                <w:rFonts w:ascii="Times New Roman" w:eastAsia="宋体" w:hAnsi="Times New Roman"/>
                <w:sz w:val="16"/>
                <w:szCs w:val="16"/>
              </w:rPr>
              <w:t>operating income</w:t>
            </w:r>
          </w:p>
        </w:tc>
        <w:tc>
          <w:tcPr>
            <w:tcW w:w="0" w:type="auto"/>
            <w:shd w:val="clear" w:color="auto" w:fill="auto"/>
            <w:tcMar>
              <w:top w:w="40" w:type="dxa"/>
              <w:left w:w="40" w:type="dxa"/>
              <w:bottom w:w="40" w:type="dxa"/>
              <w:right w:w="40" w:type="dxa"/>
            </w:tcMar>
            <w:vAlign w:val="bottom"/>
          </w:tcPr>
          <w:p w14:paraId="42A1189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189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2A1189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34,414</w:t>
            </w:r>
          </w:p>
        </w:tc>
        <w:tc>
          <w:tcPr>
            <w:tcW w:w="0" w:type="auto"/>
            <w:tcBorders>
              <w:bottom w:val="double" w:sz="6" w:space="0" w:color="000000"/>
            </w:tcBorders>
            <w:shd w:val="clear" w:color="auto" w:fill="auto"/>
            <w:vAlign w:val="bottom"/>
          </w:tcPr>
          <w:p w14:paraId="42A1189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89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18A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2A118A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35,856</w:t>
            </w:r>
          </w:p>
        </w:tc>
        <w:tc>
          <w:tcPr>
            <w:tcW w:w="0" w:type="auto"/>
            <w:tcBorders>
              <w:bottom w:val="double" w:sz="6" w:space="0" w:color="000000"/>
            </w:tcBorders>
            <w:shd w:val="clear" w:color="auto" w:fill="auto"/>
            <w:vAlign w:val="bottom"/>
          </w:tcPr>
          <w:p w14:paraId="42A118A2" w14:textId="77777777" w:rsidR="00BB68E1" w:rsidRDefault="00BB68E1">
            <w:pPr>
              <w:textAlignment w:val="bottom"/>
              <w:rPr>
                <w:rFonts w:ascii="Times New Roman" w:hAnsi="Times New Roman"/>
                <w:sz w:val="20"/>
                <w:szCs w:val="20"/>
              </w:rPr>
            </w:pPr>
          </w:p>
        </w:tc>
      </w:tr>
      <w:tr w:rsidR="00BB68E1" w14:paraId="42A118A9" w14:textId="77777777">
        <w:tc>
          <w:tcPr>
            <w:tcW w:w="0" w:type="auto"/>
            <w:shd w:val="clear" w:color="auto" w:fill="CCEEFF"/>
            <w:tcMar>
              <w:top w:w="40" w:type="dxa"/>
              <w:left w:w="40" w:type="dxa"/>
              <w:bottom w:w="40" w:type="dxa"/>
              <w:right w:w="40" w:type="dxa"/>
            </w:tcMar>
            <w:vAlign w:val="bottom"/>
          </w:tcPr>
          <w:p w14:paraId="42A118A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8A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8A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8A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8A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8AF" w14:textId="77777777">
        <w:tc>
          <w:tcPr>
            <w:tcW w:w="0" w:type="auto"/>
            <w:shd w:val="clear" w:color="auto" w:fill="auto"/>
            <w:tcMar>
              <w:top w:w="40" w:type="dxa"/>
              <w:left w:w="40" w:type="dxa"/>
              <w:bottom w:w="40" w:type="dxa"/>
              <w:right w:w="40" w:type="dxa"/>
            </w:tcMar>
            <w:vAlign w:val="center"/>
          </w:tcPr>
          <w:p w14:paraId="42A118AA"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Denominator</w:t>
            </w:r>
          </w:p>
        </w:tc>
        <w:tc>
          <w:tcPr>
            <w:tcW w:w="0" w:type="auto"/>
            <w:shd w:val="clear" w:color="auto" w:fill="auto"/>
            <w:tcMar>
              <w:top w:w="40" w:type="dxa"/>
              <w:left w:w="40" w:type="dxa"/>
              <w:bottom w:w="40" w:type="dxa"/>
              <w:right w:w="40" w:type="dxa"/>
            </w:tcMar>
            <w:vAlign w:val="bottom"/>
          </w:tcPr>
          <w:p w14:paraId="42A118A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8A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8A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8A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8B9" w14:textId="77777777">
        <w:tc>
          <w:tcPr>
            <w:tcW w:w="0" w:type="auto"/>
            <w:shd w:val="clear" w:color="auto" w:fill="CCEEFF"/>
            <w:tcMar>
              <w:top w:w="40" w:type="dxa"/>
              <w:left w:w="560" w:type="dxa"/>
              <w:bottom w:w="40" w:type="dxa"/>
              <w:right w:w="40" w:type="dxa"/>
            </w:tcMar>
            <w:vAlign w:val="center"/>
          </w:tcPr>
          <w:p w14:paraId="42A118B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Average total assets</w:t>
            </w:r>
            <w:r>
              <w:rPr>
                <w:rFonts w:ascii="Times New Roman" w:eastAsia="宋体" w:hAnsi="Times New Roman"/>
                <w:sz w:val="10"/>
                <w:szCs w:val="10"/>
              </w:rPr>
              <w:t>(1), (2)</w:t>
            </w:r>
          </w:p>
        </w:tc>
        <w:tc>
          <w:tcPr>
            <w:tcW w:w="0" w:type="auto"/>
            <w:shd w:val="clear" w:color="auto" w:fill="CCEEFF"/>
            <w:tcMar>
              <w:top w:w="40" w:type="dxa"/>
              <w:left w:w="40" w:type="dxa"/>
              <w:bottom w:w="40" w:type="dxa"/>
              <w:right w:w="40" w:type="dxa"/>
            </w:tcMar>
            <w:vAlign w:val="bottom"/>
          </w:tcPr>
          <w:p w14:paraId="42A118B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8B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8B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235,277</w:t>
            </w:r>
          </w:p>
        </w:tc>
        <w:tc>
          <w:tcPr>
            <w:tcW w:w="0" w:type="auto"/>
            <w:shd w:val="clear" w:color="auto" w:fill="CCEEFF"/>
            <w:vAlign w:val="bottom"/>
          </w:tcPr>
          <w:p w14:paraId="42A118B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8B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8B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8B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211,909</w:t>
            </w:r>
          </w:p>
        </w:tc>
        <w:tc>
          <w:tcPr>
            <w:tcW w:w="0" w:type="auto"/>
            <w:shd w:val="clear" w:color="auto" w:fill="CCEEFF"/>
            <w:vAlign w:val="bottom"/>
          </w:tcPr>
          <w:p w14:paraId="42A118B8" w14:textId="77777777" w:rsidR="00BB68E1" w:rsidRDefault="00BB68E1">
            <w:pPr>
              <w:textAlignment w:val="bottom"/>
              <w:rPr>
                <w:rFonts w:ascii="Times New Roman" w:hAnsi="Times New Roman"/>
                <w:sz w:val="20"/>
                <w:szCs w:val="20"/>
              </w:rPr>
            </w:pPr>
          </w:p>
        </w:tc>
      </w:tr>
      <w:tr w:rsidR="00BB68E1" w14:paraId="42A118C1" w14:textId="77777777">
        <w:tc>
          <w:tcPr>
            <w:tcW w:w="0" w:type="auto"/>
            <w:shd w:val="clear" w:color="auto" w:fill="auto"/>
            <w:tcMar>
              <w:top w:w="40" w:type="dxa"/>
              <w:left w:w="560" w:type="dxa"/>
              <w:bottom w:w="40" w:type="dxa"/>
              <w:right w:w="40" w:type="dxa"/>
            </w:tcMar>
            <w:vAlign w:val="center"/>
          </w:tcPr>
          <w:p w14:paraId="42A118B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Average accumulated depreciation and amortization</w:t>
            </w:r>
            <w:r>
              <w:rPr>
                <w:rFonts w:ascii="Times New Roman" w:eastAsia="宋体" w:hAnsi="Times New Roman"/>
                <w:sz w:val="10"/>
                <w:szCs w:val="10"/>
              </w:rPr>
              <w:t>(1), (2)</w:t>
            </w:r>
          </w:p>
        </w:tc>
        <w:tc>
          <w:tcPr>
            <w:tcW w:w="0" w:type="auto"/>
            <w:shd w:val="clear" w:color="auto" w:fill="auto"/>
            <w:tcMar>
              <w:top w:w="40" w:type="dxa"/>
              <w:left w:w="40" w:type="dxa"/>
              <w:bottom w:w="40" w:type="dxa"/>
              <w:right w:w="40" w:type="dxa"/>
            </w:tcMar>
            <w:vAlign w:val="bottom"/>
          </w:tcPr>
          <w:p w14:paraId="42A118B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8B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90,351</w:t>
            </w:r>
          </w:p>
        </w:tc>
        <w:tc>
          <w:tcPr>
            <w:tcW w:w="0" w:type="auto"/>
            <w:shd w:val="clear" w:color="auto" w:fill="auto"/>
            <w:vAlign w:val="bottom"/>
          </w:tcPr>
          <w:p w14:paraId="42A118B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8B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8B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85,107</w:t>
            </w:r>
          </w:p>
        </w:tc>
        <w:tc>
          <w:tcPr>
            <w:tcW w:w="0" w:type="auto"/>
            <w:shd w:val="clear" w:color="auto" w:fill="auto"/>
            <w:vAlign w:val="bottom"/>
          </w:tcPr>
          <w:p w14:paraId="42A118C0" w14:textId="77777777" w:rsidR="00BB68E1" w:rsidRDefault="00BB68E1">
            <w:pPr>
              <w:textAlignment w:val="bottom"/>
              <w:rPr>
                <w:rFonts w:ascii="Times New Roman" w:hAnsi="Times New Roman"/>
                <w:sz w:val="20"/>
                <w:szCs w:val="20"/>
              </w:rPr>
            </w:pPr>
          </w:p>
        </w:tc>
      </w:tr>
      <w:tr w:rsidR="00BB68E1" w14:paraId="42A118C9" w14:textId="77777777">
        <w:tc>
          <w:tcPr>
            <w:tcW w:w="0" w:type="auto"/>
            <w:shd w:val="clear" w:color="auto" w:fill="CCEEFF"/>
            <w:tcMar>
              <w:top w:w="40" w:type="dxa"/>
              <w:left w:w="560" w:type="dxa"/>
              <w:bottom w:w="40" w:type="dxa"/>
              <w:right w:w="40" w:type="dxa"/>
            </w:tcMar>
            <w:vAlign w:val="center"/>
          </w:tcPr>
          <w:p w14:paraId="42A118C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Average accounts payable</w:t>
            </w:r>
            <w:r>
              <w:rPr>
                <w:rFonts w:ascii="Times New Roman" w:eastAsia="宋体" w:hAnsi="Times New Roman"/>
                <w:sz w:val="10"/>
                <w:szCs w:val="10"/>
              </w:rPr>
              <w:t>(1)</w:t>
            </w:r>
          </w:p>
        </w:tc>
        <w:tc>
          <w:tcPr>
            <w:tcW w:w="0" w:type="auto"/>
            <w:shd w:val="clear" w:color="auto" w:fill="CCEEFF"/>
            <w:tcMar>
              <w:top w:w="40" w:type="dxa"/>
              <w:left w:w="40" w:type="dxa"/>
              <w:bottom w:w="40" w:type="dxa"/>
              <w:right w:w="40" w:type="dxa"/>
            </w:tcMar>
            <w:vAlign w:val="bottom"/>
          </w:tcPr>
          <w:p w14:paraId="42A118C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8C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47,017</w:t>
            </w:r>
          </w:p>
        </w:tc>
        <w:tc>
          <w:tcPr>
            <w:tcW w:w="0" w:type="auto"/>
            <w:shd w:val="clear" w:color="auto" w:fill="CCEEFF"/>
            <w:vAlign w:val="bottom"/>
          </w:tcPr>
          <w:p w14:paraId="42A118C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8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8C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46,576</w:t>
            </w:r>
          </w:p>
        </w:tc>
        <w:tc>
          <w:tcPr>
            <w:tcW w:w="0" w:type="auto"/>
            <w:shd w:val="clear" w:color="auto" w:fill="CCEEFF"/>
            <w:vAlign w:val="bottom"/>
          </w:tcPr>
          <w:p w14:paraId="42A118C8" w14:textId="77777777" w:rsidR="00BB68E1" w:rsidRDefault="00BB68E1">
            <w:pPr>
              <w:textAlignment w:val="bottom"/>
              <w:rPr>
                <w:rFonts w:ascii="Times New Roman" w:hAnsi="Times New Roman"/>
                <w:sz w:val="20"/>
                <w:szCs w:val="20"/>
              </w:rPr>
            </w:pPr>
          </w:p>
        </w:tc>
      </w:tr>
      <w:tr w:rsidR="00BB68E1" w14:paraId="42A118D1" w14:textId="77777777">
        <w:tc>
          <w:tcPr>
            <w:tcW w:w="0" w:type="auto"/>
            <w:shd w:val="clear" w:color="auto" w:fill="auto"/>
            <w:tcMar>
              <w:top w:w="40" w:type="dxa"/>
              <w:left w:w="560" w:type="dxa"/>
              <w:bottom w:w="40" w:type="dxa"/>
              <w:right w:w="40" w:type="dxa"/>
            </w:tcMar>
            <w:vAlign w:val="center"/>
          </w:tcPr>
          <w:p w14:paraId="42A118C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Average accrued liabilities</w:t>
            </w:r>
            <w:r>
              <w:rPr>
                <w:rFonts w:ascii="Times New Roman" w:eastAsia="宋体" w:hAnsi="Times New Roman"/>
                <w:sz w:val="10"/>
                <w:szCs w:val="10"/>
              </w:rPr>
              <w:t>(1)</w:t>
            </w:r>
          </w:p>
        </w:tc>
        <w:tc>
          <w:tcPr>
            <w:tcW w:w="0" w:type="auto"/>
            <w:shd w:val="clear" w:color="auto" w:fill="auto"/>
            <w:tcMar>
              <w:top w:w="40" w:type="dxa"/>
              <w:left w:w="40" w:type="dxa"/>
              <w:bottom w:w="40" w:type="dxa"/>
              <w:right w:w="40" w:type="dxa"/>
            </w:tcMar>
            <w:vAlign w:val="bottom"/>
          </w:tcPr>
          <w:p w14:paraId="42A118C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8C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22,228</w:t>
            </w:r>
          </w:p>
        </w:tc>
        <w:tc>
          <w:tcPr>
            <w:tcW w:w="0" w:type="auto"/>
            <w:shd w:val="clear" w:color="auto" w:fill="auto"/>
            <w:vAlign w:val="bottom"/>
          </w:tcPr>
          <w:p w14:paraId="42A118C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8C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8C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22,141</w:t>
            </w:r>
          </w:p>
        </w:tc>
        <w:tc>
          <w:tcPr>
            <w:tcW w:w="0" w:type="auto"/>
            <w:shd w:val="clear" w:color="auto" w:fill="auto"/>
            <w:vAlign w:val="bottom"/>
          </w:tcPr>
          <w:p w14:paraId="42A118D0" w14:textId="77777777" w:rsidR="00BB68E1" w:rsidRDefault="00BB68E1">
            <w:pPr>
              <w:textAlignment w:val="bottom"/>
              <w:rPr>
                <w:rFonts w:ascii="Times New Roman" w:hAnsi="Times New Roman"/>
                <w:sz w:val="20"/>
                <w:szCs w:val="20"/>
              </w:rPr>
            </w:pPr>
          </w:p>
        </w:tc>
      </w:tr>
      <w:tr w:rsidR="00BB68E1" w14:paraId="42A118D9" w14:textId="77777777">
        <w:tc>
          <w:tcPr>
            <w:tcW w:w="0" w:type="auto"/>
            <w:shd w:val="clear" w:color="auto" w:fill="CCEEFF"/>
            <w:tcMar>
              <w:top w:w="40" w:type="dxa"/>
              <w:left w:w="560" w:type="dxa"/>
              <w:bottom w:w="40" w:type="dxa"/>
              <w:right w:w="40" w:type="dxa"/>
            </w:tcMar>
            <w:vAlign w:val="center"/>
          </w:tcPr>
          <w:p w14:paraId="42A118D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Rent x 8</w:t>
            </w:r>
          </w:p>
        </w:tc>
        <w:tc>
          <w:tcPr>
            <w:tcW w:w="0" w:type="auto"/>
            <w:shd w:val="clear" w:color="auto" w:fill="CCEEFF"/>
            <w:tcMar>
              <w:top w:w="40" w:type="dxa"/>
              <w:left w:w="40" w:type="dxa"/>
              <w:bottom w:w="40" w:type="dxa"/>
              <w:right w:w="40" w:type="dxa"/>
            </w:tcMar>
            <w:vAlign w:val="bottom"/>
          </w:tcPr>
          <w:p w14:paraId="42A118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18D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N/A</w:t>
            </w:r>
          </w:p>
        </w:tc>
        <w:tc>
          <w:tcPr>
            <w:tcW w:w="0" w:type="auto"/>
            <w:tcBorders>
              <w:bottom w:val="single" w:sz="8" w:space="0" w:color="000000"/>
            </w:tcBorders>
            <w:shd w:val="clear" w:color="auto" w:fill="CCEEFF"/>
            <w:vAlign w:val="bottom"/>
          </w:tcPr>
          <w:p w14:paraId="42A118D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8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18D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24,032</w:t>
            </w:r>
          </w:p>
        </w:tc>
        <w:tc>
          <w:tcPr>
            <w:tcW w:w="0" w:type="auto"/>
            <w:tcBorders>
              <w:bottom w:val="single" w:sz="8" w:space="0" w:color="000000"/>
            </w:tcBorders>
            <w:shd w:val="clear" w:color="auto" w:fill="CCEEFF"/>
            <w:vAlign w:val="bottom"/>
          </w:tcPr>
          <w:p w14:paraId="42A118D8" w14:textId="77777777" w:rsidR="00BB68E1" w:rsidRDefault="00BB68E1">
            <w:pPr>
              <w:textAlignment w:val="bottom"/>
              <w:rPr>
                <w:rFonts w:ascii="Times New Roman" w:hAnsi="Times New Roman"/>
                <w:sz w:val="20"/>
                <w:szCs w:val="20"/>
              </w:rPr>
            </w:pPr>
          </w:p>
        </w:tc>
      </w:tr>
      <w:tr w:rsidR="00BB68E1" w14:paraId="42A118E3" w14:textId="77777777">
        <w:tc>
          <w:tcPr>
            <w:tcW w:w="0" w:type="auto"/>
            <w:shd w:val="clear" w:color="auto" w:fill="auto"/>
            <w:tcMar>
              <w:top w:w="40" w:type="dxa"/>
              <w:left w:w="560" w:type="dxa"/>
              <w:bottom w:w="40" w:type="dxa"/>
              <w:right w:w="40" w:type="dxa"/>
            </w:tcMar>
            <w:vAlign w:val="center"/>
          </w:tcPr>
          <w:p w14:paraId="42A118D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Average invested capital</w:t>
            </w:r>
          </w:p>
        </w:tc>
        <w:tc>
          <w:tcPr>
            <w:tcW w:w="0" w:type="auto"/>
            <w:shd w:val="clear" w:color="auto" w:fill="auto"/>
            <w:tcMar>
              <w:top w:w="40" w:type="dxa"/>
              <w:left w:w="40" w:type="dxa"/>
              <w:bottom w:w="40" w:type="dxa"/>
              <w:right w:w="40" w:type="dxa"/>
            </w:tcMar>
            <w:vAlign w:val="bottom"/>
          </w:tcPr>
          <w:p w14:paraId="42A118D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center"/>
          </w:tcPr>
          <w:p w14:paraId="42A118D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auto"/>
            <w:tcMar>
              <w:top w:w="40" w:type="dxa"/>
              <w:bottom w:w="40" w:type="dxa"/>
            </w:tcMar>
            <w:vAlign w:val="center"/>
          </w:tcPr>
          <w:p w14:paraId="42A118D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256,383</w:t>
            </w:r>
          </w:p>
        </w:tc>
        <w:tc>
          <w:tcPr>
            <w:tcW w:w="0" w:type="auto"/>
            <w:tcBorders>
              <w:bottom w:val="single" w:sz="8" w:space="0" w:color="000000"/>
            </w:tcBorders>
            <w:shd w:val="clear" w:color="auto" w:fill="auto"/>
            <w:vAlign w:val="bottom"/>
          </w:tcPr>
          <w:p w14:paraId="42A118D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8D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center"/>
          </w:tcPr>
          <w:p w14:paraId="42A118E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auto"/>
            <w:tcMar>
              <w:top w:w="40" w:type="dxa"/>
              <w:bottom w:w="40" w:type="dxa"/>
            </w:tcMar>
            <w:vAlign w:val="center"/>
          </w:tcPr>
          <w:p w14:paraId="42A118E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252,331</w:t>
            </w:r>
          </w:p>
        </w:tc>
        <w:tc>
          <w:tcPr>
            <w:tcW w:w="0" w:type="auto"/>
            <w:tcBorders>
              <w:bottom w:val="single" w:sz="8" w:space="0" w:color="000000"/>
            </w:tcBorders>
            <w:shd w:val="clear" w:color="auto" w:fill="auto"/>
            <w:vAlign w:val="bottom"/>
          </w:tcPr>
          <w:p w14:paraId="42A118E2" w14:textId="77777777" w:rsidR="00BB68E1" w:rsidRDefault="00BB68E1">
            <w:pPr>
              <w:textAlignment w:val="bottom"/>
              <w:rPr>
                <w:rFonts w:ascii="Times New Roman" w:hAnsi="Times New Roman"/>
                <w:sz w:val="20"/>
                <w:szCs w:val="20"/>
              </w:rPr>
            </w:pPr>
          </w:p>
        </w:tc>
      </w:tr>
      <w:tr w:rsidR="00BB68E1" w14:paraId="42A118EB" w14:textId="77777777">
        <w:tc>
          <w:tcPr>
            <w:tcW w:w="0" w:type="auto"/>
            <w:shd w:val="clear" w:color="auto" w:fill="CCEEFF"/>
            <w:tcMar>
              <w:top w:w="40" w:type="dxa"/>
              <w:left w:w="40" w:type="dxa"/>
              <w:bottom w:w="40" w:type="dxa"/>
              <w:right w:w="40" w:type="dxa"/>
            </w:tcMar>
            <w:vAlign w:val="center"/>
          </w:tcPr>
          <w:p w14:paraId="42A118E4"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Return on investment (ROI)</w:t>
            </w:r>
          </w:p>
        </w:tc>
        <w:tc>
          <w:tcPr>
            <w:tcW w:w="0" w:type="auto"/>
            <w:shd w:val="clear" w:color="auto" w:fill="CCEEFF"/>
            <w:tcMar>
              <w:top w:w="40" w:type="dxa"/>
              <w:left w:w="40" w:type="dxa"/>
              <w:bottom w:w="40" w:type="dxa"/>
              <w:right w:w="40" w:type="dxa"/>
            </w:tcMar>
            <w:vAlign w:val="bottom"/>
          </w:tcPr>
          <w:p w14:paraId="42A118E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center"/>
          </w:tcPr>
          <w:p w14:paraId="42A118E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13.4</w:t>
            </w:r>
          </w:p>
        </w:tc>
        <w:tc>
          <w:tcPr>
            <w:tcW w:w="0" w:type="auto"/>
            <w:tcBorders>
              <w:bottom w:val="double" w:sz="6" w:space="0" w:color="000000"/>
            </w:tcBorders>
            <w:shd w:val="clear" w:color="auto" w:fill="CCEEFF"/>
            <w:tcMar>
              <w:top w:w="40" w:type="dxa"/>
              <w:bottom w:w="40" w:type="dxa"/>
              <w:right w:w="40" w:type="dxa"/>
            </w:tcMar>
            <w:vAlign w:val="center"/>
          </w:tcPr>
          <w:p w14:paraId="42A118E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8E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center"/>
          </w:tcPr>
          <w:p w14:paraId="42A118E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14.2</w:t>
            </w:r>
          </w:p>
        </w:tc>
        <w:tc>
          <w:tcPr>
            <w:tcW w:w="0" w:type="auto"/>
            <w:tcBorders>
              <w:bottom w:val="double" w:sz="6" w:space="0" w:color="000000"/>
            </w:tcBorders>
            <w:shd w:val="clear" w:color="auto" w:fill="CCEEFF"/>
            <w:tcMar>
              <w:top w:w="40" w:type="dxa"/>
              <w:bottom w:w="40" w:type="dxa"/>
              <w:right w:w="40" w:type="dxa"/>
            </w:tcMar>
            <w:vAlign w:val="center"/>
          </w:tcPr>
          <w:p w14:paraId="42A118E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bl>
    <w:p w14:paraId="42A118EC" w14:textId="77777777" w:rsidR="00BB68E1" w:rsidRDefault="00BB68E1">
      <w:pPr>
        <w:rPr>
          <w:rFonts w:ascii="Times New Roman" w:hAnsi="Times New Roman"/>
          <w:sz w:val="20"/>
          <w:szCs w:val="20"/>
        </w:rPr>
      </w:pPr>
    </w:p>
    <w:p w14:paraId="42A118ED"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33</w:t>
      </w:r>
    </w:p>
    <w:p w14:paraId="42A118EE" w14:textId="77777777" w:rsidR="00BB68E1" w:rsidRDefault="00BB68E1">
      <w:pPr>
        <w:spacing w:line="288" w:lineRule="auto"/>
        <w:jc w:val="center"/>
        <w:rPr>
          <w:rFonts w:ascii="Times New Roman" w:hAnsi="Times New Roman"/>
          <w:sz w:val="20"/>
          <w:szCs w:val="20"/>
        </w:rPr>
      </w:pPr>
    </w:p>
    <w:p w14:paraId="42A118EF" w14:textId="77777777" w:rsidR="00BB68E1" w:rsidRDefault="005D2D5E">
      <w:r>
        <w:rPr>
          <w:rFonts w:ascii="Times New Roman" w:hAnsi="Times New Roman"/>
          <w:sz w:val="20"/>
          <w:szCs w:val="20"/>
        </w:rPr>
        <w:pict w14:anchorId="42A14298">
          <v:rect id="_x0000_i1057" style="width:415.3pt;height:1.5pt" o:hralign="center" o:hrstd="t" o:hr="t" fillcolor="#a0a0a0" stroked="f"/>
        </w:pict>
      </w:r>
    </w:p>
    <w:p w14:paraId="42A118F0" w14:textId="77777777" w:rsidR="00BB68E1" w:rsidRDefault="00BB68E1">
      <w:pPr>
        <w:spacing w:line="288" w:lineRule="auto"/>
        <w:rPr>
          <w:rFonts w:ascii="Times New Roman" w:hAnsi="Times New Roman"/>
          <w:sz w:val="20"/>
          <w:szCs w:val="20"/>
        </w:rPr>
      </w:pPr>
    </w:p>
    <w:p w14:paraId="42A118F1" w14:textId="77777777" w:rsidR="00BB68E1" w:rsidRDefault="00BB68E1">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4781"/>
        <w:gridCol w:w="130"/>
        <w:gridCol w:w="120"/>
        <w:gridCol w:w="878"/>
        <w:gridCol w:w="47"/>
        <w:gridCol w:w="130"/>
        <w:gridCol w:w="120"/>
        <w:gridCol w:w="878"/>
        <w:gridCol w:w="47"/>
        <w:gridCol w:w="130"/>
        <w:gridCol w:w="120"/>
        <w:gridCol w:w="878"/>
        <w:gridCol w:w="47"/>
      </w:tblGrid>
      <w:tr w:rsidR="00BB68E1" w14:paraId="42A118F3" w14:textId="77777777">
        <w:tc>
          <w:tcPr>
            <w:tcW w:w="0" w:type="auto"/>
            <w:gridSpan w:val="13"/>
            <w:shd w:val="clear" w:color="auto" w:fill="auto"/>
            <w:vAlign w:val="center"/>
          </w:tcPr>
          <w:p w14:paraId="42A118F2" w14:textId="77777777" w:rsidR="00BB68E1" w:rsidRDefault="00BB68E1">
            <w:pPr>
              <w:rPr>
                <w:rFonts w:ascii="Times New Roman" w:hAnsi="Times New Roman"/>
                <w:sz w:val="20"/>
                <w:szCs w:val="20"/>
              </w:rPr>
            </w:pPr>
          </w:p>
        </w:tc>
      </w:tr>
      <w:tr w:rsidR="00BB68E1" w14:paraId="42A11901" w14:textId="77777777">
        <w:tc>
          <w:tcPr>
            <w:tcW w:w="2900" w:type="pct"/>
            <w:shd w:val="clear" w:color="auto" w:fill="auto"/>
            <w:vAlign w:val="center"/>
          </w:tcPr>
          <w:p w14:paraId="42A118F4" w14:textId="77777777" w:rsidR="00BB68E1" w:rsidRDefault="00BB68E1">
            <w:pPr>
              <w:rPr>
                <w:rFonts w:ascii="Times New Roman" w:hAnsi="Times New Roman"/>
                <w:sz w:val="20"/>
                <w:szCs w:val="20"/>
              </w:rPr>
            </w:pPr>
          </w:p>
        </w:tc>
        <w:tc>
          <w:tcPr>
            <w:tcW w:w="50" w:type="pct"/>
            <w:shd w:val="clear" w:color="auto" w:fill="auto"/>
            <w:vAlign w:val="center"/>
          </w:tcPr>
          <w:p w14:paraId="42A118F5" w14:textId="77777777" w:rsidR="00BB68E1" w:rsidRDefault="00BB68E1">
            <w:pPr>
              <w:rPr>
                <w:rFonts w:ascii="Times New Roman" w:hAnsi="Times New Roman"/>
                <w:sz w:val="20"/>
                <w:szCs w:val="20"/>
              </w:rPr>
            </w:pPr>
          </w:p>
        </w:tc>
        <w:tc>
          <w:tcPr>
            <w:tcW w:w="50" w:type="pct"/>
            <w:shd w:val="clear" w:color="auto" w:fill="auto"/>
            <w:vAlign w:val="center"/>
          </w:tcPr>
          <w:p w14:paraId="42A118F6" w14:textId="77777777" w:rsidR="00BB68E1" w:rsidRDefault="00BB68E1">
            <w:pPr>
              <w:rPr>
                <w:rFonts w:ascii="Times New Roman" w:hAnsi="Times New Roman"/>
                <w:sz w:val="20"/>
                <w:szCs w:val="20"/>
              </w:rPr>
            </w:pPr>
          </w:p>
        </w:tc>
        <w:tc>
          <w:tcPr>
            <w:tcW w:w="550" w:type="pct"/>
            <w:shd w:val="clear" w:color="auto" w:fill="auto"/>
            <w:vAlign w:val="center"/>
          </w:tcPr>
          <w:p w14:paraId="42A118F7" w14:textId="77777777" w:rsidR="00BB68E1" w:rsidRDefault="00BB68E1">
            <w:pPr>
              <w:rPr>
                <w:rFonts w:ascii="Times New Roman" w:hAnsi="Times New Roman"/>
                <w:sz w:val="20"/>
                <w:szCs w:val="20"/>
              </w:rPr>
            </w:pPr>
          </w:p>
        </w:tc>
        <w:tc>
          <w:tcPr>
            <w:tcW w:w="50" w:type="pct"/>
            <w:shd w:val="clear" w:color="auto" w:fill="auto"/>
            <w:vAlign w:val="center"/>
          </w:tcPr>
          <w:p w14:paraId="42A118F8" w14:textId="77777777" w:rsidR="00BB68E1" w:rsidRDefault="00BB68E1">
            <w:pPr>
              <w:rPr>
                <w:rFonts w:ascii="Times New Roman" w:hAnsi="Times New Roman"/>
                <w:sz w:val="20"/>
                <w:szCs w:val="20"/>
              </w:rPr>
            </w:pPr>
          </w:p>
        </w:tc>
        <w:tc>
          <w:tcPr>
            <w:tcW w:w="50" w:type="pct"/>
            <w:shd w:val="clear" w:color="auto" w:fill="auto"/>
            <w:vAlign w:val="center"/>
          </w:tcPr>
          <w:p w14:paraId="42A118F9" w14:textId="77777777" w:rsidR="00BB68E1" w:rsidRDefault="00BB68E1">
            <w:pPr>
              <w:rPr>
                <w:rFonts w:ascii="Times New Roman" w:hAnsi="Times New Roman"/>
                <w:sz w:val="20"/>
                <w:szCs w:val="20"/>
              </w:rPr>
            </w:pPr>
          </w:p>
        </w:tc>
        <w:tc>
          <w:tcPr>
            <w:tcW w:w="50" w:type="pct"/>
            <w:shd w:val="clear" w:color="auto" w:fill="auto"/>
            <w:vAlign w:val="center"/>
          </w:tcPr>
          <w:p w14:paraId="42A118FA" w14:textId="77777777" w:rsidR="00BB68E1" w:rsidRDefault="00BB68E1">
            <w:pPr>
              <w:rPr>
                <w:rFonts w:ascii="Times New Roman" w:hAnsi="Times New Roman"/>
                <w:sz w:val="20"/>
                <w:szCs w:val="20"/>
              </w:rPr>
            </w:pPr>
          </w:p>
        </w:tc>
        <w:tc>
          <w:tcPr>
            <w:tcW w:w="550" w:type="pct"/>
            <w:shd w:val="clear" w:color="auto" w:fill="auto"/>
            <w:vAlign w:val="center"/>
          </w:tcPr>
          <w:p w14:paraId="42A118FB" w14:textId="77777777" w:rsidR="00BB68E1" w:rsidRDefault="00BB68E1">
            <w:pPr>
              <w:rPr>
                <w:rFonts w:ascii="Times New Roman" w:hAnsi="Times New Roman"/>
                <w:sz w:val="20"/>
                <w:szCs w:val="20"/>
              </w:rPr>
            </w:pPr>
          </w:p>
        </w:tc>
        <w:tc>
          <w:tcPr>
            <w:tcW w:w="50" w:type="pct"/>
            <w:shd w:val="clear" w:color="auto" w:fill="auto"/>
            <w:vAlign w:val="center"/>
          </w:tcPr>
          <w:p w14:paraId="42A118FC" w14:textId="77777777" w:rsidR="00BB68E1" w:rsidRDefault="00BB68E1">
            <w:pPr>
              <w:rPr>
                <w:rFonts w:ascii="Times New Roman" w:hAnsi="Times New Roman"/>
                <w:sz w:val="20"/>
                <w:szCs w:val="20"/>
              </w:rPr>
            </w:pPr>
          </w:p>
        </w:tc>
        <w:tc>
          <w:tcPr>
            <w:tcW w:w="50" w:type="pct"/>
            <w:shd w:val="clear" w:color="auto" w:fill="auto"/>
            <w:vAlign w:val="center"/>
          </w:tcPr>
          <w:p w14:paraId="42A118FD" w14:textId="77777777" w:rsidR="00BB68E1" w:rsidRDefault="00BB68E1">
            <w:pPr>
              <w:rPr>
                <w:rFonts w:ascii="Times New Roman" w:hAnsi="Times New Roman"/>
                <w:sz w:val="20"/>
                <w:szCs w:val="20"/>
              </w:rPr>
            </w:pPr>
          </w:p>
        </w:tc>
        <w:tc>
          <w:tcPr>
            <w:tcW w:w="50" w:type="pct"/>
            <w:shd w:val="clear" w:color="auto" w:fill="auto"/>
            <w:vAlign w:val="center"/>
          </w:tcPr>
          <w:p w14:paraId="42A118FE" w14:textId="77777777" w:rsidR="00BB68E1" w:rsidRDefault="00BB68E1">
            <w:pPr>
              <w:rPr>
                <w:rFonts w:ascii="Times New Roman" w:hAnsi="Times New Roman"/>
                <w:sz w:val="20"/>
                <w:szCs w:val="20"/>
              </w:rPr>
            </w:pPr>
          </w:p>
        </w:tc>
        <w:tc>
          <w:tcPr>
            <w:tcW w:w="550" w:type="pct"/>
            <w:shd w:val="clear" w:color="auto" w:fill="auto"/>
            <w:vAlign w:val="center"/>
          </w:tcPr>
          <w:p w14:paraId="42A118FF" w14:textId="77777777" w:rsidR="00BB68E1" w:rsidRDefault="00BB68E1">
            <w:pPr>
              <w:rPr>
                <w:rFonts w:ascii="Times New Roman" w:hAnsi="Times New Roman"/>
                <w:sz w:val="20"/>
                <w:szCs w:val="20"/>
              </w:rPr>
            </w:pPr>
          </w:p>
        </w:tc>
        <w:tc>
          <w:tcPr>
            <w:tcW w:w="50" w:type="pct"/>
            <w:shd w:val="clear" w:color="auto" w:fill="auto"/>
            <w:vAlign w:val="center"/>
          </w:tcPr>
          <w:p w14:paraId="42A11900" w14:textId="77777777" w:rsidR="00BB68E1" w:rsidRDefault="00BB68E1">
            <w:pPr>
              <w:rPr>
                <w:rFonts w:ascii="Times New Roman" w:hAnsi="Times New Roman"/>
                <w:sz w:val="20"/>
                <w:szCs w:val="20"/>
              </w:rPr>
            </w:pPr>
          </w:p>
        </w:tc>
      </w:tr>
      <w:tr w:rsidR="00BB68E1" w14:paraId="42A11905" w14:textId="77777777">
        <w:tc>
          <w:tcPr>
            <w:tcW w:w="0" w:type="auto"/>
            <w:shd w:val="clear" w:color="auto" w:fill="auto"/>
            <w:tcMar>
              <w:top w:w="40" w:type="dxa"/>
              <w:left w:w="40" w:type="dxa"/>
              <w:bottom w:w="40" w:type="dxa"/>
              <w:right w:w="40" w:type="dxa"/>
            </w:tcMar>
            <w:vAlign w:val="bottom"/>
          </w:tcPr>
          <w:p w14:paraId="42A11902"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190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1904"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As of January 31,</w:t>
            </w:r>
          </w:p>
        </w:tc>
      </w:tr>
      <w:tr w:rsidR="00BB68E1" w14:paraId="42A1190D" w14:textId="77777777">
        <w:tc>
          <w:tcPr>
            <w:tcW w:w="0" w:type="auto"/>
            <w:shd w:val="clear" w:color="auto" w:fill="auto"/>
            <w:tcMar>
              <w:top w:w="40" w:type="dxa"/>
              <w:left w:w="40" w:type="dxa"/>
              <w:bottom w:w="40" w:type="dxa"/>
              <w:right w:w="40" w:type="dxa"/>
            </w:tcMar>
            <w:vAlign w:val="bottom"/>
          </w:tcPr>
          <w:p w14:paraId="42A11906"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190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908"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190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90A"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190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90C"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1915" w14:textId="77777777">
        <w:tc>
          <w:tcPr>
            <w:tcW w:w="0" w:type="auto"/>
            <w:shd w:val="clear" w:color="auto" w:fill="auto"/>
            <w:tcMar>
              <w:top w:w="40" w:type="dxa"/>
              <w:left w:w="40" w:type="dxa"/>
              <w:bottom w:w="40" w:type="dxa"/>
              <w:right w:w="40" w:type="dxa"/>
            </w:tcMar>
            <w:vAlign w:val="bottom"/>
          </w:tcPr>
          <w:p w14:paraId="42A1190E"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Certain Balance Sheet Data</w:t>
            </w:r>
          </w:p>
        </w:tc>
        <w:tc>
          <w:tcPr>
            <w:tcW w:w="0" w:type="auto"/>
            <w:shd w:val="clear" w:color="auto" w:fill="auto"/>
            <w:tcMar>
              <w:top w:w="40" w:type="dxa"/>
              <w:left w:w="40" w:type="dxa"/>
              <w:bottom w:w="40" w:type="dxa"/>
              <w:right w:w="40" w:type="dxa"/>
            </w:tcMar>
            <w:vAlign w:val="bottom"/>
          </w:tcPr>
          <w:p w14:paraId="42A1190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91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91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9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91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91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923" w14:textId="77777777">
        <w:tc>
          <w:tcPr>
            <w:tcW w:w="0" w:type="auto"/>
            <w:shd w:val="clear" w:color="auto" w:fill="CCEEFF"/>
            <w:tcMar>
              <w:top w:w="40" w:type="dxa"/>
              <w:left w:w="40" w:type="dxa"/>
              <w:bottom w:w="40" w:type="dxa"/>
              <w:right w:w="40" w:type="dxa"/>
            </w:tcMar>
            <w:vAlign w:val="center"/>
          </w:tcPr>
          <w:p w14:paraId="42A1191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assets</w:t>
            </w:r>
          </w:p>
        </w:tc>
        <w:tc>
          <w:tcPr>
            <w:tcW w:w="0" w:type="auto"/>
            <w:shd w:val="clear" w:color="auto" w:fill="CCEEFF"/>
            <w:tcMar>
              <w:top w:w="40" w:type="dxa"/>
              <w:left w:w="40" w:type="dxa"/>
              <w:bottom w:w="40" w:type="dxa"/>
              <w:right w:w="40" w:type="dxa"/>
            </w:tcMar>
            <w:vAlign w:val="bottom"/>
          </w:tcPr>
          <w:p w14:paraId="42A1191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91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91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236,495</w:t>
            </w:r>
          </w:p>
        </w:tc>
        <w:tc>
          <w:tcPr>
            <w:tcW w:w="0" w:type="auto"/>
            <w:shd w:val="clear" w:color="auto" w:fill="CCEEFF"/>
            <w:vAlign w:val="bottom"/>
          </w:tcPr>
          <w:p w14:paraId="42A1191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91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91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91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219,295</w:t>
            </w:r>
          </w:p>
        </w:tc>
        <w:tc>
          <w:tcPr>
            <w:tcW w:w="0" w:type="auto"/>
            <w:shd w:val="clear" w:color="auto" w:fill="CCEEFF"/>
            <w:vAlign w:val="bottom"/>
          </w:tcPr>
          <w:p w14:paraId="42A1191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91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92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92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204,522</w:t>
            </w:r>
          </w:p>
        </w:tc>
        <w:tc>
          <w:tcPr>
            <w:tcW w:w="0" w:type="auto"/>
            <w:shd w:val="clear" w:color="auto" w:fill="CCEEFF"/>
            <w:vAlign w:val="bottom"/>
          </w:tcPr>
          <w:p w14:paraId="42A11922" w14:textId="77777777" w:rsidR="00BB68E1" w:rsidRDefault="00BB68E1">
            <w:pPr>
              <w:textAlignment w:val="bottom"/>
              <w:rPr>
                <w:rFonts w:ascii="Times New Roman" w:hAnsi="Times New Roman"/>
                <w:sz w:val="20"/>
                <w:szCs w:val="20"/>
              </w:rPr>
            </w:pPr>
          </w:p>
        </w:tc>
      </w:tr>
      <w:tr w:rsidR="00BB68E1" w14:paraId="42A1192E" w14:textId="77777777">
        <w:tc>
          <w:tcPr>
            <w:tcW w:w="0" w:type="auto"/>
            <w:shd w:val="clear" w:color="auto" w:fill="auto"/>
            <w:tcMar>
              <w:top w:w="40" w:type="dxa"/>
              <w:left w:w="240" w:type="dxa"/>
              <w:bottom w:w="40" w:type="dxa"/>
              <w:right w:w="40" w:type="dxa"/>
            </w:tcMar>
            <w:vAlign w:val="center"/>
          </w:tcPr>
          <w:p w14:paraId="42A1192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Leased assets, net</w:t>
            </w:r>
          </w:p>
        </w:tc>
        <w:tc>
          <w:tcPr>
            <w:tcW w:w="0" w:type="auto"/>
            <w:shd w:val="clear" w:color="auto" w:fill="auto"/>
            <w:tcMar>
              <w:top w:w="40" w:type="dxa"/>
              <w:left w:w="40" w:type="dxa"/>
              <w:bottom w:w="40" w:type="dxa"/>
              <w:right w:w="40" w:type="dxa"/>
            </w:tcMar>
            <w:vAlign w:val="bottom"/>
          </w:tcPr>
          <w:p w14:paraId="42A1192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92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21,841</w:t>
            </w:r>
          </w:p>
        </w:tc>
        <w:tc>
          <w:tcPr>
            <w:tcW w:w="0" w:type="auto"/>
            <w:shd w:val="clear" w:color="auto" w:fill="auto"/>
            <w:vAlign w:val="bottom"/>
          </w:tcPr>
          <w:p w14:paraId="42A1192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92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92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7,078</w:t>
            </w:r>
          </w:p>
        </w:tc>
        <w:tc>
          <w:tcPr>
            <w:tcW w:w="0" w:type="auto"/>
            <w:shd w:val="clear" w:color="auto" w:fill="auto"/>
            <w:vAlign w:val="bottom"/>
          </w:tcPr>
          <w:p w14:paraId="42A1192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92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92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NP</w:t>
            </w:r>
          </w:p>
        </w:tc>
        <w:tc>
          <w:tcPr>
            <w:tcW w:w="0" w:type="auto"/>
            <w:shd w:val="clear" w:color="auto" w:fill="auto"/>
            <w:vAlign w:val="bottom"/>
          </w:tcPr>
          <w:p w14:paraId="42A1192D" w14:textId="77777777" w:rsidR="00BB68E1" w:rsidRDefault="00BB68E1">
            <w:pPr>
              <w:textAlignment w:val="bottom"/>
              <w:rPr>
                <w:rFonts w:ascii="Times New Roman" w:hAnsi="Times New Roman"/>
                <w:sz w:val="20"/>
                <w:szCs w:val="20"/>
              </w:rPr>
            </w:pPr>
          </w:p>
        </w:tc>
      </w:tr>
      <w:tr w:rsidR="00BB68E1" w14:paraId="42A11939" w14:textId="77777777">
        <w:tc>
          <w:tcPr>
            <w:tcW w:w="0" w:type="auto"/>
            <w:shd w:val="clear" w:color="auto" w:fill="CCEEFF"/>
            <w:tcMar>
              <w:top w:w="40" w:type="dxa"/>
              <w:left w:w="400" w:type="dxa"/>
              <w:bottom w:w="40" w:type="dxa"/>
              <w:right w:w="40" w:type="dxa"/>
            </w:tcMar>
            <w:vAlign w:val="center"/>
          </w:tcPr>
          <w:p w14:paraId="42A1192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assets without leased assets, net</w:t>
            </w:r>
          </w:p>
        </w:tc>
        <w:tc>
          <w:tcPr>
            <w:tcW w:w="0" w:type="auto"/>
            <w:shd w:val="clear" w:color="auto" w:fill="CCEEFF"/>
            <w:tcMar>
              <w:top w:w="40" w:type="dxa"/>
              <w:left w:w="40" w:type="dxa"/>
              <w:bottom w:w="40" w:type="dxa"/>
              <w:right w:w="40" w:type="dxa"/>
            </w:tcMar>
            <w:vAlign w:val="bottom"/>
          </w:tcPr>
          <w:p w14:paraId="42A1193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93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214,654</w:t>
            </w:r>
          </w:p>
        </w:tc>
        <w:tc>
          <w:tcPr>
            <w:tcW w:w="0" w:type="auto"/>
            <w:shd w:val="clear" w:color="auto" w:fill="CCEEFF"/>
            <w:vAlign w:val="bottom"/>
          </w:tcPr>
          <w:p w14:paraId="42A1193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93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93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212,217</w:t>
            </w:r>
          </w:p>
        </w:tc>
        <w:tc>
          <w:tcPr>
            <w:tcW w:w="0" w:type="auto"/>
            <w:shd w:val="clear" w:color="auto" w:fill="CCEEFF"/>
            <w:vAlign w:val="bottom"/>
          </w:tcPr>
          <w:p w14:paraId="42A1193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93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93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NP</w:t>
            </w:r>
          </w:p>
        </w:tc>
        <w:tc>
          <w:tcPr>
            <w:tcW w:w="0" w:type="auto"/>
            <w:shd w:val="clear" w:color="auto" w:fill="CCEEFF"/>
            <w:vAlign w:val="bottom"/>
          </w:tcPr>
          <w:p w14:paraId="42A11938" w14:textId="77777777" w:rsidR="00BB68E1" w:rsidRDefault="00BB68E1">
            <w:pPr>
              <w:textAlignment w:val="bottom"/>
              <w:rPr>
                <w:rFonts w:ascii="Times New Roman" w:hAnsi="Times New Roman"/>
                <w:sz w:val="20"/>
                <w:szCs w:val="20"/>
              </w:rPr>
            </w:pPr>
          </w:p>
        </w:tc>
      </w:tr>
      <w:tr w:rsidR="00BB68E1" w14:paraId="42A11944" w14:textId="77777777">
        <w:tc>
          <w:tcPr>
            <w:tcW w:w="0" w:type="auto"/>
            <w:shd w:val="clear" w:color="auto" w:fill="auto"/>
            <w:tcMar>
              <w:top w:w="40" w:type="dxa"/>
              <w:left w:w="40" w:type="dxa"/>
              <w:bottom w:w="40" w:type="dxa"/>
              <w:right w:w="40" w:type="dxa"/>
            </w:tcMar>
            <w:vAlign w:val="center"/>
          </w:tcPr>
          <w:p w14:paraId="42A1193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Accumulated depreciation and </w:t>
            </w:r>
            <w:r>
              <w:rPr>
                <w:rFonts w:ascii="Times New Roman" w:eastAsia="宋体" w:hAnsi="Times New Roman"/>
                <w:sz w:val="16"/>
                <w:szCs w:val="16"/>
              </w:rPr>
              <w:t>amortization</w:t>
            </w:r>
          </w:p>
        </w:tc>
        <w:tc>
          <w:tcPr>
            <w:tcW w:w="0" w:type="auto"/>
            <w:shd w:val="clear" w:color="auto" w:fill="auto"/>
            <w:tcMar>
              <w:top w:w="40" w:type="dxa"/>
              <w:left w:w="40" w:type="dxa"/>
              <w:bottom w:w="40" w:type="dxa"/>
              <w:right w:w="40" w:type="dxa"/>
            </w:tcMar>
            <w:vAlign w:val="bottom"/>
          </w:tcPr>
          <w:p w14:paraId="42A119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93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94,514</w:t>
            </w:r>
          </w:p>
        </w:tc>
        <w:tc>
          <w:tcPr>
            <w:tcW w:w="0" w:type="auto"/>
            <w:shd w:val="clear" w:color="auto" w:fill="auto"/>
            <w:vAlign w:val="bottom"/>
          </w:tcPr>
          <w:p w14:paraId="42A1193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93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93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87,175</w:t>
            </w:r>
          </w:p>
        </w:tc>
        <w:tc>
          <w:tcPr>
            <w:tcW w:w="0" w:type="auto"/>
            <w:shd w:val="clear" w:color="auto" w:fill="auto"/>
            <w:vAlign w:val="bottom"/>
          </w:tcPr>
          <w:p w14:paraId="42A1194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94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94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83,039</w:t>
            </w:r>
          </w:p>
        </w:tc>
        <w:tc>
          <w:tcPr>
            <w:tcW w:w="0" w:type="auto"/>
            <w:shd w:val="clear" w:color="auto" w:fill="auto"/>
            <w:vAlign w:val="bottom"/>
          </w:tcPr>
          <w:p w14:paraId="42A11943" w14:textId="77777777" w:rsidR="00BB68E1" w:rsidRDefault="00BB68E1">
            <w:pPr>
              <w:textAlignment w:val="bottom"/>
              <w:rPr>
                <w:rFonts w:ascii="Times New Roman" w:hAnsi="Times New Roman"/>
                <w:sz w:val="20"/>
                <w:szCs w:val="20"/>
              </w:rPr>
            </w:pPr>
          </w:p>
        </w:tc>
      </w:tr>
      <w:tr w:rsidR="00BB68E1" w14:paraId="42A1194F" w14:textId="77777777">
        <w:tc>
          <w:tcPr>
            <w:tcW w:w="0" w:type="auto"/>
            <w:shd w:val="clear" w:color="auto" w:fill="CCEEFF"/>
            <w:tcMar>
              <w:top w:w="40" w:type="dxa"/>
              <w:left w:w="240" w:type="dxa"/>
              <w:bottom w:w="40" w:type="dxa"/>
              <w:right w:w="40" w:type="dxa"/>
            </w:tcMar>
            <w:vAlign w:val="center"/>
          </w:tcPr>
          <w:p w14:paraId="42A1194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Accumulated amortization on leased assets</w:t>
            </w:r>
          </w:p>
        </w:tc>
        <w:tc>
          <w:tcPr>
            <w:tcW w:w="0" w:type="auto"/>
            <w:shd w:val="clear" w:color="auto" w:fill="CCEEFF"/>
            <w:tcMar>
              <w:top w:w="40" w:type="dxa"/>
              <w:left w:w="40" w:type="dxa"/>
              <w:bottom w:w="40" w:type="dxa"/>
              <w:right w:w="40" w:type="dxa"/>
            </w:tcMar>
            <w:vAlign w:val="bottom"/>
          </w:tcPr>
          <w:p w14:paraId="42A1194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94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4,694</w:t>
            </w:r>
          </w:p>
        </w:tc>
        <w:tc>
          <w:tcPr>
            <w:tcW w:w="0" w:type="auto"/>
            <w:shd w:val="clear" w:color="auto" w:fill="CCEEFF"/>
            <w:vAlign w:val="bottom"/>
          </w:tcPr>
          <w:p w14:paraId="42A1194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94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94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5,682</w:t>
            </w:r>
          </w:p>
        </w:tc>
        <w:tc>
          <w:tcPr>
            <w:tcW w:w="0" w:type="auto"/>
            <w:shd w:val="clear" w:color="auto" w:fill="CCEEFF"/>
            <w:vAlign w:val="bottom"/>
          </w:tcPr>
          <w:p w14:paraId="42A1194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94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94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NP</w:t>
            </w:r>
          </w:p>
        </w:tc>
        <w:tc>
          <w:tcPr>
            <w:tcW w:w="0" w:type="auto"/>
            <w:shd w:val="clear" w:color="auto" w:fill="CCEEFF"/>
            <w:vAlign w:val="bottom"/>
          </w:tcPr>
          <w:p w14:paraId="42A1194E" w14:textId="77777777" w:rsidR="00BB68E1" w:rsidRDefault="00BB68E1">
            <w:pPr>
              <w:textAlignment w:val="bottom"/>
              <w:rPr>
                <w:rFonts w:ascii="Times New Roman" w:hAnsi="Times New Roman"/>
                <w:sz w:val="20"/>
                <w:szCs w:val="20"/>
              </w:rPr>
            </w:pPr>
          </w:p>
        </w:tc>
      </w:tr>
      <w:tr w:rsidR="00BB68E1" w14:paraId="42A1195A" w14:textId="77777777">
        <w:tc>
          <w:tcPr>
            <w:tcW w:w="0" w:type="auto"/>
            <w:shd w:val="clear" w:color="auto" w:fill="auto"/>
            <w:tcMar>
              <w:top w:w="40" w:type="dxa"/>
              <w:left w:w="400" w:type="dxa"/>
              <w:bottom w:w="40" w:type="dxa"/>
              <w:right w:w="40" w:type="dxa"/>
            </w:tcMar>
            <w:vAlign w:val="center"/>
          </w:tcPr>
          <w:p w14:paraId="42A1195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Accumulated depreciation and amortization, without leased assets</w:t>
            </w:r>
          </w:p>
        </w:tc>
        <w:tc>
          <w:tcPr>
            <w:tcW w:w="0" w:type="auto"/>
            <w:shd w:val="clear" w:color="auto" w:fill="auto"/>
            <w:tcMar>
              <w:top w:w="40" w:type="dxa"/>
              <w:left w:w="40" w:type="dxa"/>
              <w:bottom w:w="40" w:type="dxa"/>
              <w:right w:w="40" w:type="dxa"/>
            </w:tcMar>
            <w:vAlign w:val="bottom"/>
          </w:tcPr>
          <w:p w14:paraId="42A1195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95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89,820</w:t>
            </w:r>
          </w:p>
        </w:tc>
        <w:tc>
          <w:tcPr>
            <w:tcW w:w="0" w:type="auto"/>
            <w:shd w:val="clear" w:color="auto" w:fill="auto"/>
            <w:vAlign w:val="bottom"/>
          </w:tcPr>
          <w:p w14:paraId="42A1195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9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95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81,493</w:t>
            </w:r>
          </w:p>
        </w:tc>
        <w:tc>
          <w:tcPr>
            <w:tcW w:w="0" w:type="auto"/>
            <w:shd w:val="clear" w:color="auto" w:fill="auto"/>
            <w:vAlign w:val="bottom"/>
          </w:tcPr>
          <w:p w14:paraId="42A1195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95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95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NP</w:t>
            </w:r>
          </w:p>
        </w:tc>
        <w:tc>
          <w:tcPr>
            <w:tcW w:w="0" w:type="auto"/>
            <w:shd w:val="clear" w:color="auto" w:fill="auto"/>
            <w:vAlign w:val="bottom"/>
          </w:tcPr>
          <w:p w14:paraId="42A11959" w14:textId="77777777" w:rsidR="00BB68E1" w:rsidRDefault="00BB68E1">
            <w:pPr>
              <w:textAlignment w:val="bottom"/>
              <w:rPr>
                <w:rFonts w:ascii="Times New Roman" w:hAnsi="Times New Roman"/>
                <w:sz w:val="20"/>
                <w:szCs w:val="20"/>
              </w:rPr>
            </w:pPr>
          </w:p>
        </w:tc>
      </w:tr>
      <w:tr w:rsidR="00BB68E1" w14:paraId="42A11965" w14:textId="77777777">
        <w:tc>
          <w:tcPr>
            <w:tcW w:w="0" w:type="auto"/>
            <w:shd w:val="clear" w:color="auto" w:fill="CCEEFF"/>
            <w:tcMar>
              <w:top w:w="40" w:type="dxa"/>
              <w:left w:w="40" w:type="dxa"/>
              <w:bottom w:w="40" w:type="dxa"/>
              <w:right w:w="40" w:type="dxa"/>
            </w:tcMar>
            <w:vAlign w:val="center"/>
          </w:tcPr>
          <w:p w14:paraId="42A1195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Accounts payable</w:t>
            </w:r>
          </w:p>
        </w:tc>
        <w:tc>
          <w:tcPr>
            <w:tcW w:w="0" w:type="auto"/>
            <w:shd w:val="clear" w:color="auto" w:fill="CCEEFF"/>
            <w:tcMar>
              <w:top w:w="40" w:type="dxa"/>
              <w:left w:w="40" w:type="dxa"/>
              <w:bottom w:w="40" w:type="dxa"/>
              <w:right w:w="40" w:type="dxa"/>
            </w:tcMar>
            <w:vAlign w:val="bottom"/>
          </w:tcPr>
          <w:p w14:paraId="42A1195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95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46,973</w:t>
            </w:r>
          </w:p>
        </w:tc>
        <w:tc>
          <w:tcPr>
            <w:tcW w:w="0" w:type="auto"/>
            <w:shd w:val="clear" w:color="auto" w:fill="CCEEFF"/>
            <w:vAlign w:val="bottom"/>
          </w:tcPr>
          <w:p w14:paraId="42A1195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95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96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47,060</w:t>
            </w:r>
          </w:p>
        </w:tc>
        <w:tc>
          <w:tcPr>
            <w:tcW w:w="0" w:type="auto"/>
            <w:shd w:val="clear" w:color="auto" w:fill="CCEEFF"/>
            <w:vAlign w:val="bottom"/>
          </w:tcPr>
          <w:p w14:paraId="42A1196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96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96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46,092</w:t>
            </w:r>
          </w:p>
        </w:tc>
        <w:tc>
          <w:tcPr>
            <w:tcW w:w="0" w:type="auto"/>
            <w:shd w:val="clear" w:color="auto" w:fill="CCEEFF"/>
            <w:vAlign w:val="bottom"/>
          </w:tcPr>
          <w:p w14:paraId="42A11964" w14:textId="77777777" w:rsidR="00BB68E1" w:rsidRDefault="00BB68E1">
            <w:pPr>
              <w:textAlignment w:val="bottom"/>
              <w:rPr>
                <w:rFonts w:ascii="Times New Roman" w:hAnsi="Times New Roman"/>
                <w:sz w:val="20"/>
                <w:szCs w:val="20"/>
              </w:rPr>
            </w:pPr>
          </w:p>
        </w:tc>
      </w:tr>
      <w:tr w:rsidR="00BB68E1" w14:paraId="42A11970" w14:textId="77777777">
        <w:tc>
          <w:tcPr>
            <w:tcW w:w="0" w:type="auto"/>
            <w:shd w:val="clear" w:color="auto" w:fill="auto"/>
            <w:tcMar>
              <w:top w:w="40" w:type="dxa"/>
              <w:left w:w="40" w:type="dxa"/>
              <w:bottom w:w="40" w:type="dxa"/>
              <w:right w:w="40" w:type="dxa"/>
            </w:tcMar>
            <w:vAlign w:val="center"/>
          </w:tcPr>
          <w:p w14:paraId="42A1196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Accrued liabilities</w:t>
            </w:r>
          </w:p>
        </w:tc>
        <w:tc>
          <w:tcPr>
            <w:tcW w:w="0" w:type="auto"/>
            <w:shd w:val="clear" w:color="auto" w:fill="auto"/>
            <w:tcMar>
              <w:top w:w="40" w:type="dxa"/>
              <w:left w:w="40" w:type="dxa"/>
              <w:bottom w:w="40" w:type="dxa"/>
              <w:right w:w="40" w:type="dxa"/>
            </w:tcMar>
            <w:vAlign w:val="bottom"/>
          </w:tcPr>
          <w:p w14:paraId="42A1196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96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22,296</w:t>
            </w:r>
          </w:p>
        </w:tc>
        <w:tc>
          <w:tcPr>
            <w:tcW w:w="0" w:type="auto"/>
            <w:shd w:val="clear" w:color="auto" w:fill="auto"/>
            <w:vAlign w:val="bottom"/>
          </w:tcPr>
          <w:p w14:paraId="42A1196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96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96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22,159</w:t>
            </w:r>
          </w:p>
        </w:tc>
        <w:tc>
          <w:tcPr>
            <w:tcW w:w="0" w:type="auto"/>
            <w:shd w:val="clear" w:color="auto" w:fill="auto"/>
            <w:vAlign w:val="bottom"/>
          </w:tcPr>
          <w:p w14:paraId="42A1196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96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96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22,122</w:t>
            </w:r>
          </w:p>
        </w:tc>
        <w:tc>
          <w:tcPr>
            <w:tcW w:w="0" w:type="auto"/>
            <w:shd w:val="clear" w:color="auto" w:fill="auto"/>
            <w:vAlign w:val="bottom"/>
          </w:tcPr>
          <w:p w14:paraId="42A1196F" w14:textId="77777777" w:rsidR="00BB68E1" w:rsidRDefault="00BB68E1">
            <w:pPr>
              <w:textAlignment w:val="bottom"/>
              <w:rPr>
                <w:rFonts w:ascii="Times New Roman" w:hAnsi="Times New Roman"/>
                <w:sz w:val="20"/>
                <w:szCs w:val="20"/>
              </w:rPr>
            </w:pPr>
          </w:p>
        </w:tc>
      </w:tr>
    </w:tbl>
    <w:p w14:paraId="42A11971" w14:textId="77777777" w:rsidR="00BB68E1" w:rsidRDefault="005D2D5E">
      <w:pPr>
        <w:spacing w:line="288" w:lineRule="auto"/>
        <w:ind w:hanging="480"/>
        <w:rPr>
          <w:rFonts w:ascii="Times New Roman" w:hAnsi="Times New Roman"/>
          <w:sz w:val="16"/>
          <w:szCs w:val="16"/>
        </w:rPr>
      </w:pPr>
      <w:r>
        <w:rPr>
          <w:rFonts w:ascii="Times New Roman" w:eastAsia="宋体" w:hAnsi="Times New Roman"/>
          <w:sz w:val="16"/>
          <w:szCs w:val="16"/>
        </w:rPr>
        <w:t xml:space="preserve">(1) The average is based on the addition of the account balance at the end of the current period to the account balance at the end of the corresponding prior period and dividing by 2. Average total </w:t>
      </w:r>
      <w:r>
        <w:rPr>
          <w:rFonts w:ascii="Times New Roman" w:eastAsia="宋体" w:hAnsi="Times New Roman"/>
          <w:sz w:val="16"/>
          <w:szCs w:val="16"/>
        </w:rPr>
        <w:t>assets as used in ROA includes the average impact of the adoption of ASU 2016-02</w:t>
      </w:r>
    </w:p>
    <w:p w14:paraId="42A11972" w14:textId="77777777" w:rsidR="00BB68E1" w:rsidRDefault="005D2D5E">
      <w:pPr>
        <w:spacing w:line="288" w:lineRule="auto"/>
        <w:ind w:hanging="480"/>
        <w:rPr>
          <w:rFonts w:ascii="Times New Roman" w:hAnsi="Times New Roman"/>
          <w:sz w:val="16"/>
          <w:szCs w:val="16"/>
        </w:rPr>
      </w:pPr>
      <w:r>
        <w:rPr>
          <w:rFonts w:ascii="Times New Roman" w:eastAsia="宋体" w:hAnsi="Times New Roman"/>
          <w:sz w:val="16"/>
          <w:szCs w:val="16"/>
        </w:rPr>
        <w:t>(2) For fiscal 2020, as a result of adopting ASU 2016-02, average total assets is based on the average of total assets without leased assets, net plus leased assets, net as of</w:t>
      </w:r>
      <w:r>
        <w:rPr>
          <w:rFonts w:ascii="Times New Roman" w:eastAsia="宋体" w:hAnsi="Times New Roman"/>
          <w:sz w:val="16"/>
          <w:szCs w:val="16"/>
        </w:rPr>
        <w:t xml:space="preserve"> January 31, 2020. Average accumulated depreciation and amortization is based on the average of accumulated depreciation and amortization, without leased assets plus accumulated amortization on leased assets as of January 31, 2020. </w:t>
      </w:r>
    </w:p>
    <w:p w14:paraId="42A11973" w14:textId="77777777" w:rsidR="00BB68E1" w:rsidRDefault="005D2D5E">
      <w:pPr>
        <w:spacing w:line="288" w:lineRule="auto"/>
        <w:ind w:hanging="480"/>
        <w:rPr>
          <w:rFonts w:ascii="Times New Roman" w:hAnsi="Times New Roman"/>
          <w:sz w:val="16"/>
          <w:szCs w:val="16"/>
        </w:rPr>
      </w:pPr>
      <w:r>
        <w:rPr>
          <w:rFonts w:ascii="Times New Roman" w:eastAsia="宋体" w:hAnsi="Times New Roman"/>
          <w:sz w:val="16"/>
          <w:szCs w:val="16"/>
        </w:rPr>
        <w:t>NP = Not provided.</w:t>
      </w:r>
    </w:p>
    <w:p w14:paraId="42A11974"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Free</w:t>
      </w:r>
      <w:r>
        <w:rPr>
          <w:rFonts w:ascii="Times New Roman" w:eastAsia="宋体" w:hAnsi="Times New Roman"/>
          <w:i/>
          <w:iCs/>
          <w:sz w:val="20"/>
          <w:szCs w:val="20"/>
        </w:rPr>
        <w:t xml:space="preserve"> Cash Flow</w:t>
      </w:r>
    </w:p>
    <w:p w14:paraId="42A11975"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Free cash flow is considered a non-GAAP financial measure.</w:t>
      </w:r>
      <w:r>
        <w:rPr>
          <w:rFonts w:ascii="Times New Roman" w:eastAsia="宋体" w:hAnsi="Times New Roman"/>
          <w:i/>
          <w:iCs/>
          <w:sz w:val="20"/>
          <w:szCs w:val="20"/>
        </w:rPr>
        <w:t xml:space="preserve"> </w:t>
      </w:r>
      <w:r>
        <w:rPr>
          <w:rFonts w:ascii="Times New Roman" w:eastAsia="宋体" w:hAnsi="Times New Roman"/>
          <w:sz w:val="20"/>
          <w:szCs w:val="20"/>
        </w:rPr>
        <w:t>Management believes, however, that free cash flow, which measures our ability to generate additional cash from our business operations, is an important financial measure for use in evaluating the Company's financial performance. Free cash flow should be co</w:t>
      </w:r>
      <w:r>
        <w:rPr>
          <w:rFonts w:ascii="Times New Roman" w:eastAsia="宋体" w:hAnsi="Times New Roman"/>
          <w:sz w:val="20"/>
          <w:szCs w:val="20"/>
        </w:rPr>
        <w:t xml:space="preserve">nsidered in addition to, rather than as a substitute for, consolidated net income as a measure of our performance and net cash provided by operating activities as a measure of our liquidity. See </w:t>
      </w:r>
      <w:hyperlink r:id="rId92" w:anchor="sCC2D30B50C3E580FBB49E7546DF54BD6" w:history="1">
        <w:r>
          <w:rPr>
            <w:rStyle w:val="a5"/>
            <w:rFonts w:ascii="Times New Roman" w:eastAsia="宋体" w:hAnsi="Times New Roman"/>
            <w:sz w:val="20"/>
            <w:szCs w:val="20"/>
          </w:rPr>
          <w:t>Liquidity and Capital Resources</w:t>
        </w:r>
      </w:hyperlink>
      <w:r>
        <w:rPr>
          <w:rFonts w:ascii="Times New Roman" w:eastAsia="宋体" w:hAnsi="Times New Roman"/>
          <w:sz w:val="20"/>
          <w:szCs w:val="20"/>
        </w:rPr>
        <w:t xml:space="preserve"> for discussions of GAAP metrics including net cash provided by operating activities, net cash used in investing activities and n</w:t>
      </w:r>
      <w:r>
        <w:rPr>
          <w:rFonts w:ascii="Times New Roman" w:eastAsia="宋体" w:hAnsi="Times New Roman"/>
          <w:sz w:val="20"/>
          <w:szCs w:val="20"/>
        </w:rPr>
        <w:t>et cash used in financing activities.</w:t>
      </w:r>
    </w:p>
    <w:p w14:paraId="42A1197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We define free cash flow as net cash provided by operating activities in a period minus payments for property and equipment made in that period. We had net cash provided by operating activities of $25.3 billion, $27.8 </w:t>
      </w:r>
      <w:r>
        <w:rPr>
          <w:rFonts w:ascii="Times New Roman" w:eastAsia="宋体" w:hAnsi="Times New Roman"/>
          <w:sz w:val="20"/>
          <w:szCs w:val="20"/>
        </w:rPr>
        <w:t xml:space="preserve">billion and $28.3 billion for fiscal 2020, 2019 and 2018, respectively. We generated free </w:t>
      </w:r>
      <w:r>
        <w:rPr>
          <w:rFonts w:ascii="Times New Roman" w:eastAsia="宋体" w:hAnsi="Times New Roman"/>
          <w:sz w:val="20"/>
          <w:szCs w:val="20"/>
        </w:rPr>
        <w:lastRenderedPageBreak/>
        <w:t>cash flow of $14.6 billion, $17.4 billion and $18.3 billion for fiscal 2020, 2019 and 2018, respectively. Net cash provided by operating activities for fiscal 2020 de</w:t>
      </w:r>
      <w:r>
        <w:rPr>
          <w:rFonts w:ascii="Times New Roman" w:eastAsia="宋体" w:hAnsi="Times New Roman"/>
          <w:sz w:val="20"/>
          <w:szCs w:val="20"/>
        </w:rPr>
        <w:t xml:space="preserve">clined when compared to fiscal 2019 primarily due to the contribution to our Asda pension plan in anticipation of its future settlement, the inclusion of a full year of Flipkart operations, and the timing of vendor payments. Free cash flow for fiscal 2020 </w:t>
      </w:r>
      <w:r>
        <w:rPr>
          <w:rFonts w:ascii="Times New Roman" w:eastAsia="宋体" w:hAnsi="Times New Roman"/>
          <w:sz w:val="20"/>
          <w:szCs w:val="20"/>
        </w:rPr>
        <w:t>declined when compared to fiscal 2019 due to the same reasons as the decline in net cash provided by operating activities, as well as $0.4 billion in increased capital expenditures. Net cash provided by operating activities for fiscal 2019 declined when co</w:t>
      </w:r>
      <w:r>
        <w:rPr>
          <w:rFonts w:ascii="Times New Roman" w:eastAsia="宋体" w:hAnsi="Times New Roman"/>
          <w:sz w:val="20"/>
          <w:szCs w:val="20"/>
        </w:rPr>
        <w:t>mpared to fiscal 2018 was primarily due to timing of vendor payments, partially offset by lower tax payments mainly resulting from the Tax Act and the timing of tax payments. Free cash flow for fiscal 2019 declined when compared to fiscal 2018 due to the s</w:t>
      </w:r>
      <w:r>
        <w:rPr>
          <w:rFonts w:ascii="Times New Roman" w:eastAsia="宋体" w:hAnsi="Times New Roman"/>
          <w:sz w:val="20"/>
          <w:szCs w:val="20"/>
        </w:rPr>
        <w:t>ame reasons as the decline in net cash provided by operating activities, as well as $0.3 billion in increased capital expenditures.</w:t>
      </w:r>
    </w:p>
    <w:p w14:paraId="42A1197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Walmart's definition of free cash flow is limited in that it does not represent residual cash flows available for discretion</w:t>
      </w:r>
      <w:r>
        <w:rPr>
          <w:rFonts w:ascii="Times New Roman" w:eastAsia="宋体" w:hAnsi="Times New Roman"/>
          <w:sz w:val="20"/>
          <w:szCs w:val="20"/>
        </w:rPr>
        <w:t>ary expenditures due to the fact that the measure does not deduct the payments required for debt service and other contractual obligations or payments made for business acquisitions. Therefore, we believe it is important to view free cash flow as a measure</w:t>
      </w:r>
      <w:r>
        <w:rPr>
          <w:rFonts w:ascii="Times New Roman" w:eastAsia="宋体" w:hAnsi="Times New Roman"/>
          <w:sz w:val="20"/>
          <w:szCs w:val="20"/>
        </w:rPr>
        <w:t xml:space="preserve"> that provides supplemental information to our </w:t>
      </w:r>
      <w:hyperlink r:id="rId93" w:anchor="s830BEBEFB8905718B932FF045B3DAB94" w:history="1">
        <w:r>
          <w:rPr>
            <w:rStyle w:val="a5"/>
            <w:rFonts w:ascii="Times New Roman" w:eastAsia="宋体" w:hAnsi="Times New Roman"/>
            <w:sz w:val="20"/>
            <w:szCs w:val="20"/>
          </w:rPr>
          <w:t>Consolidated Statements of Cash Flows</w:t>
        </w:r>
      </w:hyperlink>
      <w:r>
        <w:rPr>
          <w:rFonts w:ascii="Times New Roman" w:eastAsia="宋体" w:hAnsi="Times New Roman"/>
          <w:sz w:val="20"/>
          <w:szCs w:val="20"/>
        </w:rPr>
        <w:t>.</w:t>
      </w:r>
    </w:p>
    <w:p w14:paraId="42A1197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Although othe</w:t>
      </w:r>
      <w:r>
        <w:rPr>
          <w:rFonts w:ascii="Times New Roman" w:eastAsia="宋体" w:hAnsi="Times New Roman"/>
          <w:sz w:val="20"/>
          <w:szCs w:val="20"/>
        </w:rPr>
        <w:t>r companies report their free cash flow, numerous methods may exist for calculating a company's free cash flow. As a result, the method used by management to calculate our free cash flow may differ from the methods used by other companies to calculate thei</w:t>
      </w:r>
      <w:r>
        <w:rPr>
          <w:rFonts w:ascii="Times New Roman" w:eastAsia="宋体" w:hAnsi="Times New Roman"/>
          <w:sz w:val="20"/>
          <w:szCs w:val="20"/>
        </w:rPr>
        <w:t>r free cash flow.</w:t>
      </w:r>
    </w:p>
    <w:p w14:paraId="42A1197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following table sets forth a reconciliation of free cash flow, a non-GAAP financial measure, to net cash provided by operating activities, which we believe to be the GAAP financial measure most directly comparable to free cash flow, a</w:t>
      </w:r>
      <w:r>
        <w:rPr>
          <w:rFonts w:ascii="Times New Roman" w:eastAsia="宋体" w:hAnsi="Times New Roman"/>
          <w:sz w:val="20"/>
          <w:szCs w:val="20"/>
        </w:rPr>
        <w:t>s well as information regarding net cash used in investing activities and net cash used in financing activities.</w:t>
      </w:r>
    </w:p>
    <w:tbl>
      <w:tblPr>
        <w:tblW w:w="5000" w:type="pct"/>
        <w:jc w:val="center"/>
        <w:tblCellMar>
          <w:left w:w="0" w:type="dxa"/>
          <w:right w:w="0" w:type="dxa"/>
        </w:tblCellMar>
        <w:tblLook w:val="04A0" w:firstRow="1" w:lastRow="0" w:firstColumn="1" w:lastColumn="0" w:noHBand="0" w:noVBand="1"/>
      </w:tblPr>
      <w:tblGrid>
        <w:gridCol w:w="5244"/>
        <w:gridCol w:w="130"/>
        <w:gridCol w:w="120"/>
        <w:gridCol w:w="676"/>
        <w:gridCol w:w="94"/>
        <w:gridCol w:w="130"/>
        <w:gridCol w:w="120"/>
        <w:gridCol w:w="677"/>
        <w:gridCol w:w="94"/>
        <w:gridCol w:w="130"/>
        <w:gridCol w:w="120"/>
        <w:gridCol w:w="677"/>
        <w:gridCol w:w="94"/>
      </w:tblGrid>
      <w:tr w:rsidR="00BB68E1" w14:paraId="42A1197B" w14:textId="77777777">
        <w:trPr>
          <w:jc w:val="center"/>
        </w:trPr>
        <w:tc>
          <w:tcPr>
            <w:tcW w:w="0" w:type="auto"/>
            <w:gridSpan w:val="13"/>
            <w:shd w:val="clear" w:color="auto" w:fill="auto"/>
            <w:vAlign w:val="center"/>
          </w:tcPr>
          <w:p w14:paraId="42A1197A" w14:textId="77777777" w:rsidR="00BB68E1" w:rsidRDefault="00BB68E1">
            <w:pPr>
              <w:rPr>
                <w:rFonts w:ascii="Times New Roman" w:hAnsi="Times New Roman"/>
                <w:sz w:val="20"/>
                <w:szCs w:val="20"/>
              </w:rPr>
            </w:pPr>
          </w:p>
        </w:tc>
      </w:tr>
      <w:tr w:rsidR="00BB68E1" w14:paraId="42A11989" w14:textId="77777777">
        <w:trPr>
          <w:jc w:val="center"/>
        </w:trPr>
        <w:tc>
          <w:tcPr>
            <w:tcW w:w="3200" w:type="pct"/>
            <w:shd w:val="clear" w:color="auto" w:fill="auto"/>
            <w:vAlign w:val="center"/>
          </w:tcPr>
          <w:p w14:paraId="42A1197C" w14:textId="77777777" w:rsidR="00BB68E1" w:rsidRDefault="00BB68E1">
            <w:pPr>
              <w:rPr>
                <w:rFonts w:ascii="Times New Roman" w:hAnsi="Times New Roman"/>
                <w:sz w:val="20"/>
                <w:szCs w:val="20"/>
              </w:rPr>
            </w:pPr>
          </w:p>
        </w:tc>
        <w:tc>
          <w:tcPr>
            <w:tcW w:w="50" w:type="pct"/>
            <w:shd w:val="clear" w:color="auto" w:fill="auto"/>
            <w:vAlign w:val="center"/>
          </w:tcPr>
          <w:p w14:paraId="42A1197D" w14:textId="77777777" w:rsidR="00BB68E1" w:rsidRDefault="00BB68E1">
            <w:pPr>
              <w:rPr>
                <w:rFonts w:ascii="Times New Roman" w:hAnsi="Times New Roman"/>
                <w:sz w:val="20"/>
                <w:szCs w:val="20"/>
              </w:rPr>
            </w:pPr>
          </w:p>
        </w:tc>
        <w:tc>
          <w:tcPr>
            <w:tcW w:w="50" w:type="pct"/>
            <w:shd w:val="clear" w:color="auto" w:fill="auto"/>
            <w:vAlign w:val="center"/>
          </w:tcPr>
          <w:p w14:paraId="42A1197E" w14:textId="77777777" w:rsidR="00BB68E1" w:rsidRDefault="00BB68E1">
            <w:pPr>
              <w:rPr>
                <w:rFonts w:ascii="Times New Roman" w:hAnsi="Times New Roman"/>
                <w:sz w:val="20"/>
                <w:szCs w:val="20"/>
              </w:rPr>
            </w:pPr>
          </w:p>
        </w:tc>
        <w:tc>
          <w:tcPr>
            <w:tcW w:w="450" w:type="pct"/>
            <w:shd w:val="clear" w:color="auto" w:fill="auto"/>
            <w:vAlign w:val="center"/>
          </w:tcPr>
          <w:p w14:paraId="42A1197F" w14:textId="77777777" w:rsidR="00BB68E1" w:rsidRDefault="00BB68E1">
            <w:pPr>
              <w:rPr>
                <w:rFonts w:ascii="Times New Roman" w:hAnsi="Times New Roman"/>
                <w:sz w:val="20"/>
                <w:szCs w:val="20"/>
              </w:rPr>
            </w:pPr>
          </w:p>
        </w:tc>
        <w:tc>
          <w:tcPr>
            <w:tcW w:w="50" w:type="pct"/>
            <w:shd w:val="clear" w:color="auto" w:fill="auto"/>
            <w:vAlign w:val="center"/>
          </w:tcPr>
          <w:p w14:paraId="42A11980" w14:textId="77777777" w:rsidR="00BB68E1" w:rsidRDefault="00BB68E1">
            <w:pPr>
              <w:rPr>
                <w:rFonts w:ascii="Times New Roman" w:hAnsi="Times New Roman"/>
                <w:sz w:val="20"/>
                <w:szCs w:val="20"/>
              </w:rPr>
            </w:pPr>
          </w:p>
        </w:tc>
        <w:tc>
          <w:tcPr>
            <w:tcW w:w="50" w:type="pct"/>
            <w:shd w:val="clear" w:color="auto" w:fill="auto"/>
            <w:vAlign w:val="center"/>
          </w:tcPr>
          <w:p w14:paraId="42A11981" w14:textId="77777777" w:rsidR="00BB68E1" w:rsidRDefault="00BB68E1">
            <w:pPr>
              <w:rPr>
                <w:rFonts w:ascii="Times New Roman" w:hAnsi="Times New Roman"/>
                <w:sz w:val="20"/>
                <w:szCs w:val="20"/>
              </w:rPr>
            </w:pPr>
          </w:p>
        </w:tc>
        <w:tc>
          <w:tcPr>
            <w:tcW w:w="50" w:type="pct"/>
            <w:shd w:val="clear" w:color="auto" w:fill="auto"/>
            <w:vAlign w:val="center"/>
          </w:tcPr>
          <w:p w14:paraId="42A11982" w14:textId="77777777" w:rsidR="00BB68E1" w:rsidRDefault="00BB68E1">
            <w:pPr>
              <w:rPr>
                <w:rFonts w:ascii="Times New Roman" w:hAnsi="Times New Roman"/>
                <w:sz w:val="20"/>
                <w:szCs w:val="20"/>
              </w:rPr>
            </w:pPr>
          </w:p>
        </w:tc>
        <w:tc>
          <w:tcPr>
            <w:tcW w:w="450" w:type="pct"/>
            <w:shd w:val="clear" w:color="auto" w:fill="auto"/>
            <w:vAlign w:val="center"/>
          </w:tcPr>
          <w:p w14:paraId="42A11983" w14:textId="77777777" w:rsidR="00BB68E1" w:rsidRDefault="00BB68E1">
            <w:pPr>
              <w:rPr>
                <w:rFonts w:ascii="Times New Roman" w:hAnsi="Times New Roman"/>
                <w:sz w:val="20"/>
                <w:szCs w:val="20"/>
              </w:rPr>
            </w:pPr>
          </w:p>
        </w:tc>
        <w:tc>
          <w:tcPr>
            <w:tcW w:w="50" w:type="pct"/>
            <w:shd w:val="clear" w:color="auto" w:fill="auto"/>
            <w:vAlign w:val="center"/>
          </w:tcPr>
          <w:p w14:paraId="42A11984" w14:textId="77777777" w:rsidR="00BB68E1" w:rsidRDefault="00BB68E1">
            <w:pPr>
              <w:rPr>
                <w:rFonts w:ascii="Times New Roman" w:hAnsi="Times New Roman"/>
                <w:sz w:val="20"/>
                <w:szCs w:val="20"/>
              </w:rPr>
            </w:pPr>
          </w:p>
        </w:tc>
        <w:tc>
          <w:tcPr>
            <w:tcW w:w="50" w:type="pct"/>
            <w:shd w:val="clear" w:color="auto" w:fill="auto"/>
            <w:vAlign w:val="center"/>
          </w:tcPr>
          <w:p w14:paraId="42A11985" w14:textId="77777777" w:rsidR="00BB68E1" w:rsidRDefault="00BB68E1">
            <w:pPr>
              <w:rPr>
                <w:rFonts w:ascii="Times New Roman" w:hAnsi="Times New Roman"/>
                <w:sz w:val="20"/>
                <w:szCs w:val="20"/>
              </w:rPr>
            </w:pPr>
          </w:p>
        </w:tc>
        <w:tc>
          <w:tcPr>
            <w:tcW w:w="50" w:type="pct"/>
            <w:shd w:val="clear" w:color="auto" w:fill="auto"/>
            <w:vAlign w:val="center"/>
          </w:tcPr>
          <w:p w14:paraId="42A11986" w14:textId="77777777" w:rsidR="00BB68E1" w:rsidRDefault="00BB68E1">
            <w:pPr>
              <w:rPr>
                <w:rFonts w:ascii="Times New Roman" w:hAnsi="Times New Roman"/>
                <w:sz w:val="20"/>
                <w:szCs w:val="20"/>
              </w:rPr>
            </w:pPr>
          </w:p>
        </w:tc>
        <w:tc>
          <w:tcPr>
            <w:tcW w:w="450" w:type="pct"/>
            <w:shd w:val="clear" w:color="auto" w:fill="auto"/>
            <w:vAlign w:val="center"/>
          </w:tcPr>
          <w:p w14:paraId="42A11987" w14:textId="77777777" w:rsidR="00BB68E1" w:rsidRDefault="00BB68E1">
            <w:pPr>
              <w:rPr>
                <w:rFonts w:ascii="Times New Roman" w:hAnsi="Times New Roman"/>
                <w:sz w:val="20"/>
                <w:szCs w:val="20"/>
              </w:rPr>
            </w:pPr>
          </w:p>
        </w:tc>
        <w:tc>
          <w:tcPr>
            <w:tcW w:w="50" w:type="pct"/>
            <w:shd w:val="clear" w:color="auto" w:fill="auto"/>
            <w:vAlign w:val="center"/>
          </w:tcPr>
          <w:p w14:paraId="42A11988" w14:textId="77777777" w:rsidR="00BB68E1" w:rsidRDefault="00BB68E1">
            <w:pPr>
              <w:rPr>
                <w:rFonts w:ascii="Times New Roman" w:hAnsi="Times New Roman"/>
                <w:sz w:val="20"/>
                <w:szCs w:val="20"/>
              </w:rPr>
            </w:pPr>
          </w:p>
        </w:tc>
      </w:tr>
      <w:tr w:rsidR="00BB68E1" w14:paraId="42A1198D" w14:textId="77777777">
        <w:trPr>
          <w:jc w:val="center"/>
        </w:trPr>
        <w:tc>
          <w:tcPr>
            <w:tcW w:w="0" w:type="auto"/>
            <w:shd w:val="clear" w:color="auto" w:fill="auto"/>
            <w:tcMar>
              <w:top w:w="40" w:type="dxa"/>
              <w:left w:w="40" w:type="dxa"/>
              <w:bottom w:w="40" w:type="dxa"/>
              <w:right w:w="40" w:type="dxa"/>
            </w:tcMar>
            <w:vAlign w:val="bottom"/>
          </w:tcPr>
          <w:p w14:paraId="42A1198A"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198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198C"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1995" w14:textId="77777777">
        <w:trPr>
          <w:jc w:val="center"/>
        </w:trPr>
        <w:tc>
          <w:tcPr>
            <w:tcW w:w="0" w:type="auto"/>
            <w:shd w:val="clear" w:color="auto" w:fill="auto"/>
            <w:tcMar>
              <w:top w:w="40" w:type="dxa"/>
              <w:left w:w="40" w:type="dxa"/>
              <w:bottom w:w="40" w:type="dxa"/>
              <w:right w:w="40" w:type="dxa"/>
            </w:tcMar>
            <w:vAlign w:val="bottom"/>
          </w:tcPr>
          <w:p w14:paraId="42A1198E"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198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990"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199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99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199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994"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19A3" w14:textId="77777777">
        <w:trPr>
          <w:jc w:val="center"/>
        </w:trPr>
        <w:tc>
          <w:tcPr>
            <w:tcW w:w="0" w:type="auto"/>
            <w:shd w:val="clear" w:color="auto" w:fill="CCEEFF"/>
            <w:tcMar>
              <w:top w:w="40" w:type="dxa"/>
              <w:left w:w="40" w:type="dxa"/>
              <w:bottom w:w="40" w:type="dxa"/>
              <w:right w:w="40" w:type="dxa"/>
            </w:tcMar>
            <w:vAlign w:val="center"/>
          </w:tcPr>
          <w:p w14:paraId="42A1199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Net cash provided by operating </w:t>
            </w:r>
            <w:r>
              <w:rPr>
                <w:rFonts w:ascii="Times New Roman" w:eastAsia="宋体" w:hAnsi="Times New Roman"/>
                <w:sz w:val="16"/>
                <w:szCs w:val="16"/>
              </w:rPr>
              <w:t>activities</w:t>
            </w:r>
          </w:p>
        </w:tc>
        <w:tc>
          <w:tcPr>
            <w:tcW w:w="0" w:type="auto"/>
            <w:shd w:val="clear" w:color="auto" w:fill="CCEEFF"/>
            <w:tcMar>
              <w:top w:w="40" w:type="dxa"/>
              <w:left w:w="40" w:type="dxa"/>
              <w:bottom w:w="40" w:type="dxa"/>
              <w:right w:w="40" w:type="dxa"/>
            </w:tcMar>
            <w:vAlign w:val="bottom"/>
          </w:tcPr>
          <w:p w14:paraId="42A1199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99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99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25,255</w:t>
            </w:r>
          </w:p>
        </w:tc>
        <w:tc>
          <w:tcPr>
            <w:tcW w:w="0" w:type="auto"/>
            <w:tcBorders>
              <w:top w:val="single" w:sz="8" w:space="0" w:color="000000"/>
            </w:tcBorders>
            <w:shd w:val="clear" w:color="auto" w:fill="CCEEFF"/>
            <w:vAlign w:val="bottom"/>
          </w:tcPr>
          <w:p w14:paraId="42A1199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99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99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99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27,753</w:t>
            </w:r>
          </w:p>
        </w:tc>
        <w:tc>
          <w:tcPr>
            <w:tcW w:w="0" w:type="auto"/>
            <w:shd w:val="clear" w:color="auto" w:fill="CCEEFF"/>
            <w:vAlign w:val="bottom"/>
          </w:tcPr>
          <w:p w14:paraId="42A1199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99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9A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9A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28,337</w:t>
            </w:r>
          </w:p>
        </w:tc>
        <w:tc>
          <w:tcPr>
            <w:tcW w:w="0" w:type="auto"/>
            <w:tcBorders>
              <w:top w:val="single" w:sz="8" w:space="0" w:color="000000"/>
            </w:tcBorders>
            <w:shd w:val="clear" w:color="auto" w:fill="CCEEFF"/>
            <w:vAlign w:val="bottom"/>
          </w:tcPr>
          <w:p w14:paraId="42A119A2" w14:textId="77777777" w:rsidR="00BB68E1" w:rsidRDefault="00BB68E1">
            <w:pPr>
              <w:textAlignment w:val="bottom"/>
              <w:rPr>
                <w:rFonts w:ascii="Times New Roman" w:hAnsi="Times New Roman"/>
                <w:sz w:val="20"/>
                <w:szCs w:val="20"/>
              </w:rPr>
            </w:pPr>
          </w:p>
        </w:tc>
      </w:tr>
      <w:tr w:rsidR="00BB68E1" w14:paraId="42A119AE" w14:textId="77777777">
        <w:trPr>
          <w:jc w:val="center"/>
        </w:trPr>
        <w:tc>
          <w:tcPr>
            <w:tcW w:w="0" w:type="auto"/>
            <w:shd w:val="clear" w:color="auto" w:fill="auto"/>
            <w:tcMar>
              <w:top w:w="40" w:type="dxa"/>
              <w:left w:w="40" w:type="dxa"/>
              <w:bottom w:w="40" w:type="dxa"/>
              <w:right w:w="40" w:type="dxa"/>
            </w:tcMar>
            <w:vAlign w:val="center"/>
          </w:tcPr>
          <w:p w14:paraId="42A119A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Payments for property and equipment</w:t>
            </w:r>
          </w:p>
        </w:tc>
        <w:tc>
          <w:tcPr>
            <w:tcW w:w="0" w:type="auto"/>
            <w:shd w:val="clear" w:color="auto" w:fill="auto"/>
            <w:tcMar>
              <w:top w:w="40" w:type="dxa"/>
              <w:left w:w="40" w:type="dxa"/>
              <w:bottom w:w="40" w:type="dxa"/>
              <w:right w:w="40" w:type="dxa"/>
            </w:tcMar>
            <w:vAlign w:val="bottom"/>
          </w:tcPr>
          <w:p w14:paraId="42A119A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9A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(10,705</w:t>
            </w:r>
          </w:p>
        </w:tc>
        <w:tc>
          <w:tcPr>
            <w:tcW w:w="0" w:type="auto"/>
            <w:shd w:val="clear" w:color="auto" w:fill="auto"/>
            <w:tcMar>
              <w:top w:w="40" w:type="dxa"/>
              <w:bottom w:w="40" w:type="dxa"/>
              <w:right w:w="40" w:type="dxa"/>
            </w:tcMar>
            <w:vAlign w:val="center"/>
          </w:tcPr>
          <w:p w14:paraId="42A119A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9A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9A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(10,344</w:t>
            </w:r>
          </w:p>
        </w:tc>
        <w:tc>
          <w:tcPr>
            <w:tcW w:w="0" w:type="auto"/>
            <w:shd w:val="clear" w:color="auto" w:fill="auto"/>
            <w:tcMar>
              <w:top w:w="40" w:type="dxa"/>
              <w:bottom w:w="40" w:type="dxa"/>
              <w:right w:w="40" w:type="dxa"/>
            </w:tcMar>
            <w:vAlign w:val="center"/>
          </w:tcPr>
          <w:p w14:paraId="42A119A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9A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9A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(10,051</w:t>
            </w:r>
          </w:p>
        </w:tc>
        <w:tc>
          <w:tcPr>
            <w:tcW w:w="0" w:type="auto"/>
            <w:shd w:val="clear" w:color="auto" w:fill="auto"/>
            <w:tcMar>
              <w:top w:w="40" w:type="dxa"/>
              <w:bottom w:w="40" w:type="dxa"/>
              <w:right w:w="40" w:type="dxa"/>
            </w:tcMar>
            <w:vAlign w:val="center"/>
          </w:tcPr>
          <w:p w14:paraId="42A119A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9BC" w14:textId="77777777">
        <w:trPr>
          <w:jc w:val="center"/>
        </w:trPr>
        <w:tc>
          <w:tcPr>
            <w:tcW w:w="0" w:type="auto"/>
            <w:shd w:val="clear" w:color="auto" w:fill="CCEEFF"/>
            <w:tcMar>
              <w:top w:w="40" w:type="dxa"/>
              <w:left w:w="40" w:type="dxa"/>
              <w:bottom w:w="40" w:type="dxa"/>
              <w:right w:w="40" w:type="dxa"/>
            </w:tcMar>
            <w:vAlign w:val="center"/>
          </w:tcPr>
          <w:p w14:paraId="42A119AF"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Free cash flow</w:t>
            </w:r>
          </w:p>
        </w:tc>
        <w:tc>
          <w:tcPr>
            <w:tcW w:w="0" w:type="auto"/>
            <w:shd w:val="clear" w:color="auto" w:fill="CCEEFF"/>
            <w:tcMar>
              <w:top w:w="40" w:type="dxa"/>
              <w:left w:w="40" w:type="dxa"/>
              <w:bottom w:w="40" w:type="dxa"/>
              <w:right w:w="40" w:type="dxa"/>
            </w:tcMar>
            <w:vAlign w:val="bottom"/>
          </w:tcPr>
          <w:p w14:paraId="42A119B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19B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19B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14,550</w:t>
            </w:r>
          </w:p>
        </w:tc>
        <w:tc>
          <w:tcPr>
            <w:tcW w:w="0" w:type="auto"/>
            <w:tcBorders>
              <w:top w:val="single" w:sz="8" w:space="0" w:color="000000"/>
              <w:bottom w:val="double" w:sz="6" w:space="0" w:color="000000"/>
            </w:tcBorders>
            <w:shd w:val="clear" w:color="auto" w:fill="CCEEFF"/>
            <w:vAlign w:val="bottom"/>
          </w:tcPr>
          <w:p w14:paraId="42A119B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9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19B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19B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17,409</w:t>
            </w:r>
          </w:p>
        </w:tc>
        <w:tc>
          <w:tcPr>
            <w:tcW w:w="0" w:type="auto"/>
            <w:tcBorders>
              <w:top w:val="single" w:sz="8" w:space="0" w:color="000000"/>
              <w:bottom w:val="double" w:sz="6" w:space="0" w:color="000000"/>
            </w:tcBorders>
            <w:shd w:val="clear" w:color="auto" w:fill="CCEEFF"/>
            <w:vAlign w:val="bottom"/>
          </w:tcPr>
          <w:p w14:paraId="42A119B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9B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19B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19B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18,286</w:t>
            </w:r>
          </w:p>
        </w:tc>
        <w:tc>
          <w:tcPr>
            <w:tcW w:w="0" w:type="auto"/>
            <w:tcBorders>
              <w:top w:val="single" w:sz="8" w:space="0" w:color="000000"/>
              <w:bottom w:val="double" w:sz="6" w:space="0" w:color="000000"/>
            </w:tcBorders>
            <w:shd w:val="clear" w:color="auto" w:fill="CCEEFF"/>
            <w:vAlign w:val="bottom"/>
          </w:tcPr>
          <w:p w14:paraId="42A119BB" w14:textId="77777777" w:rsidR="00BB68E1" w:rsidRDefault="00BB68E1">
            <w:pPr>
              <w:textAlignment w:val="bottom"/>
              <w:rPr>
                <w:rFonts w:ascii="Times New Roman" w:hAnsi="Times New Roman"/>
                <w:sz w:val="20"/>
                <w:szCs w:val="20"/>
              </w:rPr>
            </w:pPr>
          </w:p>
        </w:tc>
      </w:tr>
      <w:tr w:rsidR="00BB68E1" w14:paraId="42A119C4" w14:textId="77777777">
        <w:trPr>
          <w:jc w:val="center"/>
        </w:trPr>
        <w:tc>
          <w:tcPr>
            <w:tcW w:w="0" w:type="auto"/>
            <w:shd w:val="clear" w:color="auto" w:fill="auto"/>
            <w:tcMar>
              <w:top w:w="40" w:type="dxa"/>
              <w:left w:w="40" w:type="dxa"/>
              <w:bottom w:w="40" w:type="dxa"/>
              <w:right w:w="40" w:type="dxa"/>
            </w:tcMar>
            <w:vAlign w:val="bottom"/>
          </w:tcPr>
          <w:p w14:paraId="42A119B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9B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9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9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9C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9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9C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9D2" w14:textId="77777777">
        <w:trPr>
          <w:jc w:val="center"/>
        </w:trPr>
        <w:tc>
          <w:tcPr>
            <w:tcW w:w="0" w:type="auto"/>
            <w:shd w:val="clear" w:color="auto" w:fill="CCEEFF"/>
            <w:tcMar>
              <w:top w:w="40" w:type="dxa"/>
              <w:left w:w="40" w:type="dxa"/>
              <w:bottom w:w="40" w:type="dxa"/>
              <w:right w:w="40" w:type="dxa"/>
            </w:tcMar>
            <w:vAlign w:val="center"/>
          </w:tcPr>
          <w:p w14:paraId="42A119C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cash used in investing activities</w:t>
            </w:r>
            <w:r>
              <w:rPr>
                <w:rFonts w:ascii="Times New Roman" w:eastAsia="宋体" w:hAnsi="Times New Roman"/>
                <w:sz w:val="10"/>
                <w:szCs w:val="10"/>
              </w:rPr>
              <w:t>(1)</w:t>
            </w:r>
          </w:p>
        </w:tc>
        <w:tc>
          <w:tcPr>
            <w:tcW w:w="0" w:type="auto"/>
            <w:shd w:val="clear" w:color="auto" w:fill="CCEEFF"/>
            <w:tcMar>
              <w:top w:w="40" w:type="dxa"/>
              <w:left w:w="40" w:type="dxa"/>
              <w:bottom w:w="40" w:type="dxa"/>
              <w:right w:w="40" w:type="dxa"/>
            </w:tcMar>
            <w:vAlign w:val="bottom"/>
          </w:tcPr>
          <w:p w14:paraId="42A119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9C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9C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(9,128</w:t>
            </w:r>
          </w:p>
        </w:tc>
        <w:tc>
          <w:tcPr>
            <w:tcW w:w="0" w:type="auto"/>
            <w:shd w:val="clear" w:color="auto" w:fill="CCEEFF"/>
            <w:tcMar>
              <w:top w:w="40" w:type="dxa"/>
              <w:bottom w:w="40" w:type="dxa"/>
              <w:right w:w="40" w:type="dxa"/>
            </w:tcMar>
            <w:vAlign w:val="center"/>
          </w:tcPr>
          <w:p w14:paraId="42A119C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9C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9C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9C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(24,036</w:t>
            </w:r>
          </w:p>
        </w:tc>
        <w:tc>
          <w:tcPr>
            <w:tcW w:w="0" w:type="auto"/>
            <w:shd w:val="clear" w:color="auto" w:fill="CCEEFF"/>
            <w:tcMar>
              <w:top w:w="40" w:type="dxa"/>
              <w:bottom w:w="40" w:type="dxa"/>
              <w:right w:w="40" w:type="dxa"/>
            </w:tcMar>
            <w:vAlign w:val="center"/>
          </w:tcPr>
          <w:p w14:paraId="42A119C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9C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9C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9D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(9,079</w:t>
            </w:r>
          </w:p>
        </w:tc>
        <w:tc>
          <w:tcPr>
            <w:tcW w:w="0" w:type="auto"/>
            <w:shd w:val="clear" w:color="auto" w:fill="CCEEFF"/>
            <w:tcMar>
              <w:top w:w="40" w:type="dxa"/>
              <w:bottom w:w="40" w:type="dxa"/>
              <w:right w:w="40" w:type="dxa"/>
            </w:tcMar>
            <w:vAlign w:val="center"/>
          </w:tcPr>
          <w:p w14:paraId="42A119D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9DD" w14:textId="77777777">
        <w:trPr>
          <w:jc w:val="center"/>
        </w:trPr>
        <w:tc>
          <w:tcPr>
            <w:tcW w:w="0" w:type="auto"/>
            <w:shd w:val="clear" w:color="auto" w:fill="auto"/>
            <w:tcMar>
              <w:top w:w="40" w:type="dxa"/>
              <w:left w:w="40" w:type="dxa"/>
              <w:bottom w:w="40" w:type="dxa"/>
              <w:right w:w="40" w:type="dxa"/>
            </w:tcMar>
            <w:vAlign w:val="center"/>
          </w:tcPr>
          <w:p w14:paraId="42A119D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cash used in financing activities</w:t>
            </w:r>
          </w:p>
        </w:tc>
        <w:tc>
          <w:tcPr>
            <w:tcW w:w="0" w:type="auto"/>
            <w:shd w:val="clear" w:color="auto" w:fill="auto"/>
            <w:tcMar>
              <w:top w:w="40" w:type="dxa"/>
              <w:left w:w="40" w:type="dxa"/>
              <w:bottom w:w="40" w:type="dxa"/>
              <w:right w:w="40" w:type="dxa"/>
            </w:tcMar>
            <w:vAlign w:val="bottom"/>
          </w:tcPr>
          <w:p w14:paraId="42A119D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9D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(14,299</w:t>
            </w:r>
          </w:p>
        </w:tc>
        <w:tc>
          <w:tcPr>
            <w:tcW w:w="0" w:type="auto"/>
            <w:shd w:val="clear" w:color="auto" w:fill="auto"/>
            <w:tcMar>
              <w:top w:w="40" w:type="dxa"/>
              <w:bottom w:w="40" w:type="dxa"/>
              <w:right w:w="40" w:type="dxa"/>
            </w:tcMar>
            <w:vAlign w:val="center"/>
          </w:tcPr>
          <w:p w14:paraId="42A119D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9D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9D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(2,537</w:t>
            </w:r>
          </w:p>
        </w:tc>
        <w:tc>
          <w:tcPr>
            <w:tcW w:w="0" w:type="auto"/>
            <w:shd w:val="clear" w:color="auto" w:fill="auto"/>
            <w:tcMar>
              <w:top w:w="40" w:type="dxa"/>
              <w:bottom w:w="40" w:type="dxa"/>
              <w:right w:w="40" w:type="dxa"/>
            </w:tcMar>
            <w:vAlign w:val="center"/>
          </w:tcPr>
          <w:p w14:paraId="42A119D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9D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9D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(19,875</w:t>
            </w:r>
          </w:p>
        </w:tc>
        <w:tc>
          <w:tcPr>
            <w:tcW w:w="0" w:type="auto"/>
            <w:shd w:val="clear" w:color="auto" w:fill="auto"/>
            <w:tcMar>
              <w:top w:w="40" w:type="dxa"/>
              <w:bottom w:w="40" w:type="dxa"/>
              <w:right w:w="40" w:type="dxa"/>
            </w:tcMar>
            <w:vAlign w:val="center"/>
          </w:tcPr>
          <w:p w14:paraId="42A119D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bl>
    <w:p w14:paraId="42A119DE" w14:textId="77777777" w:rsidR="00BB68E1" w:rsidRDefault="005D2D5E">
      <w:pPr>
        <w:spacing w:line="288" w:lineRule="auto"/>
        <w:ind w:hanging="360"/>
        <w:rPr>
          <w:rFonts w:ascii="Times New Roman" w:hAnsi="Times New Roman"/>
          <w:sz w:val="16"/>
          <w:szCs w:val="16"/>
        </w:rPr>
      </w:pPr>
      <w:r>
        <w:rPr>
          <w:rFonts w:ascii="Times New Roman" w:eastAsia="宋体" w:hAnsi="Times New Roman"/>
          <w:sz w:val="16"/>
          <w:szCs w:val="16"/>
        </w:rPr>
        <w:t>(1) "Net cash used in investing activities" includes payments for property and equipment, which is also included in our computation of free cash flow.</w:t>
      </w:r>
    </w:p>
    <w:p w14:paraId="42A119DF" w14:textId="77777777" w:rsidR="00BB68E1" w:rsidRDefault="00BB68E1">
      <w:pPr>
        <w:rPr>
          <w:rFonts w:ascii="Times New Roman" w:hAnsi="Times New Roman"/>
          <w:sz w:val="20"/>
          <w:szCs w:val="20"/>
        </w:rPr>
      </w:pPr>
    </w:p>
    <w:p w14:paraId="42A119E0"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34</w:t>
      </w:r>
    </w:p>
    <w:p w14:paraId="42A119E1" w14:textId="77777777" w:rsidR="00BB68E1" w:rsidRDefault="00BB68E1">
      <w:pPr>
        <w:spacing w:line="288" w:lineRule="auto"/>
        <w:jc w:val="center"/>
        <w:rPr>
          <w:rFonts w:ascii="Times New Roman" w:hAnsi="Times New Roman"/>
          <w:sz w:val="20"/>
          <w:szCs w:val="20"/>
        </w:rPr>
      </w:pPr>
    </w:p>
    <w:p w14:paraId="42A119E2" w14:textId="77777777" w:rsidR="00BB68E1" w:rsidRDefault="005D2D5E">
      <w:r>
        <w:rPr>
          <w:rFonts w:ascii="Times New Roman" w:hAnsi="Times New Roman"/>
          <w:sz w:val="20"/>
          <w:szCs w:val="20"/>
        </w:rPr>
        <w:pict w14:anchorId="42A14299">
          <v:rect id="_x0000_i1058" style="width:415.3pt;height:1.5pt" o:hralign="center" o:hrstd="t" o:hr="t" fillcolor="#a0a0a0" stroked="f"/>
        </w:pict>
      </w:r>
    </w:p>
    <w:p w14:paraId="42A119E3" w14:textId="77777777" w:rsidR="00BB68E1" w:rsidRDefault="00BB68E1">
      <w:pPr>
        <w:spacing w:line="288" w:lineRule="auto"/>
        <w:rPr>
          <w:rFonts w:ascii="Times New Roman" w:hAnsi="Times New Roman"/>
          <w:sz w:val="20"/>
          <w:szCs w:val="20"/>
        </w:rPr>
      </w:pPr>
    </w:p>
    <w:p w14:paraId="42A119E4" w14:textId="77777777" w:rsidR="00BB68E1" w:rsidRDefault="00BB68E1">
      <w:pPr>
        <w:rPr>
          <w:rFonts w:ascii="Times New Roman" w:hAnsi="Times New Roman"/>
          <w:sz w:val="20"/>
          <w:szCs w:val="20"/>
        </w:rPr>
      </w:pPr>
    </w:p>
    <w:p w14:paraId="42A119E5"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Results of Operations</w:t>
      </w:r>
    </w:p>
    <w:p w14:paraId="42A119E6"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Consolidated Results of Operations</w:t>
      </w:r>
    </w:p>
    <w:tbl>
      <w:tblPr>
        <w:tblW w:w="5000" w:type="pct"/>
        <w:jc w:val="center"/>
        <w:tblCellMar>
          <w:left w:w="0" w:type="dxa"/>
          <w:right w:w="0" w:type="dxa"/>
        </w:tblCellMar>
        <w:tblLook w:val="04A0" w:firstRow="1" w:lastRow="0" w:firstColumn="1" w:lastColumn="0" w:noHBand="0" w:noVBand="1"/>
      </w:tblPr>
      <w:tblGrid>
        <w:gridCol w:w="5184"/>
        <w:gridCol w:w="130"/>
        <w:gridCol w:w="120"/>
        <w:gridCol w:w="616"/>
        <w:gridCol w:w="174"/>
        <w:gridCol w:w="130"/>
        <w:gridCol w:w="120"/>
        <w:gridCol w:w="617"/>
        <w:gridCol w:w="174"/>
        <w:gridCol w:w="130"/>
        <w:gridCol w:w="120"/>
        <w:gridCol w:w="617"/>
        <w:gridCol w:w="174"/>
      </w:tblGrid>
      <w:tr w:rsidR="00BB68E1" w14:paraId="42A119E8" w14:textId="77777777">
        <w:trPr>
          <w:jc w:val="center"/>
        </w:trPr>
        <w:tc>
          <w:tcPr>
            <w:tcW w:w="0" w:type="auto"/>
            <w:gridSpan w:val="13"/>
            <w:shd w:val="clear" w:color="auto" w:fill="auto"/>
            <w:vAlign w:val="center"/>
          </w:tcPr>
          <w:p w14:paraId="42A119E7" w14:textId="77777777" w:rsidR="00BB68E1" w:rsidRDefault="00BB68E1">
            <w:pPr>
              <w:rPr>
                <w:rFonts w:ascii="Times New Roman" w:hAnsi="Times New Roman"/>
                <w:sz w:val="20"/>
                <w:szCs w:val="20"/>
              </w:rPr>
            </w:pPr>
          </w:p>
        </w:tc>
      </w:tr>
      <w:tr w:rsidR="00BB68E1" w14:paraId="42A119F6" w14:textId="77777777">
        <w:trPr>
          <w:jc w:val="center"/>
        </w:trPr>
        <w:tc>
          <w:tcPr>
            <w:tcW w:w="3200" w:type="pct"/>
            <w:shd w:val="clear" w:color="auto" w:fill="auto"/>
            <w:vAlign w:val="center"/>
          </w:tcPr>
          <w:p w14:paraId="42A119E9" w14:textId="77777777" w:rsidR="00BB68E1" w:rsidRDefault="00BB68E1">
            <w:pPr>
              <w:rPr>
                <w:rFonts w:ascii="Times New Roman" w:hAnsi="Times New Roman"/>
                <w:sz w:val="20"/>
                <w:szCs w:val="20"/>
              </w:rPr>
            </w:pPr>
          </w:p>
        </w:tc>
        <w:tc>
          <w:tcPr>
            <w:tcW w:w="50" w:type="pct"/>
            <w:shd w:val="clear" w:color="auto" w:fill="auto"/>
            <w:vAlign w:val="center"/>
          </w:tcPr>
          <w:p w14:paraId="42A119EA" w14:textId="77777777" w:rsidR="00BB68E1" w:rsidRDefault="00BB68E1">
            <w:pPr>
              <w:rPr>
                <w:rFonts w:ascii="Times New Roman" w:hAnsi="Times New Roman"/>
                <w:sz w:val="20"/>
                <w:szCs w:val="20"/>
              </w:rPr>
            </w:pPr>
          </w:p>
        </w:tc>
        <w:tc>
          <w:tcPr>
            <w:tcW w:w="50" w:type="pct"/>
            <w:shd w:val="clear" w:color="auto" w:fill="auto"/>
            <w:vAlign w:val="center"/>
          </w:tcPr>
          <w:p w14:paraId="42A119EB" w14:textId="77777777" w:rsidR="00BB68E1" w:rsidRDefault="00BB68E1">
            <w:pPr>
              <w:rPr>
                <w:rFonts w:ascii="Times New Roman" w:hAnsi="Times New Roman"/>
                <w:sz w:val="20"/>
                <w:szCs w:val="20"/>
              </w:rPr>
            </w:pPr>
          </w:p>
        </w:tc>
        <w:tc>
          <w:tcPr>
            <w:tcW w:w="450" w:type="pct"/>
            <w:shd w:val="clear" w:color="auto" w:fill="auto"/>
            <w:vAlign w:val="center"/>
          </w:tcPr>
          <w:p w14:paraId="42A119EC" w14:textId="77777777" w:rsidR="00BB68E1" w:rsidRDefault="00BB68E1">
            <w:pPr>
              <w:rPr>
                <w:rFonts w:ascii="Times New Roman" w:hAnsi="Times New Roman"/>
                <w:sz w:val="20"/>
                <w:szCs w:val="20"/>
              </w:rPr>
            </w:pPr>
          </w:p>
        </w:tc>
        <w:tc>
          <w:tcPr>
            <w:tcW w:w="50" w:type="pct"/>
            <w:shd w:val="clear" w:color="auto" w:fill="auto"/>
            <w:vAlign w:val="center"/>
          </w:tcPr>
          <w:p w14:paraId="42A119ED" w14:textId="77777777" w:rsidR="00BB68E1" w:rsidRDefault="00BB68E1">
            <w:pPr>
              <w:rPr>
                <w:rFonts w:ascii="Times New Roman" w:hAnsi="Times New Roman"/>
                <w:sz w:val="20"/>
                <w:szCs w:val="20"/>
              </w:rPr>
            </w:pPr>
          </w:p>
        </w:tc>
        <w:tc>
          <w:tcPr>
            <w:tcW w:w="50" w:type="pct"/>
            <w:shd w:val="clear" w:color="auto" w:fill="auto"/>
            <w:vAlign w:val="center"/>
          </w:tcPr>
          <w:p w14:paraId="42A119EE" w14:textId="77777777" w:rsidR="00BB68E1" w:rsidRDefault="00BB68E1">
            <w:pPr>
              <w:rPr>
                <w:rFonts w:ascii="Times New Roman" w:hAnsi="Times New Roman"/>
                <w:sz w:val="20"/>
                <w:szCs w:val="20"/>
              </w:rPr>
            </w:pPr>
          </w:p>
        </w:tc>
        <w:tc>
          <w:tcPr>
            <w:tcW w:w="50" w:type="pct"/>
            <w:shd w:val="clear" w:color="auto" w:fill="auto"/>
            <w:vAlign w:val="center"/>
          </w:tcPr>
          <w:p w14:paraId="42A119EF" w14:textId="77777777" w:rsidR="00BB68E1" w:rsidRDefault="00BB68E1">
            <w:pPr>
              <w:rPr>
                <w:rFonts w:ascii="Times New Roman" w:hAnsi="Times New Roman"/>
                <w:sz w:val="20"/>
                <w:szCs w:val="20"/>
              </w:rPr>
            </w:pPr>
          </w:p>
        </w:tc>
        <w:tc>
          <w:tcPr>
            <w:tcW w:w="450" w:type="pct"/>
            <w:shd w:val="clear" w:color="auto" w:fill="auto"/>
            <w:vAlign w:val="center"/>
          </w:tcPr>
          <w:p w14:paraId="42A119F0" w14:textId="77777777" w:rsidR="00BB68E1" w:rsidRDefault="00BB68E1">
            <w:pPr>
              <w:rPr>
                <w:rFonts w:ascii="Times New Roman" w:hAnsi="Times New Roman"/>
                <w:sz w:val="20"/>
                <w:szCs w:val="20"/>
              </w:rPr>
            </w:pPr>
          </w:p>
        </w:tc>
        <w:tc>
          <w:tcPr>
            <w:tcW w:w="50" w:type="pct"/>
            <w:shd w:val="clear" w:color="auto" w:fill="auto"/>
            <w:vAlign w:val="center"/>
          </w:tcPr>
          <w:p w14:paraId="42A119F1" w14:textId="77777777" w:rsidR="00BB68E1" w:rsidRDefault="00BB68E1">
            <w:pPr>
              <w:rPr>
                <w:rFonts w:ascii="Times New Roman" w:hAnsi="Times New Roman"/>
                <w:sz w:val="20"/>
                <w:szCs w:val="20"/>
              </w:rPr>
            </w:pPr>
          </w:p>
        </w:tc>
        <w:tc>
          <w:tcPr>
            <w:tcW w:w="50" w:type="pct"/>
            <w:shd w:val="clear" w:color="auto" w:fill="auto"/>
            <w:vAlign w:val="center"/>
          </w:tcPr>
          <w:p w14:paraId="42A119F2" w14:textId="77777777" w:rsidR="00BB68E1" w:rsidRDefault="00BB68E1">
            <w:pPr>
              <w:rPr>
                <w:rFonts w:ascii="Times New Roman" w:hAnsi="Times New Roman"/>
                <w:sz w:val="20"/>
                <w:szCs w:val="20"/>
              </w:rPr>
            </w:pPr>
          </w:p>
        </w:tc>
        <w:tc>
          <w:tcPr>
            <w:tcW w:w="50" w:type="pct"/>
            <w:shd w:val="clear" w:color="auto" w:fill="auto"/>
            <w:vAlign w:val="center"/>
          </w:tcPr>
          <w:p w14:paraId="42A119F3" w14:textId="77777777" w:rsidR="00BB68E1" w:rsidRDefault="00BB68E1">
            <w:pPr>
              <w:rPr>
                <w:rFonts w:ascii="Times New Roman" w:hAnsi="Times New Roman"/>
                <w:sz w:val="20"/>
                <w:szCs w:val="20"/>
              </w:rPr>
            </w:pPr>
          </w:p>
        </w:tc>
        <w:tc>
          <w:tcPr>
            <w:tcW w:w="450" w:type="pct"/>
            <w:shd w:val="clear" w:color="auto" w:fill="auto"/>
            <w:vAlign w:val="center"/>
          </w:tcPr>
          <w:p w14:paraId="42A119F4" w14:textId="77777777" w:rsidR="00BB68E1" w:rsidRDefault="00BB68E1">
            <w:pPr>
              <w:rPr>
                <w:rFonts w:ascii="Times New Roman" w:hAnsi="Times New Roman"/>
                <w:sz w:val="20"/>
                <w:szCs w:val="20"/>
              </w:rPr>
            </w:pPr>
          </w:p>
        </w:tc>
        <w:tc>
          <w:tcPr>
            <w:tcW w:w="50" w:type="pct"/>
            <w:shd w:val="clear" w:color="auto" w:fill="auto"/>
            <w:vAlign w:val="center"/>
          </w:tcPr>
          <w:p w14:paraId="42A119F5" w14:textId="77777777" w:rsidR="00BB68E1" w:rsidRDefault="00BB68E1">
            <w:pPr>
              <w:rPr>
                <w:rFonts w:ascii="Times New Roman" w:hAnsi="Times New Roman"/>
                <w:sz w:val="20"/>
                <w:szCs w:val="20"/>
              </w:rPr>
            </w:pPr>
          </w:p>
        </w:tc>
      </w:tr>
      <w:tr w:rsidR="00BB68E1" w14:paraId="42A119FA" w14:textId="77777777">
        <w:trPr>
          <w:jc w:val="center"/>
        </w:trPr>
        <w:tc>
          <w:tcPr>
            <w:tcW w:w="0" w:type="auto"/>
            <w:shd w:val="clear" w:color="auto" w:fill="auto"/>
            <w:tcMar>
              <w:top w:w="40" w:type="dxa"/>
              <w:left w:w="40" w:type="dxa"/>
              <w:bottom w:w="40" w:type="dxa"/>
              <w:right w:w="40" w:type="dxa"/>
            </w:tcMar>
            <w:vAlign w:val="bottom"/>
          </w:tcPr>
          <w:p w14:paraId="42A119F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9F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19F9"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1A02" w14:textId="77777777">
        <w:trPr>
          <w:jc w:val="center"/>
        </w:trPr>
        <w:tc>
          <w:tcPr>
            <w:tcW w:w="0" w:type="auto"/>
            <w:shd w:val="clear" w:color="auto" w:fill="auto"/>
            <w:tcMar>
              <w:top w:w="40" w:type="dxa"/>
              <w:left w:w="40" w:type="dxa"/>
              <w:bottom w:w="40" w:type="dxa"/>
              <w:right w:w="40" w:type="dxa"/>
            </w:tcMar>
            <w:vAlign w:val="bottom"/>
          </w:tcPr>
          <w:p w14:paraId="42A119FB"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 except unit counts)</w:t>
            </w:r>
          </w:p>
        </w:tc>
        <w:tc>
          <w:tcPr>
            <w:tcW w:w="0" w:type="auto"/>
            <w:shd w:val="clear" w:color="auto" w:fill="auto"/>
            <w:tcMar>
              <w:top w:w="40" w:type="dxa"/>
              <w:left w:w="40" w:type="dxa"/>
              <w:bottom w:w="40" w:type="dxa"/>
              <w:right w:w="40" w:type="dxa"/>
            </w:tcMar>
            <w:vAlign w:val="bottom"/>
          </w:tcPr>
          <w:p w14:paraId="42A119F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9FD"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2A119F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9F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42A11A0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A01"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1A10" w14:textId="77777777">
        <w:trPr>
          <w:jc w:val="center"/>
        </w:trPr>
        <w:tc>
          <w:tcPr>
            <w:tcW w:w="0" w:type="auto"/>
            <w:shd w:val="clear" w:color="auto" w:fill="CCEEFF"/>
            <w:tcMar>
              <w:top w:w="40" w:type="dxa"/>
              <w:left w:w="40" w:type="dxa"/>
              <w:bottom w:w="40" w:type="dxa"/>
              <w:right w:w="40" w:type="dxa"/>
            </w:tcMar>
            <w:vAlign w:val="center"/>
          </w:tcPr>
          <w:p w14:paraId="42A11A0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revenues</w:t>
            </w:r>
          </w:p>
        </w:tc>
        <w:tc>
          <w:tcPr>
            <w:tcW w:w="0" w:type="auto"/>
            <w:shd w:val="clear" w:color="auto" w:fill="CCEEFF"/>
            <w:tcMar>
              <w:top w:w="40" w:type="dxa"/>
              <w:left w:w="40" w:type="dxa"/>
              <w:bottom w:w="40" w:type="dxa"/>
              <w:right w:w="40" w:type="dxa"/>
            </w:tcMar>
            <w:vAlign w:val="bottom"/>
          </w:tcPr>
          <w:p w14:paraId="42A11A0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A0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A0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523,964</w:t>
            </w:r>
          </w:p>
        </w:tc>
        <w:tc>
          <w:tcPr>
            <w:tcW w:w="0" w:type="auto"/>
            <w:tcBorders>
              <w:top w:val="single" w:sz="8" w:space="0" w:color="000000"/>
            </w:tcBorders>
            <w:shd w:val="clear" w:color="auto" w:fill="CCEEFF"/>
            <w:vAlign w:val="bottom"/>
          </w:tcPr>
          <w:p w14:paraId="42A11A0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A0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A0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A0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514,405</w:t>
            </w:r>
          </w:p>
        </w:tc>
        <w:tc>
          <w:tcPr>
            <w:tcW w:w="0" w:type="auto"/>
            <w:tcBorders>
              <w:top w:val="single" w:sz="8" w:space="0" w:color="000000"/>
            </w:tcBorders>
            <w:shd w:val="clear" w:color="auto" w:fill="CCEEFF"/>
            <w:vAlign w:val="bottom"/>
          </w:tcPr>
          <w:p w14:paraId="42A11A0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A0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A0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A0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500,343</w:t>
            </w:r>
          </w:p>
        </w:tc>
        <w:tc>
          <w:tcPr>
            <w:tcW w:w="0" w:type="auto"/>
            <w:shd w:val="clear" w:color="auto" w:fill="CCEEFF"/>
            <w:vAlign w:val="bottom"/>
          </w:tcPr>
          <w:p w14:paraId="42A11A0F" w14:textId="77777777" w:rsidR="00BB68E1" w:rsidRDefault="00BB68E1">
            <w:pPr>
              <w:textAlignment w:val="bottom"/>
              <w:rPr>
                <w:rFonts w:ascii="Times New Roman" w:hAnsi="Times New Roman"/>
                <w:sz w:val="20"/>
                <w:szCs w:val="20"/>
              </w:rPr>
            </w:pPr>
          </w:p>
        </w:tc>
      </w:tr>
      <w:tr w:rsidR="00BB68E1" w14:paraId="42A11A1B" w14:textId="77777777">
        <w:trPr>
          <w:jc w:val="center"/>
        </w:trPr>
        <w:tc>
          <w:tcPr>
            <w:tcW w:w="0" w:type="auto"/>
            <w:shd w:val="clear" w:color="auto" w:fill="auto"/>
            <w:tcMar>
              <w:top w:w="40" w:type="dxa"/>
              <w:left w:w="40" w:type="dxa"/>
              <w:bottom w:w="40" w:type="dxa"/>
              <w:right w:w="40" w:type="dxa"/>
            </w:tcMar>
            <w:vAlign w:val="center"/>
          </w:tcPr>
          <w:p w14:paraId="42A11A1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Percentage change </w:t>
            </w:r>
            <w:r>
              <w:rPr>
                <w:rFonts w:ascii="Times New Roman" w:eastAsia="宋体" w:hAnsi="Times New Roman"/>
                <w:sz w:val="16"/>
                <w:szCs w:val="16"/>
              </w:rPr>
              <w:t>from comparable period</w:t>
            </w:r>
          </w:p>
        </w:tc>
        <w:tc>
          <w:tcPr>
            <w:tcW w:w="0" w:type="auto"/>
            <w:shd w:val="clear" w:color="auto" w:fill="auto"/>
            <w:tcMar>
              <w:top w:w="40" w:type="dxa"/>
              <w:left w:w="40" w:type="dxa"/>
              <w:bottom w:w="40" w:type="dxa"/>
              <w:right w:w="40" w:type="dxa"/>
            </w:tcMar>
            <w:vAlign w:val="bottom"/>
          </w:tcPr>
          <w:p w14:paraId="42A11A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1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w:t>
            </w:r>
          </w:p>
        </w:tc>
        <w:tc>
          <w:tcPr>
            <w:tcW w:w="0" w:type="auto"/>
            <w:shd w:val="clear" w:color="auto" w:fill="auto"/>
            <w:tcMar>
              <w:top w:w="40" w:type="dxa"/>
              <w:bottom w:w="40" w:type="dxa"/>
              <w:right w:w="40" w:type="dxa"/>
            </w:tcMar>
            <w:vAlign w:val="center"/>
          </w:tcPr>
          <w:p w14:paraId="42A11A1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A1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1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auto"/>
            <w:tcMar>
              <w:top w:w="40" w:type="dxa"/>
              <w:bottom w:w="40" w:type="dxa"/>
              <w:right w:w="40" w:type="dxa"/>
            </w:tcMar>
            <w:vAlign w:val="center"/>
          </w:tcPr>
          <w:p w14:paraId="42A11A1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A1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1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w:t>
            </w:r>
          </w:p>
        </w:tc>
        <w:tc>
          <w:tcPr>
            <w:tcW w:w="0" w:type="auto"/>
            <w:shd w:val="clear" w:color="auto" w:fill="auto"/>
            <w:tcMar>
              <w:top w:w="40" w:type="dxa"/>
              <w:bottom w:w="40" w:type="dxa"/>
              <w:right w:w="40" w:type="dxa"/>
            </w:tcMar>
            <w:vAlign w:val="center"/>
          </w:tcPr>
          <w:p w14:paraId="42A11A1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A29" w14:textId="77777777">
        <w:trPr>
          <w:jc w:val="center"/>
        </w:trPr>
        <w:tc>
          <w:tcPr>
            <w:tcW w:w="0" w:type="auto"/>
            <w:shd w:val="clear" w:color="auto" w:fill="CCEEFF"/>
            <w:tcMar>
              <w:top w:w="40" w:type="dxa"/>
              <w:left w:w="40" w:type="dxa"/>
              <w:bottom w:w="40" w:type="dxa"/>
              <w:right w:w="40" w:type="dxa"/>
            </w:tcMar>
            <w:vAlign w:val="center"/>
          </w:tcPr>
          <w:p w14:paraId="42A11A1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lastRenderedPageBreak/>
              <w:t>Net sales</w:t>
            </w:r>
          </w:p>
        </w:tc>
        <w:tc>
          <w:tcPr>
            <w:tcW w:w="0" w:type="auto"/>
            <w:shd w:val="clear" w:color="auto" w:fill="CCEEFF"/>
            <w:tcMar>
              <w:top w:w="40" w:type="dxa"/>
              <w:left w:w="40" w:type="dxa"/>
              <w:bottom w:w="40" w:type="dxa"/>
              <w:right w:w="40" w:type="dxa"/>
            </w:tcMar>
            <w:vAlign w:val="bottom"/>
          </w:tcPr>
          <w:p w14:paraId="42A11A1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A1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A1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519,926</w:t>
            </w:r>
          </w:p>
        </w:tc>
        <w:tc>
          <w:tcPr>
            <w:tcW w:w="0" w:type="auto"/>
            <w:shd w:val="clear" w:color="auto" w:fill="CCEEFF"/>
            <w:vAlign w:val="bottom"/>
          </w:tcPr>
          <w:p w14:paraId="42A11A2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A2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A2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A2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510,329</w:t>
            </w:r>
          </w:p>
        </w:tc>
        <w:tc>
          <w:tcPr>
            <w:tcW w:w="0" w:type="auto"/>
            <w:shd w:val="clear" w:color="auto" w:fill="CCEEFF"/>
            <w:vAlign w:val="bottom"/>
          </w:tcPr>
          <w:p w14:paraId="42A11A2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A2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A2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A2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495,761</w:t>
            </w:r>
          </w:p>
        </w:tc>
        <w:tc>
          <w:tcPr>
            <w:tcW w:w="0" w:type="auto"/>
            <w:shd w:val="clear" w:color="auto" w:fill="CCEEFF"/>
            <w:vAlign w:val="bottom"/>
          </w:tcPr>
          <w:p w14:paraId="42A11A28" w14:textId="77777777" w:rsidR="00BB68E1" w:rsidRDefault="00BB68E1">
            <w:pPr>
              <w:textAlignment w:val="bottom"/>
              <w:rPr>
                <w:rFonts w:ascii="Times New Roman" w:hAnsi="Times New Roman"/>
                <w:sz w:val="20"/>
                <w:szCs w:val="20"/>
              </w:rPr>
            </w:pPr>
          </w:p>
        </w:tc>
      </w:tr>
      <w:tr w:rsidR="00BB68E1" w14:paraId="42A11A34" w14:textId="77777777">
        <w:trPr>
          <w:jc w:val="center"/>
        </w:trPr>
        <w:tc>
          <w:tcPr>
            <w:tcW w:w="0" w:type="auto"/>
            <w:shd w:val="clear" w:color="auto" w:fill="auto"/>
            <w:tcMar>
              <w:top w:w="40" w:type="dxa"/>
              <w:left w:w="40" w:type="dxa"/>
              <w:bottom w:w="40" w:type="dxa"/>
              <w:right w:w="40" w:type="dxa"/>
            </w:tcMar>
            <w:vAlign w:val="center"/>
          </w:tcPr>
          <w:p w14:paraId="42A11A2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shd w:val="clear" w:color="auto" w:fill="auto"/>
            <w:tcMar>
              <w:top w:w="40" w:type="dxa"/>
              <w:left w:w="40" w:type="dxa"/>
              <w:bottom w:w="40" w:type="dxa"/>
              <w:right w:w="40" w:type="dxa"/>
            </w:tcMar>
            <w:vAlign w:val="bottom"/>
          </w:tcPr>
          <w:p w14:paraId="42A11A2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2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w:t>
            </w:r>
          </w:p>
        </w:tc>
        <w:tc>
          <w:tcPr>
            <w:tcW w:w="0" w:type="auto"/>
            <w:shd w:val="clear" w:color="auto" w:fill="auto"/>
            <w:tcMar>
              <w:top w:w="40" w:type="dxa"/>
              <w:bottom w:w="40" w:type="dxa"/>
              <w:right w:w="40" w:type="dxa"/>
            </w:tcMar>
            <w:vAlign w:val="center"/>
          </w:tcPr>
          <w:p w14:paraId="42A11A2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A2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2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w:t>
            </w:r>
          </w:p>
        </w:tc>
        <w:tc>
          <w:tcPr>
            <w:tcW w:w="0" w:type="auto"/>
            <w:shd w:val="clear" w:color="auto" w:fill="auto"/>
            <w:tcMar>
              <w:top w:w="40" w:type="dxa"/>
              <w:bottom w:w="40" w:type="dxa"/>
              <w:right w:w="40" w:type="dxa"/>
            </w:tcMar>
            <w:vAlign w:val="center"/>
          </w:tcPr>
          <w:p w14:paraId="42A11A3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A3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3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w:t>
            </w:r>
          </w:p>
        </w:tc>
        <w:tc>
          <w:tcPr>
            <w:tcW w:w="0" w:type="auto"/>
            <w:shd w:val="clear" w:color="auto" w:fill="auto"/>
            <w:tcMar>
              <w:top w:w="40" w:type="dxa"/>
              <w:bottom w:w="40" w:type="dxa"/>
              <w:right w:w="40" w:type="dxa"/>
            </w:tcMar>
            <w:vAlign w:val="center"/>
          </w:tcPr>
          <w:p w14:paraId="42A11A3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A3F" w14:textId="77777777">
        <w:trPr>
          <w:jc w:val="center"/>
        </w:trPr>
        <w:tc>
          <w:tcPr>
            <w:tcW w:w="0" w:type="auto"/>
            <w:shd w:val="clear" w:color="auto" w:fill="CCEEFF"/>
            <w:tcMar>
              <w:top w:w="40" w:type="dxa"/>
              <w:left w:w="40" w:type="dxa"/>
              <w:bottom w:w="40" w:type="dxa"/>
              <w:right w:w="40" w:type="dxa"/>
            </w:tcMar>
            <w:vAlign w:val="center"/>
          </w:tcPr>
          <w:p w14:paraId="42A11A3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U.S. calendar comparable sales increase</w:t>
            </w:r>
          </w:p>
        </w:tc>
        <w:tc>
          <w:tcPr>
            <w:tcW w:w="0" w:type="auto"/>
            <w:shd w:val="clear" w:color="auto" w:fill="CCEEFF"/>
            <w:tcMar>
              <w:top w:w="40" w:type="dxa"/>
              <w:left w:w="40" w:type="dxa"/>
              <w:bottom w:w="40" w:type="dxa"/>
              <w:right w:w="40" w:type="dxa"/>
            </w:tcMar>
            <w:vAlign w:val="bottom"/>
          </w:tcPr>
          <w:p w14:paraId="42A11A3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A3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w:t>
            </w:r>
          </w:p>
        </w:tc>
        <w:tc>
          <w:tcPr>
            <w:tcW w:w="0" w:type="auto"/>
            <w:shd w:val="clear" w:color="auto" w:fill="CCEEFF"/>
            <w:tcMar>
              <w:top w:w="40" w:type="dxa"/>
              <w:bottom w:w="40" w:type="dxa"/>
              <w:right w:w="40" w:type="dxa"/>
            </w:tcMar>
            <w:vAlign w:val="center"/>
          </w:tcPr>
          <w:p w14:paraId="42A11A3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A3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A3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w:t>
            </w:r>
          </w:p>
        </w:tc>
        <w:tc>
          <w:tcPr>
            <w:tcW w:w="0" w:type="auto"/>
            <w:shd w:val="clear" w:color="auto" w:fill="CCEEFF"/>
            <w:tcMar>
              <w:top w:w="40" w:type="dxa"/>
              <w:bottom w:w="40" w:type="dxa"/>
              <w:right w:w="40" w:type="dxa"/>
            </w:tcMar>
            <w:vAlign w:val="center"/>
          </w:tcPr>
          <w:p w14:paraId="42A11A3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A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A3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w:t>
            </w:r>
          </w:p>
        </w:tc>
        <w:tc>
          <w:tcPr>
            <w:tcW w:w="0" w:type="auto"/>
            <w:shd w:val="clear" w:color="auto" w:fill="CCEEFF"/>
            <w:tcMar>
              <w:top w:w="40" w:type="dxa"/>
              <w:bottom w:w="40" w:type="dxa"/>
              <w:right w:w="40" w:type="dxa"/>
            </w:tcMar>
            <w:vAlign w:val="center"/>
          </w:tcPr>
          <w:p w14:paraId="42A11A3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A4A" w14:textId="77777777">
        <w:trPr>
          <w:jc w:val="center"/>
        </w:trPr>
        <w:tc>
          <w:tcPr>
            <w:tcW w:w="0" w:type="auto"/>
            <w:shd w:val="clear" w:color="auto" w:fill="auto"/>
            <w:tcMar>
              <w:top w:w="40" w:type="dxa"/>
              <w:left w:w="40" w:type="dxa"/>
              <w:bottom w:w="40" w:type="dxa"/>
              <w:right w:w="40" w:type="dxa"/>
            </w:tcMar>
            <w:vAlign w:val="center"/>
          </w:tcPr>
          <w:p w14:paraId="42A11A4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Gross profit rate</w:t>
            </w:r>
          </w:p>
        </w:tc>
        <w:tc>
          <w:tcPr>
            <w:tcW w:w="0" w:type="auto"/>
            <w:shd w:val="clear" w:color="auto" w:fill="auto"/>
            <w:tcMar>
              <w:top w:w="40" w:type="dxa"/>
              <w:left w:w="40" w:type="dxa"/>
              <w:bottom w:w="40" w:type="dxa"/>
              <w:right w:w="40" w:type="dxa"/>
            </w:tcMar>
            <w:vAlign w:val="bottom"/>
          </w:tcPr>
          <w:p w14:paraId="42A11A4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4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24.1</w:t>
            </w:r>
          </w:p>
        </w:tc>
        <w:tc>
          <w:tcPr>
            <w:tcW w:w="0" w:type="auto"/>
            <w:shd w:val="clear" w:color="auto" w:fill="auto"/>
            <w:tcMar>
              <w:top w:w="40" w:type="dxa"/>
              <w:bottom w:w="40" w:type="dxa"/>
              <w:right w:w="40" w:type="dxa"/>
            </w:tcMar>
            <w:vAlign w:val="center"/>
          </w:tcPr>
          <w:p w14:paraId="42A11A4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A4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4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24.5</w:t>
            </w:r>
          </w:p>
        </w:tc>
        <w:tc>
          <w:tcPr>
            <w:tcW w:w="0" w:type="auto"/>
            <w:shd w:val="clear" w:color="auto" w:fill="auto"/>
            <w:tcMar>
              <w:top w:w="40" w:type="dxa"/>
              <w:bottom w:w="40" w:type="dxa"/>
              <w:right w:w="40" w:type="dxa"/>
            </w:tcMar>
            <w:vAlign w:val="center"/>
          </w:tcPr>
          <w:p w14:paraId="42A11A4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A4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4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24.7</w:t>
            </w:r>
          </w:p>
        </w:tc>
        <w:tc>
          <w:tcPr>
            <w:tcW w:w="0" w:type="auto"/>
            <w:shd w:val="clear" w:color="auto" w:fill="auto"/>
            <w:tcMar>
              <w:top w:w="40" w:type="dxa"/>
              <w:bottom w:w="40" w:type="dxa"/>
              <w:right w:w="40" w:type="dxa"/>
            </w:tcMar>
            <w:vAlign w:val="center"/>
          </w:tcPr>
          <w:p w14:paraId="42A11A4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A58" w14:textId="77777777">
        <w:trPr>
          <w:jc w:val="center"/>
        </w:trPr>
        <w:tc>
          <w:tcPr>
            <w:tcW w:w="0" w:type="auto"/>
            <w:shd w:val="clear" w:color="auto" w:fill="CCEEFF"/>
            <w:tcMar>
              <w:top w:w="40" w:type="dxa"/>
              <w:left w:w="40" w:type="dxa"/>
              <w:bottom w:w="40" w:type="dxa"/>
              <w:right w:w="40" w:type="dxa"/>
            </w:tcMar>
            <w:vAlign w:val="center"/>
          </w:tcPr>
          <w:p w14:paraId="42A11A4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CCEEFF"/>
            <w:tcMar>
              <w:top w:w="40" w:type="dxa"/>
              <w:left w:w="40" w:type="dxa"/>
              <w:bottom w:w="40" w:type="dxa"/>
              <w:right w:w="40" w:type="dxa"/>
            </w:tcMar>
            <w:vAlign w:val="bottom"/>
          </w:tcPr>
          <w:p w14:paraId="42A11A4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A4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A4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20,568</w:t>
            </w:r>
          </w:p>
        </w:tc>
        <w:tc>
          <w:tcPr>
            <w:tcW w:w="0" w:type="auto"/>
            <w:shd w:val="clear" w:color="auto" w:fill="CCEEFF"/>
            <w:vAlign w:val="bottom"/>
          </w:tcPr>
          <w:p w14:paraId="42A11A4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A5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A5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A5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21,957</w:t>
            </w:r>
          </w:p>
        </w:tc>
        <w:tc>
          <w:tcPr>
            <w:tcW w:w="0" w:type="auto"/>
            <w:shd w:val="clear" w:color="auto" w:fill="CCEEFF"/>
            <w:vAlign w:val="bottom"/>
          </w:tcPr>
          <w:p w14:paraId="42A11A5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A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A5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A5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20,437</w:t>
            </w:r>
          </w:p>
        </w:tc>
        <w:tc>
          <w:tcPr>
            <w:tcW w:w="0" w:type="auto"/>
            <w:shd w:val="clear" w:color="auto" w:fill="CCEEFF"/>
            <w:vAlign w:val="bottom"/>
          </w:tcPr>
          <w:p w14:paraId="42A11A57" w14:textId="77777777" w:rsidR="00BB68E1" w:rsidRDefault="00BB68E1">
            <w:pPr>
              <w:textAlignment w:val="bottom"/>
              <w:rPr>
                <w:rFonts w:ascii="Times New Roman" w:hAnsi="Times New Roman"/>
                <w:sz w:val="20"/>
                <w:szCs w:val="20"/>
              </w:rPr>
            </w:pPr>
          </w:p>
        </w:tc>
      </w:tr>
      <w:tr w:rsidR="00BB68E1" w14:paraId="42A11A63" w14:textId="77777777">
        <w:trPr>
          <w:jc w:val="center"/>
        </w:trPr>
        <w:tc>
          <w:tcPr>
            <w:tcW w:w="0" w:type="auto"/>
            <w:shd w:val="clear" w:color="auto" w:fill="auto"/>
            <w:tcMar>
              <w:top w:w="40" w:type="dxa"/>
              <w:left w:w="40" w:type="dxa"/>
              <w:bottom w:w="40" w:type="dxa"/>
              <w:right w:w="40" w:type="dxa"/>
            </w:tcMar>
            <w:vAlign w:val="center"/>
          </w:tcPr>
          <w:p w14:paraId="42A11A5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income as a percentage of net sales</w:t>
            </w:r>
          </w:p>
        </w:tc>
        <w:tc>
          <w:tcPr>
            <w:tcW w:w="0" w:type="auto"/>
            <w:shd w:val="clear" w:color="auto" w:fill="auto"/>
            <w:tcMar>
              <w:top w:w="40" w:type="dxa"/>
              <w:left w:w="40" w:type="dxa"/>
              <w:bottom w:w="40" w:type="dxa"/>
              <w:right w:w="40" w:type="dxa"/>
            </w:tcMar>
            <w:vAlign w:val="bottom"/>
          </w:tcPr>
          <w:p w14:paraId="42A11A5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5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w:t>
            </w:r>
          </w:p>
        </w:tc>
        <w:tc>
          <w:tcPr>
            <w:tcW w:w="0" w:type="auto"/>
            <w:shd w:val="clear" w:color="auto" w:fill="auto"/>
            <w:tcMar>
              <w:top w:w="40" w:type="dxa"/>
              <w:bottom w:w="40" w:type="dxa"/>
              <w:right w:w="40" w:type="dxa"/>
            </w:tcMar>
            <w:vAlign w:val="center"/>
          </w:tcPr>
          <w:p w14:paraId="42A11A5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A5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5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w:t>
            </w:r>
          </w:p>
        </w:tc>
        <w:tc>
          <w:tcPr>
            <w:tcW w:w="0" w:type="auto"/>
            <w:shd w:val="clear" w:color="auto" w:fill="auto"/>
            <w:tcMar>
              <w:top w:w="40" w:type="dxa"/>
              <w:bottom w:w="40" w:type="dxa"/>
              <w:right w:w="40" w:type="dxa"/>
            </w:tcMar>
            <w:vAlign w:val="center"/>
          </w:tcPr>
          <w:p w14:paraId="42A11A5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A6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6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4.1</w:t>
            </w:r>
          </w:p>
        </w:tc>
        <w:tc>
          <w:tcPr>
            <w:tcW w:w="0" w:type="auto"/>
            <w:shd w:val="clear" w:color="auto" w:fill="auto"/>
            <w:tcMar>
              <w:top w:w="40" w:type="dxa"/>
              <w:bottom w:w="40" w:type="dxa"/>
              <w:right w:w="40" w:type="dxa"/>
            </w:tcMar>
            <w:vAlign w:val="center"/>
          </w:tcPr>
          <w:p w14:paraId="42A11A6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A71" w14:textId="77777777">
        <w:trPr>
          <w:jc w:val="center"/>
        </w:trPr>
        <w:tc>
          <w:tcPr>
            <w:tcW w:w="0" w:type="auto"/>
            <w:shd w:val="clear" w:color="auto" w:fill="CCEEFF"/>
            <w:tcMar>
              <w:top w:w="40" w:type="dxa"/>
              <w:left w:w="40" w:type="dxa"/>
              <w:bottom w:w="40" w:type="dxa"/>
              <w:right w:w="40" w:type="dxa"/>
            </w:tcMar>
            <w:vAlign w:val="center"/>
          </w:tcPr>
          <w:p w14:paraId="42A11A6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Consolidated net income</w:t>
            </w:r>
          </w:p>
        </w:tc>
        <w:tc>
          <w:tcPr>
            <w:tcW w:w="0" w:type="auto"/>
            <w:shd w:val="clear" w:color="auto" w:fill="CCEEFF"/>
            <w:tcMar>
              <w:top w:w="40" w:type="dxa"/>
              <w:left w:w="40" w:type="dxa"/>
              <w:bottom w:w="40" w:type="dxa"/>
              <w:right w:w="40" w:type="dxa"/>
            </w:tcMar>
            <w:vAlign w:val="bottom"/>
          </w:tcPr>
          <w:p w14:paraId="42A11A6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A6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A6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15,201</w:t>
            </w:r>
          </w:p>
        </w:tc>
        <w:tc>
          <w:tcPr>
            <w:tcW w:w="0" w:type="auto"/>
            <w:shd w:val="clear" w:color="auto" w:fill="CCEEFF"/>
            <w:vAlign w:val="bottom"/>
          </w:tcPr>
          <w:p w14:paraId="42A11A6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A6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A6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A6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7,179</w:t>
            </w:r>
          </w:p>
        </w:tc>
        <w:tc>
          <w:tcPr>
            <w:tcW w:w="0" w:type="auto"/>
            <w:shd w:val="clear" w:color="auto" w:fill="CCEEFF"/>
            <w:vAlign w:val="bottom"/>
          </w:tcPr>
          <w:p w14:paraId="42A11A6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A6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A6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A6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10,523</w:t>
            </w:r>
          </w:p>
        </w:tc>
        <w:tc>
          <w:tcPr>
            <w:tcW w:w="0" w:type="auto"/>
            <w:shd w:val="clear" w:color="auto" w:fill="CCEEFF"/>
            <w:vAlign w:val="bottom"/>
          </w:tcPr>
          <w:p w14:paraId="42A11A70" w14:textId="77777777" w:rsidR="00BB68E1" w:rsidRDefault="00BB68E1">
            <w:pPr>
              <w:textAlignment w:val="bottom"/>
              <w:rPr>
                <w:rFonts w:ascii="Times New Roman" w:hAnsi="Times New Roman"/>
                <w:sz w:val="20"/>
                <w:szCs w:val="20"/>
              </w:rPr>
            </w:pPr>
          </w:p>
        </w:tc>
      </w:tr>
      <w:tr w:rsidR="00BB68E1" w14:paraId="42A11A7C" w14:textId="77777777">
        <w:trPr>
          <w:jc w:val="center"/>
        </w:trPr>
        <w:tc>
          <w:tcPr>
            <w:tcW w:w="0" w:type="auto"/>
            <w:shd w:val="clear" w:color="auto" w:fill="auto"/>
            <w:tcMar>
              <w:top w:w="40" w:type="dxa"/>
              <w:left w:w="40" w:type="dxa"/>
              <w:bottom w:w="40" w:type="dxa"/>
              <w:right w:w="40" w:type="dxa"/>
            </w:tcMar>
            <w:vAlign w:val="center"/>
          </w:tcPr>
          <w:p w14:paraId="42A11A7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Unit counts at period end</w:t>
            </w:r>
            <w:r>
              <w:rPr>
                <w:rFonts w:ascii="Times New Roman" w:eastAsia="宋体" w:hAnsi="Times New Roman"/>
                <w:sz w:val="10"/>
                <w:szCs w:val="10"/>
              </w:rPr>
              <w:t>(1)</w:t>
            </w:r>
          </w:p>
        </w:tc>
        <w:tc>
          <w:tcPr>
            <w:tcW w:w="0" w:type="auto"/>
            <w:shd w:val="clear" w:color="auto" w:fill="auto"/>
            <w:tcMar>
              <w:top w:w="40" w:type="dxa"/>
              <w:left w:w="40" w:type="dxa"/>
              <w:bottom w:w="40" w:type="dxa"/>
              <w:right w:w="40" w:type="dxa"/>
            </w:tcMar>
            <w:vAlign w:val="bottom"/>
          </w:tcPr>
          <w:p w14:paraId="42A11A7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7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11,501</w:t>
            </w:r>
          </w:p>
        </w:tc>
        <w:tc>
          <w:tcPr>
            <w:tcW w:w="0" w:type="auto"/>
            <w:shd w:val="clear" w:color="auto" w:fill="auto"/>
            <w:vAlign w:val="bottom"/>
          </w:tcPr>
          <w:p w14:paraId="42A11A7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A7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7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11,361</w:t>
            </w:r>
          </w:p>
        </w:tc>
        <w:tc>
          <w:tcPr>
            <w:tcW w:w="0" w:type="auto"/>
            <w:shd w:val="clear" w:color="auto" w:fill="auto"/>
            <w:vAlign w:val="bottom"/>
          </w:tcPr>
          <w:p w14:paraId="42A11A7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A7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7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11,718</w:t>
            </w:r>
          </w:p>
        </w:tc>
        <w:tc>
          <w:tcPr>
            <w:tcW w:w="0" w:type="auto"/>
            <w:shd w:val="clear" w:color="auto" w:fill="auto"/>
            <w:vAlign w:val="bottom"/>
          </w:tcPr>
          <w:p w14:paraId="42A11A7B" w14:textId="77777777" w:rsidR="00BB68E1" w:rsidRDefault="00BB68E1">
            <w:pPr>
              <w:textAlignment w:val="bottom"/>
              <w:rPr>
                <w:rFonts w:ascii="Times New Roman" w:hAnsi="Times New Roman"/>
                <w:sz w:val="20"/>
                <w:szCs w:val="20"/>
              </w:rPr>
            </w:pPr>
          </w:p>
        </w:tc>
      </w:tr>
      <w:tr w:rsidR="00BB68E1" w14:paraId="42A11A87" w14:textId="77777777">
        <w:trPr>
          <w:jc w:val="center"/>
        </w:trPr>
        <w:tc>
          <w:tcPr>
            <w:tcW w:w="0" w:type="auto"/>
            <w:shd w:val="clear" w:color="auto" w:fill="CCEEFF"/>
            <w:tcMar>
              <w:top w:w="40" w:type="dxa"/>
              <w:left w:w="40" w:type="dxa"/>
              <w:bottom w:w="40" w:type="dxa"/>
              <w:right w:w="40" w:type="dxa"/>
            </w:tcMar>
            <w:vAlign w:val="center"/>
          </w:tcPr>
          <w:p w14:paraId="42A11A7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Retail square feet at period end</w:t>
            </w:r>
            <w:r>
              <w:rPr>
                <w:rFonts w:ascii="Times New Roman" w:eastAsia="宋体" w:hAnsi="Times New Roman"/>
                <w:sz w:val="10"/>
                <w:szCs w:val="10"/>
              </w:rPr>
              <w:t>(1)</w:t>
            </w:r>
          </w:p>
        </w:tc>
        <w:tc>
          <w:tcPr>
            <w:tcW w:w="0" w:type="auto"/>
            <w:shd w:val="clear" w:color="auto" w:fill="CCEEFF"/>
            <w:tcMar>
              <w:top w:w="40" w:type="dxa"/>
              <w:left w:w="40" w:type="dxa"/>
              <w:bottom w:w="40" w:type="dxa"/>
              <w:right w:w="40" w:type="dxa"/>
            </w:tcMar>
            <w:vAlign w:val="bottom"/>
          </w:tcPr>
          <w:p w14:paraId="42A11A7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A7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1,129</w:t>
            </w:r>
          </w:p>
        </w:tc>
        <w:tc>
          <w:tcPr>
            <w:tcW w:w="0" w:type="auto"/>
            <w:shd w:val="clear" w:color="auto" w:fill="CCEEFF"/>
            <w:vAlign w:val="bottom"/>
          </w:tcPr>
          <w:p w14:paraId="42A11A8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A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A8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1,129</w:t>
            </w:r>
          </w:p>
        </w:tc>
        <w:tc>
          <w:tcPr>
            <w:tcW w:w="0" w:type="auto"/>
            <w:shd w:val="clear" w:color="auto" w:fill="CCEEFF"/>
            <w:vAlign w:val="bottom"/>
          </w:tcPr>
          <w:p w14:paraId="42A11A8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A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A8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1,158</w:t>
            </w:r>
          </w:p>
        </w:tc>
        <w:tc>
          <w:tcPr>
            <w:tcW w:w="0" w:type="auto"/>
            <w:shd w:val="clear" w:color="auto" w:fill="CCEEFF"/>
            <w:vAlign w:val="bottom"/>
          </w:tcPr>
          <w:p w14:paraId="42A11A86" w14:textId="77777777" w:rsidR="00BB68E1" w:rsidRDefault="00BB68E1">
            <w:pPr>
              <w:textAlignment w:val="bottom"/>
              <w:rPr>
                <w:rFonts w:ascii="Times New Roman" w:hAnsi="Times New Roman"/>
                <w:sz w:val="20"/>
                <w:szCs w:val="20"/>
              </w:rPr>
            </w:pPr>
          </w:p>
        </w:tc>
      </w:tr>
    </w:tbl>
    <w:p w14:paraId="42A11A88" w14:textId="77777777" w:rsidR="00BB68E1" w:rsidRDefault="005D2D5E">
      <w:pPr>
        <w:spacing w:line="288" w:lineRule="auto"/>
        <w:ind w:hanging="360"/>
        <w:rPr>
          <w:rFonts w:ascii="Times New Roman" w:hAnsi="Times New Roman"/>
          <w:sz w:val="16"/>
          <w:szCs w:val="16"/>
        </w:rPr>
      </w:pPr>
      <w:r>
        <w:rPr>
          <w:rFonts w:ascii="Times New Roman" w:eastAsia="宋体" w:hAnsi="Times New Roman"/>
          <w:sz w:val="16"/>
          <w:szCs w:val="16"/>
        </w:rPr>
        <w:t xml:space="preserve">(1) Unit counts and associated retail square feet are presented for stores and clubs generally open as of period end. Permanently closed locations are not included. </w:t>
      </w:r>
    </w:p>
    <w:p w14:paraId="42A11A8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Our total revenues, which includes net sales and membership and other income, increased $9</w:t>
      </w:r>
      <w:r>
        <w:rPr>
          <w:rFonts w:ascii="Times New Roman" w:eastAsia="宋体" w:hAnsi="Times New Roman"/>
          <w:sz w:val="20"/>
          <w:szCs w:val="20"/>
        </w:rPr>
        <w:t>.6 billion or 1.9% and $14.1 billion or 2.8% for fiscal 2020 and 2019, respectively, when compared to the previous fiscal year. These increases in revenues were due to increases in net sales, which increased $9.6 billion or 1.9% and $14.6 billion or 2.9% f</w:t>
      </w:r>
      <w:r>
        <w:rPr>
          <w:rFonts w:ascii="Times New Roman" w:eastAsia="宋体" w:hAnsi="Times New Roman"/>
          <w:sz w:val="20"/>
          <w:szCs w:val="20"/>
        </w:rPr>
        <w:t>or fiscal 2020 and 2019, respectively, when compared to the previous fiscal year. For fiscal 2020, net sales were positively impacted by overall positive comparable sales for Walmart U.S. and Sam's Club segments, along with the addition of net sales from F</w:t>
      </w:r>
      <w:r>
        <w:rPr>
          <w:rFonts w:ascii="Times New Roman" w:eastAsia="宋体" w:hAnsi="Times New Roman"/>
          <w:sz w:val="20"/>
          <w:szCs w:val="20"/>
        </w:rPr>
        <w:t xml:space="preserve">lipkart, which we acquired in August 2018, and positive comparable sales in the majority of our international markets. These increases were partially offset by $4.1 billion of negative impact from fluctuations in currency exchange rates in fiscal 2020 and </w:t>
      </w:r>
      <w:r>
        <w:rPr>
          <w:rFonts w:ascii="Times New Roman" w:eastAsia="宋体" w:hAnsi="Times New Roman"/>
          <w:sz w:val="20"/>
          <w:szCs w:val="20"/>
        </w:rPr>
        <w:t xml:space="preserve">our sale of the majority stake in Walmart Brazil in August 2018. For fiscal 2019, net sales were positively impacted by overall positive comparable sales for Walmart U.S. and Sam's Club segments, along with positive comparable sales in the majority of our </w:t>
      </w:r>
      <w:r>
        <w:rPr>
          <w:rFonts w:ascii="Times New Roman" w:eastAsia="宋体" w:hAnsi="Times New Roman"/>
          <w:sz w:val="20"/>
          <w:szCs w:val="20"/>
        </w:rPr>
        <w:t>International markets and net sales from Flipkart, which we acquired in the third quarter of fiscal 2019. Additionally, for fiscal 2019, the increase in net sales was partially offset by a $4.5 billion decrease in net sales due to club closures in the Sam'</w:t>
      </w:r>
      <w:r>
        <w:rPr>
          <w:rFonts w:ascii="Times New Roman" w:eastAsia="宋体" w:hAnsi="Times New Roman"/>
          <w:sz w:val="20"/>
          <w:szCs w:val="20"/>
        </w:rPr>
        <w:t>s Club segment during fiscal 2018, a $3.1 billion reduction in net sales due to the sale of the majority stake in Walmart Brazil in the International segment, and $0.7 billion of negative impact from fluctuations in currency exchange rates.</w:t>
      </w:r>
    </w:p>
    <w:p w14:paraId="42A11A8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Our gross profi</w:t>
      </w:r>
      <w:r>
        <w:rPr>
          <w:rFonts w:ascii="Times New Roman" w:eastAsia="宋体" w:hAnsi="Times New Roman"/>
          <w:sz w:val="20"/>
          <w:szCs w:val="20"/>
        </w:rPr>
        <w:t>t rate decreased 40 and 18 basis points for fiscal 2020 and 2019, respectively, when compared to the previous fiscal year. For fiscal 2020, these decreases were primarily due to price investment in the Walmart U.S. segment and the addition of Flipkart in t</w:t>
      </w:r>
      <w:r>
        <w:rPr>
          <w:rFonts w:ascii="Times New Roman" w:eastAsia="宋体" w:hAnsi="Times New Roman"/>
          <w:sz w:val="20"/>
          <w:szCs w:val="20"/>
        </w:rPr>
        <w:t xml:space="preserve">he Walmart International segment, partially offset by favorable merchandise mix including strength in private brands and less pressure from transportation costs in the Walmart U.S. segment. For fiscal 2019, the decrease was due to the mix effects from our </w:t>
      </w:r>
      <w:r>
        <w:rPr>
          <w:rFonts w:ascii="Times New Roman" w:eastAsia="宋体" w:hAnsi="Times New Roman"/>
          <w:sz w:val="20"/>
          <w:szCs w:val="20"/>
        </w:rPr>
        <w:t>growing eCommerce business, the acquisition of Flipkart, our planned pricing strategy and increased transportation expenses.</w:t>
      </w:r>
    </w:p>
    <w:p w14:paraId="42A11A8B"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For fiscal 2020, operating expenses as a percentage of net sales decreased 8 basis points, when compared to the same period in the </w:t>
      </w:r>
      <w:r>
        <w:rPr>
          <w:rFonts w:ascii="Times New Roman" w:eastAsia="宋体" w:hAnsi="Times New Roman"/>
          <w:sz w:val="20"/>
          <w:szCs w:val="20"/>
        </w:rPr>
        <w:t>previous fiscal year due to our focus on expense management combined with our growth in comparable store sales. These improvements were partially offset by $0.9 billion in business restructuring charges consisting primarily of non-cash impairment charges f</w:t>
      </w:r>
      <w:r>
        <w:rPr>
          <w:rFonts w:ascii="Times New Roman" w:eastAsia="宋体" w:hAnsi="Times New Roman"/>
          <w:sz w:val="20"/>
          <w:szCs w:val="20"/>
        </w:rPr>
        <w:t xml:space="preserve">or certain trade names, acquired developed technology, and other business restructuring charges due to strategic decisions that resulted in the write down of certain assets in the Walmart U.S. and Walmart International segments. </w:t>
      </w:r>
    </w:p>
    <w:p w14:paraId="42A11A8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For fiscal 2019, operating</w:t>
      </w:r>
      <w:r>
        <w:rPr>
          <w:rFonts w:ascii="Times New Roman" w:eastAsia="宋体" w:hAnsi="Times New Roman"/>
          <w:sz w:val="20"/>
          <w:szCs w:val="20"/>
        </w:rPr>
        <w:t xml:space="preserve"> expenses as a percentage of net sales decreased 48 basis points, when compared to the previous fiscal year. The primary drivers of the expense leverage were strong sales performance in conjunction with productivity improvements and lapping approximately $</w:t>
      </w:r>
      <w:r>
        <w:rPr>
          <w:rFonts w:ascii="Times New Roman" w:eastAsia="宋体" w:hAnsi="Times New Roman"/>
          <w:sz w:val="20"/>
          <w:szCs w:val="20"/>
        </w:rPr>
        <w:t>1.8 billion in certain charges in fiscal 2018. The improvements in fiscal 2019 were partially offset by additional investments in eCommerce and technology, as well as a $0.2 billion charge related to a securities class action lawsuit.</w:t>
      </w:r>
    </w:p>
    <w:p w14:paraId="42A11A8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Other gains and losse</w:t>
      </w:r>
      <w:r>
        <w:rPr>
          <w:rFonts w:ascii="Times New Roman" w:eastAsia="宋体" w:hAnsi="Times New Roman"/>
          <w:sz w:val="20"/>
          <w:szCs w:val="20"/>
        </w:rPr>
        <w:t xml:space="preserve">s consisted of a gain of $2.0 billion for fiscal 2020 and a loss of $8.4 billion for fiscal 2019. The gain in fiscal 2020 was primarily the result of a $1.9 billion increase in the market </w:t>
      </w:r>
      <w:r>
        <w:rPr>
          <w:rFonts w:ascii="Times New Roman" w:eastAsia="宋体" w:hAnsi="Times New Roman"/>
          <w:sz w:val="20"/>
          <w:szCs w:val="20"/>
        </w:rPr>
        <w:lastRenderedPageBreak/>
        <w:t>value of our investment in JD.com. The loss in fiscal 2019 is primar</w:t>
      </w:r>
      <w:r>
        <w:rPr>
          <w:rFonts w:ascii="Times New Roman" w:eastAsia="宋体" w:hAnsi="Times New Roman"/>
          <w:sz w:val="20"/>
          <w:szCs w:val="20"/>
        </w:rPr>
        <w:t>ily the result of the $4.8 billion pre-tax loss on the sale of the majority stake in Walmart Brazil and a $3.5 billion decrease in the market value of our investment in JD.com. Fiscal 2018 results included loss on extinguishment of debt of $3.1 billion.</w:t>
      </w:r>
    </w:p>
    <w:p w14:paraId="42A11A8E" w14:textId="77777777" w:rsidR="00BB68E1" w:rsidRDefault="00BB68E1">
      <w:pPr>
        <w:rPr>
          <w:rFonts w:ascii="Times New Roman" w:hAnsi="Times New Roman"/>
          <w:sz w:val="20"/>
          <w:szCs w:val="20"/>
        </w:rPr>
      </w:pPr>
    </w:p>
    <w:p w14:paraId="42A11A8F"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3</w:t>
      </w:r>
      <w:r>
        <w:rPr>
          <w:rFonts w:ascii="Times New Roman" w:eastAsia="宋体" w:hAnsi="Times New Roman"/>
          <w:sz w:val="20"/>
          <w:szCs w:val="20"/>
        </w:rPr>
        <w:t>5</w:t>
      </w:r>
    </w:p>
    <w:p w14:paraId="42A11A90" w14:textId="77777777" w:rsidR="00BB68E1" w:rsidRDefault="00BB68E1">
      <w:pPr>
        <w:spacing w:line="288" w:lineRule="auto"/>
        <w:jc w:val="center"/>
        <w:rPr>
          <w:rFonts w:ascii="Times New Roman" w:hAnsi="Times New Roman"/>
          <w:sz w:val="20"/>
          <w:szCs w:val="20"/>
        </w:rPr>
      </w:pPr>
    </w:p>
    <w:p w14:paraId="42A11A91" w14:textId="77777777" w:rsidR="00BB68E1" w:rsidRDefault="005D2D5E">
      <w:r>
        <w:rPr>
          <w:rFonts w:ascii="Times New Roman" w:hAnsi="Times New Roman"/>
          <w:sz w:val="20"/>
          <w:szCs w:val="20"/>
        </w:rPr>
        <w:pict w14:anchorId="42A1429A">
          <v:rect id="_x0000_i1059" style="width:415.3pt;height:1.5pt" o:hralign="center" o:hrstd="t" o:hr="t" fillcolor="#a0a0a0" stroked="f"/>
        </w:pict>
      </w:r>
    </w:p>
    <w:p w14:paraId="42A11A92" w14:textId="77777777" w:rsidR="00BB68E1" w:rsidRDefault="00BB68E1">
      <w:pPr>
        <w:spacing w:line="288" w:lineRule="auto"/>
        <w:rPr>
          <w:rFonts w:ascii="Times New Roman" w:hAnsi="Times New Roman"/>
          <w:sz w:val="20"/>
          <w:szCs w:val="20"/>
        </w:rPr>
      </w:pPr>
    </w:p>
    <w:p w14:paraId="42A11A93" w14:textId="77777777" w:rsidR="00BB68E1" w:rsidRDefault="00BB68E1">
      <w:pPr>
        <w:rPr>
          <w:rFonts w:ascii="Times New Roman" w:hAnsi="Times New Roman"/>
          <w:sz w:val="20"/>
          <w:szCs w:val="20"/>
        </w:rPr>
      </w:pPr>
    </w:p>
    <w:p w14:paraId="42A11A9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Our effective income tax rate was 24.4% for fiscal 2020, 37.4% for fiscal 2019, and 30.4% for fiscal 2018. The decrease in our effective tax rate for fiscal 2020 is primarily due to the fiscal 2019 loss on sale of a majority stake in Walmart Brazil,</w:t>
      </w:r>
      <w:r>
        <w:rPr>
          <w:rFonts w:ascii="Times New Roman" w:eastAsia="宋体" w:hAnsi="Times New Roman"/>
          <w:sz w:val="20"/>
          <w:szCs w:val="20"/>
        </w:rPr>
        <w:t xml:space="preserve"> which increased the comparative period's effective tax rate, as it provided minimal realizable tax benefit. The increase in our effective tax rate for fiscal 2019 is primarily due to the aforementioned loss on sale of a majority stake in Walmart Brazil an</w:t>
      </w:r>
      <w:r>
        <w:rPr>
          <w:rFonts w:ascii="Times New Roman" w:eastAsia="宋体" w:hAnsi="Times New Roman"/>
          <w:sz w:val="20"/>
          <w:szCs w:val="20"/>
        </w:rPr>
        <w:t>d Flipkart's results. Additionally, our effective income tax rate may also fluctuate as a result of various factors, including changes in our assessment of certain tax contingencies, valuation allowances, changes in tax law, outcomes of administrative audi</w:t>
      </w:r>
      <w:r>
        <w:rPr>
          <w:rFonts w:ascii="Times New Roman" w:eastAsia="宋体" w:hAnsi="Times New Roman"/>
          <w:sz w:val="20"/>
          <w:szCs w:val="20"/>
        </w:rPr>
        <w:t>ts, the impact of discrete items and the mix and size of earnings among our U.S. operations and international operations, which are subject to statutory rates that, beginning in fiscal 2019, are generally higher than the U.S. statutory rate. The reconcilia</w:t>
      </w:r>
      <w:r>
        <w:rPr>
          <w:rFonts w:ascii="Times New Roman" w:eastAsia="宋体" w:hAnsi="Times New Roman"/>
          <w:sz w:val="20"/>
          <w:szCs w:val="20"/>
        </w:rPr>
        <w:t xml:space="preserve">tion from the U.S. statutory rate to the effective income tax rates for fiscal 2020, 2019 and 2018 is presented in </w:t>
      </w:r>
      <w:hyperlink r:id="rId94" w:anchor="s1440EE560A4A5965A0100B48A4AE13ED" w:history="1">
        <w:r>
          <w:rPr>
            <w:rStyle w:val="a5"/>
            <w:rFonts w:ascii="Times New Roman" w:eastAsia="宋体" w:hAnsi="Times New Roman"/>
            <w:sz w:val="20"/>
            <w:szCs w:val="20"/>
          </w:rPr>
          <w:t>Note 9</w:t>
        </w:r>
      </w:hyperlink>
      <w:r>
        <w:rPr>
          <w:rFonts w:ascii="Times New Roman" w:eastAsia="宋体" w:hAnsi="Times New Roman"/>
          <w:sz w:val="20"/>
          <w:szCs w:val="20"/>
        </w:rPr>
        <w:t xml:space="preserve"> to our </w:t>
      </w:r>
      <w:hyperlink r:id="rId95" w:anchor="sA5E98BE962E35B089A50138DA2F89B85" w:history="1">
        <w:r>
          <w:rPr>
            <w:rStyle w:val="a5"/>
            <w:rFonts w:ascii="Times New Roman" w:eastAsia="宋体" w:hAnsi="Times New Roman"/>
            <w:sz w:val="20"/>
            <w:szCs w:val="20"/>
          </w:rPr>
          <w:t>Notes to Consolidated Financial Statements</w:t>
        </w:r>
      </w:hyperlink>
      <w:r>
        <w:rPr>
          <w:rFonts w:ascii="Times New Roman" w:eastAsia="宋体" w:hAnsi="Times New Roman"/>
          <w:sz w:val="20"/>
          <w:szCs w:val="20"/>
        </w:rPr>
        <w:t>.</w:t>
      </w:r>
    </w:p>
    <w:p w14:paraId="42A11A95"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As a result of the factor</w:t>
      </w:r>
      <w:r>
        <w:rPr>
          <w:rFonts w:ascii="Times New Roman" w:eastAsia="宋体" w:hAnsi="Times New Roman"/>
          <w:sz w:val="20"/>
          <w:szCs w:val="20"/>
        </w:rPr>
        <w:t>s discussed above, we reported $15.2 billion and $7.2 billion of consolidated net income for fiscal 2020 and 2019, respectively, which represents an increase of $8.0 billion and a decrease of $3.3 billion for fiscal 2020 and 2019, respectively, when compar</w:t>
      </w:r>
      <w:r>
        <w:rPr>
          <w:rFonts w:ascii="Times New Roman" w:eastAsia="宋体" w:hAnsi="Times New Roman"/>
          <w:sz w:val="20"/>
          <w:szCs w:val="20"/>
        </w:rPr>
        <w:t xml:space="preserve">ed to the previous fiscal year. Diluted net income per common share attributable to Walmart ("EPS") was $5.19, $2.26 and $3.28 for fiscal 2020, 2019 and 2018, respectively. </w:t>
      </w:r>
    </w:p>
    <w:p w14:paraId="42A11A96"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Walmart U.S. Segment</w:t>
      </w:r>
    </w:p>
    <w:tbl>
      <w:tblPr>
        <w:tblW w:w="5000" w:type="pct"/>
        <w:jc w:val="center"/>
        <w:tblCellMar>
          <w:left w:w="0" w:type="dxa"/>
          <w:right w:w="0" w:type="dxa"/>
        </w:tblCellMar>
        <w:tblLook w:val="04A0" w:firstRow="1" w:lastRow="0" w:firstColumn="1" w:lastColumn="0" w:noHBand="0" w:noVBand="1"/>
      </w:tblPr>
      <w:tblGrid>
        <w:gridCol w:w="5184"/>
        <w:gridCol w:w="130"/>
        <w:gridCol w:w="120"/>
        <w:gridCol w:w="616"/>
        <w:gridCol w:w="174"/>
        <w:gridCol w:w="130"/>
        <w:gridCol w:w="120"/>
        <w:gridCol w:w="617"/>
        <w:gridCol w:w="174"/>
        <w:gridCol w:w="130"/>
        <w:gridCol w:w="120"/>
        <w:gridCol w:w="617"/>
        <w:gridCol w:w="174"/>
      </w:tblGrid>
      <w:tr w:rsidR="00BB68E1" w14:paraId="42A11A98" w14:textId="77777777">
        <w:trPr>
          <w:jc w:val="center"/>
        </w:trPr>
        <w:tc>
          <w:tcPr>
            <w:tcW w:w="0" w:type="auto"/>
            <w:gridSpan w:val="13"/>
            <w:shd w:val="clear" w:color="auto" w:fill="auto"/>
            <w:vAlign w:val="center"/>
          </w:tcPr>
          <w:p w14:paraId="42A11A97" w14:textId="77777777" w:rsidR="00BB68E1" w:rsidRDefault="00BB68E1">
            <w:pPr>
              <w:rPr>
                <w:rFonts w:ascii="Times New Roman" w:hAnsi="Times New Roman"/>
                <w:sz w:val="20"/>
                <w:szCs w:val="20"/>
              </w:rPr>
            </w:pPr>
          </w:p>
        </w:tc>
      </w:tr>
      <w:tr w:rsidR="00BB68E1" w14:paraId="42A11AA6" w14:textId="77777777">
        <w:trPr>
          <w:jc w:val="center"/>
        </w:trPr>
        <w:tc>
          <w:tcPr>
            <w:tcW w:w="3200" w:type="pct"/>
            <w:shd w:val="clear" w:color="auto" w:fill="auto"/>
            <w:vAlign w:val="center"/>
          </w:tcPr>
          <w:p w14:paraId="42A11A99" w14:textId="77777777" w:rsidR="00BB68E1" w:rsidRDefault="00BB68E1">
            <w:pPr>
              <w:rPr>
                <w:rFonts w:ascii="Times New Roman" w:hAnsi="Times New Roman"/>
                <w:sz w:val="20"/>
                <w:szCs w:val="20"/>
              </w:rPr>
            </w:pPr>
          </w:p>
        </w:tc>
        <w:tc>
          <w:tcPr>
            <w:tcW w:w="50" w:type="pct"/>
            <w:shd w:val="clear" w:color="auto" w:fill="auto"/>
            <w:vAlign w:val="center"/>
          </w:tcPr>
          <w:p w14:paraId="42A11A9A" w14:textId="77777777" w:rsidR="00BB68E1" w:rsidRDefault="00BB68E1">
            <w:pPr>
              <w:rPr>
                <w:rFonts w:ascii="Times New Roman" w:hAnsi="Times New Roman"/>
                <w:sz w:val="20"/>
                <w:szCs w:val="20"/>
              </w:rPr>
            </w:pPr>
          </w:p>
        </w:tc>
        <w:tc>
          <w:tcPr>
            <w:tcW w:w="50" w:type="pct"/>
            <w:shd w:val="clear" w:color="auto" w:fill="auto"/>
            <w:vAlign w:val="center"/>
          </w:tcPr>
          <w:p w14:paraId="42A11A9B" w14:textId="77777777" w:rsidR="00BB68E1" w:rsidRDefault="00BB68E1">
            <w:pPr>
              <w:rPr>
                <w:rFonts w:ascii="Times New Roman" w:hAnsi="Times New Roman"/>
                <w:sz w:val="20"/>
                <w:szCs w:val="20"/>
              </w:rPr>
            </w:pPr>
          </w:p>
        </w:tc>
        <w:tc>
          <w:tcPr>
            <w:tcW w:w="450" w:type="pct"/>
            <w:shd w:val="clear" w:color="auto" w:fill="auto"/>
            <w:vAlign w:val="center"/>
          </w:tcPr>
          <w:p w14:paraId="42A11A9C" w14:textId="77777777" w:rsidR="00BB68E1" w:rsidRDefault="00BB68E1">
            <w:pPr>
              <w:rPr>
                <w:rFonts w:ascii="Times New Roman" w:hAnsi="Times New Roman"/>
                <w:sz w:val="20"/>
                <w:szCs w:val="20"/>
              </w:rPr>
            </w:pPr>
          </w:p>
        </w:tc>
        <w:tc>
          <w:tcPr>
            <w:tcW w:w="50" w:type="pct"/>
            <w:shd w:val="clear" w:color="auto" w:fill="auto"/>
            <w:vAlign w:val="center"/>
          </w:tcPr>
          <w:p w14:paraId="42A11A9D" w14:textId="77777777" w:rsidR="00BB68E1" w:rsidRDefault="00BB68E1">
            <w:pPr>
              <w:rPr>
                <w:rFonts w:ascii="Times New Roman" w:hAnsi="Times New Roman"/>
                <w:sz w:val="20"/>
                <w:szCs w:val="20"/>
              </w:rPr>
            </w:pPr>
          </w:p>
        </w:tc>
        <w:tc>
          <w:tcPr>
            <w:tcW w:w="50" w:type="pct"/>
            <w:shd w:val="clear" w:color="auto" w:fill="auto"/>
            <w:vAlign w:val="center"/>
          </w:tcPr>
          <w:p w14:paraId="42A11A9E" w14:textId="77777777" w:rsidR="00BB68E1" w:rsidRDefault="00BB68E1">
            <w:pPr>
              <w:rPr>
                <w:rFonts w:ascii="Times New Roman" w:hAnsi="Times New Roman"/>
                <w:sz w:val="20"/>
                <w:szCs w:val="20"/>
              </w:rPr>
            </w:pPr>
          </w:p>
        </w:tc>
        <w:tc>
          <w:tcPr>
            <w:tcW w:w="50" w:type="pct"/>
            <w:shd w:val="clear" w:color="auto" w:fill="auto"/>
            <w:vAlign w:val="center"/>
          </w:tcPr>
          <w:p w14:paraId="42A11A9F" w14:textId="77777777" w:rsidR="00BB68E1" w:rsidRDefault="00BB68E1">
            <w:pPr>
              <w:rPr>
                <w:rFonts w:ascii="Times New Roman" w:hAnsi="Times New Roman"/>
                <w:sz w:val="20"/>
                <w:szCs w:val="20"/>
              </w:rPr>
            </w:pPr>
          </w:p>
        </w:tc>
        <w:tc>
          <w:tcPr>
            <w:tcW w:w="450" w:type="pct"/>
            <w:shd w:val="clear" w:color="auto" w:fill="auto"/>
            <w:vAlign w:val="center"/>
          </w:tcPr>
          <w:p w14:paraId="42A11AA0" w14:textId="77777777" w:rsidR="00BB68E1" w:rsidRDefault="00BB68E1">
            <w:pPr>
              <w:rPr>
                <w:rFonts w:ascii="Times New Roman" w:hAnsi="Times New Roman"/>
                <w:sz w:val="20"/>
                <w:szCs w:val="20"/>
              </w:rPr>
            </w:pPr>
          </w:p>
        </w:tc>
        <w:tc>
          <w:tcPr>
            <w:tcW w:w="50" w:type="pct"/>
            <w:shd w:val="clear" w:color="auto" w:fill="auto"/>
            <w:vAlign w:val="center"/>
          </w:tcPr>
          <w:p w14:paraId="42A11AA1" w14:textId="77777777" w:rsidR="00BB68E1" w:rsidRDefault="00BB68E1">
            <w:pPr>
              <w:rPr>
                <w:rFonts w:ascii="Times New Roman" w:hAnsi="Times New Roman"/>
                <w:sz w:val="20"/>
                <w:szCs w:val="20"/>
              </w:rPr>
            </w:pPr>
          </w:p>
        </w:tc>
        <w:tc>
          <w:tcPr>
            <w:tcW w:w="50" w:type="pct"/>
            <w:shd w:val="clear" w:color="auto" w:fill="auto"/>
            <w:vAlign w:val="center"/>
          </w:tcPr>
          <w:p w14:paraId="42A11AA2" w14:textId="77777777" w:rsidR="00BB68E1" w:rsidRDefault="00BB68E1">
            <w:pPr>
              <w:rPr>
                <w:rFonts w:ascii="Times New Roman" w:hAnsi="Times New Roman"/>
                <w:sz w:val="20"/>
                <w:szCs w:val="20"/>
              </w:rPr>
            </w:pPr>
          </w:p>
        </w:tc>
        <w:tc>
          <w:tcPr>
            <w:tcW w:w="50" w:type="pct"/>
            <w:shd w:val="clear" w:color="auto" w:fill="auto"/>
            <w:vAlign w:val="center"/>
          </w:tcPr>
          <w:p w14:paraId="42A11AA3" w14:textId="77777777" w:rsidR="00BB68E1" w:rsidRDefault="00BB68E1">
            <w:pPr>
              <w:rPr>
                <w:rFonts w:ascii="Times New Roman" w:hAnsi="Times New Roman"/>
                <w:sz w:val="20"/>
                <w:szCs w:val="20"/>
              </w:rPr>
            </w:pPr>
          </w:p>
        </w:tc>
        <w:tc>
          <w:tcPr>
            <w:tcW w:w="450" w:type="pct"/>
            <w:shd w:val="clear" w:color="auto" w:fill="auto"/>
            <w:vAlign w:val="center"/>
          </w:tcPr>
          <w:p w14:paraId="42A11AA4" w14:textId="77777777" w:rsidR="00BB68E1" w:rsidRDefault="00BB68E1">
            <w:pPr>
              <w:rPr>
                <w:rFonts w:ascii="Times New Roman" w:hAnsi="Times New Roman"/>
                <w:sz w:val="20"/>
                <w:szCs w:val="20"/>
              </w:rPr>
            </w:pPr>
          </w:p>
        </w:tc>
        <w:tc>
          <w:tcPr>
            <w:tcW w:w="50" w:type="pct"/>
            <w:shd w:val="clear" w:color="auto" w:fill="auto"/>
            <w:vAlign w:val="center"/>
          </w:tcPr>
          <w:p w14:paraId="42A11AA5" w14:textId="77777777" w:rsidR="00BB68E1" w:rsidRDefault="00BB68E1">
            <w:pPr>
              <w:rPr>
                <w:rFonts w:ascii="Times New Roman" w:hAnsi="Times New Roman"/>
                <w:sz w:val="20"/>
                <w:szCs w:val="20"/>
              </w:rPr>
            </w:pPr>
          </w:p>
        </w:tc>
      </w:tr>
      <w:tr w:rsidR="00BB68E1" w14:paraId="42A11AAA" w14:textId="77777777">
        <w:trPr>
          <w:jc w:val="center"/>
        </w:trPr>
        <w:tc>
          <w:tcPr>
            <w:tcW w:w="0" w:type="auto"/>
            <w:shd w:val="clear" w:color="auto" w:fill="auto"/>
            <w:tcMar>
              <w:top w:w="40" w:type="dxa"/>
              <w:left w:w="40" w:type="dxa"/>
              <w:bottom w:w="40" w:type="dxa"/>
              <w:right w:w="40" w:type="dxa"/>
            </w:tcMar>
            <w:vAlign w:val="center"/>
          </w:tcPr>
          <w:p w14:paraId="42A11AA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1AA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center"/>
          </w:tcPr>
          <w:p w14:paraId="42A11AA9"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1AB2" w14:textId="77777777">
        <w:trPr>
          <w:jc w:val="center"/>
        </w:trPr>
        <w:tc>
          <w:tcPr>
            <w:tcW w:w="0" w:type="auto"/>
            <w:shd w:val="clear" w:color="auto" w:fill="auto"/>
            <w:tcMar>
              <w:top w:w="40" w:type="dxa"/>
              <w:left w:w="40" w:type="dxa"/>
              <w:bottom w:w="40" w:type="dxa"/>
              <w:right w:w="40" w:type="dxa"/>
            </w:tcMar>
            <w:vAlign w:val="center"/>
          </w:tcPr>
          <w:p w14:paraId="42A11AAB" w14:textId="77777777" w:rsidR="00BB68E1" w:rsidRDefault="005D2D5E">
            <w:pPr>
              <w:textAlignment w:val="center"/>
              <w:rPr>
                <w:rFonts w:ascii="Times New Roman" w:hAnsi="Times New Roman"/>
                <w:sz w:val="16"/>
                <w:szCs w:val="16"/>
              </w:rPr>
            </w:pPr>
            <w:r>
              <w:rPr>
                <w:rFonts w:ascii="Times New Roman" w:eastAsia="宋体" w:hAnsi="Times New Roman"/>
                <w:i/>
                <w:iCs/>
                <w:sz w:val="16"/>
                <w:szCs w:val="16"/>
              </w:rPr>
              <w:t>(Amounts in millions, except unit counts)</w:t>
            </w:r>
          </w:p>
        </w:tc>
        <w:tc>
          <w:tcPr>
            <w:tcW w:w="0" w:type="auto"/>
            <w:shd w:val="clear" w:color="auto" w:fill="auto"/>
            <w:tcMar>
              <w:top w:w="40" w:type="dxa"/>
              <w:left w:w="40" w:type="dxa"/>
              <w:bottom w:w="40" w:type="dxa"/>
              <w:right w:w="40" w:type="dxa"/>
            </w:tcMar>
            <w:vAlign w:val="bottom"/>
          </w:tcPr>
          <w:p w14:paraId="42A11AA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1AAD"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1AA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1AAF"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1AB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1AB1"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2018</w:t>
            </w:r>
          </w:p>
        </w:tc>
      </w:tr>
      <w:tr w:rsidR="00BB68E1" w14:paraId="42A11AC0" w14:textId="77777777">
        <w:trPr>
          <w:jc w:val="center"/>
        </w:trPr>
        <w:tc>
          <w:tcPr>
            <w:tcW w:w="0" w:type="auto"/>
            <w:shd w:val="clear" w:color="auto" w:fill="CCEEFF"/>
            <w:tcMar>
              <w:top w:w="40" w:type="dxa"/>
              <w:left w:w="40" w:type="dxa"/>
              <w:bottom w:w="40" w:type="dxa"/>
              <w:right w:w="40" w:type="dxa"/>
            </w:tcMar>
            <w:vAlign w:val="center"/>
          </w:tcPr>
          <w:p w14:paraId="42A11AB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CCEEFF"/>
            <w:tcMar>
              <w:top w:w="40" w:type="dxa"/>
              <w:left w:w="40" w:type="dxa"/>
              <w:bottom w:w="40" w:type="dxa"/>
              <w:right w:w="40" w:type="dxa"/>
            </w:tcMar>
            <w:vAlign w:val="bottom"/>
          </w:tcPr>
          <w:p w14:paraId="42A11A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AB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AB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341,004</w:t>
            </w:r>
          </w:p>
        </w:tc>
        <w:tc>
          <w:tcPr>
            <w:tcW w:w="0" w:type="auto"/>
            <w:tcBorders>
              <w:top w:val="single" w:sz="8" w:space="0" w:color="000000"/>
            </w:tcBorders>
            <w:shd w:val="clear" w:color="auto" w:fill="CCEEFF"/>
            <w:vAlign w:val="bottom"/>
          </w:tcPr>
          <w:p w14:paraId="42A11AB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AB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AB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AB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331,666</w:t>
            </w:r>
          </w:p>
        </w:tc>
        <w:tc>
          <w:tcPr>
            <w:tcW w:w="0" w:type="auto"/>
            <w:tcBorders>
              <w:top w:val="single" w:sz="8" w:space="0" w:color="000000"/>
            </w:tcBorders>
            <w:shd w:val="clear" w:color="auto" w:fill="CCEEFF"/>
            <w:vAlign w:val="bottom"/>
          </w:tcPr>
          <w:p w14:paraId="42A11AB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AB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AB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AB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318,477</w:t>
            </w:r>
          </w:p>
        </w:tc>
        <w:tc>
          <w:tcPr>
            <w:tcW w:w="0" w:type="auto"/>
            <w:shd w:val="clear" w:color="auto" w:fill="CCEEFF"/>
            <w:vAlign w:val="bottom"/>
          </w:tcPr>
          <w:p w14:paraId="42A11ABF" w14:textId="77777777" w:rsidR="00BB68E1" w:rsidRDefault="00BB68E1">
            <w:pPr>
              <w:textAlignment w:val="bottom"/>
              <w:rPr>
                <w:rFonts w:ascii="Times New Roman" w:hAnsi="Times New Roman"/>
                <w:sz w:val="20"/>
                <w:szCs w:val="20"/>
              </w:rPr>
            </w:pPr>
          </w:p>
        </w:tc>
      </w:tr>
      <w:tr w:rsidR="00BB68E1" w14:paraId="42A11ACB" w14:textId="77777777">
        <w:trPr>
          <w:jc w:val="center"/>
        </w:trPr>
        <w:tc>
          <w:tcPr>
            <w:tcW w:w="0" w:type="auto"/>
            <w:shd w:val="clear" w:color="auto" w:fill="auto"/>
            <w:tcMar>
              <w:top w:w="40" w:type="dxa"/>
              <w:left w:w="40" w:type="dxa"/>
              <w:bottom w:w="40" w:type="dxa"/>
              <w:right w:w="40" w:type="dxa"/>
            </w:tcMar>
            <w:vAlign w:val="center"/>
          </w:tcPr>
          <w:p w14:paraId="42A11AC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shd w:val="clear" w:color="auto" w:fill="auto"/>
            <w:tcMar>
              <w:top w:w="40" w:type="dxa"/>
              <w:left w:w="40" w:type="dxa"/>
              <w:bottom w:w="40" w:type="dxa"/>
              <w:right w:w="40" w:type="dxa"/>
            </w:tcMar>
            <w:vAlign w:val="bottom"/>
          </w:tcPr>
          <w:p w14:paraId="42A11A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C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auto"/>
            <w:tcMar>
              <w:top w:w="40" w:type="dxa"/>
              <w:bottom w:w="40" w:type="dxa"/>
              <w:right w:w="40" w:type="dxa"/>
            </w:tcMar>
            <w:vAlign w:val="center"/>
          </w:tcPr>
          <w:p w14:paraId="42A11AC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center"/>
          </w:tcPr>
          <w:p w14:paraId="42A11AC5" w14:textId="77777777" w:rsidR="00BB68E1" w:rsidRDefault="00BB68E1">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2A11AC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4.1</w:t>
            </w:r>
          </w:p>
        </w:tc>
        <w:tc>
          <w:tcPr>
            <w:tcW w:w="0" w:type="auto"/>
            <w:shd w:val="clear" w:color="auto" w:fill="auto"/>
            <w:tcMar>
              <w:top w:w="40" w:type="dxa"/>
              <w:bottom w:w="40" w:type="dxa"/>
              <w:right w:w="40" w:type="dxa"/>
            </w:tcMar>
            <w:vAlign w:val="center"/>
          </w:tcPr>
          <w:p w14:paraId="42A11AC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A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C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3.5</w:t>
            </w:r>
          </w:p>
        </w:tc>
        <w:tc>
          <w:tcPr>
            <w:tcW w:w="0" w:type="auto"/>
            <w:shd w:val="clear" w:color="auto" w:fill="auto"/>
            <w:tcMar>
              <w:top w:w="40" w:type="dxa"/>
              <w:bottom w:w="40" w:type="dxa"/>
              <w:right w:w="40" w:type="dxa"/>
            </w:tcMar>
            <w:vAlign w:val="center"/>
          </w:tcPr>
          <w:p w14:paraId="42A11AC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AD6" w14:textId="77777777">
        <w:trPr>
          <w:jc w:val="center"/>
        </w:trPr>
        <w:tc>
          <w:tcPr>
            <w:tcW w:w="0" w:type="auto"/>
            <w:shd w:val="clear" w:color="auto" w:fill="CCEEFF"/>
            <w:tcMar>
              <w:top w:w="40" w:type="dxa"/>
              <w:left w:w="40" w:type="dxa"/>
              <w:bottom w:w="40" w:type="dxa"/>
              <w:right w:w="40" w:type="dxa"/>
            </w:tcMar>
            <w:vAlign w:val="center"/>
          </w:tcPr>
          <w:p w14:paraId="42A11AC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Calendar comparable sales increase</w:t>
            </w:r>
          </w:p>
        </w:tc>
        <w:tc>
          <w:tcPr>
            <w:tcW w:w="0" w:type="auto"/>
            <w:shd w:val="clear" w:color="auto" w:fill="CCEEFF"/>
            <w:tcMar>
              <w:top w:w="40" w:type="dxa"/>
              <w:left w:w="40" w:type="dxa"/>
              <w:bottom w:w="40" w:type="dxa"/>
              <w:right w:w="40" w:type="dxa"/>
            </w:tcMar>
            <w:vAlign w:val="bottom"/>
          </w:tcPr>
          <w:p w14:paraId="42A11A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AC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w:t>
            </w:r>
          </w:p>
        </w:tc>
        <w:tc>
          <w:tcPr>
            <w:tcW w:w="0" w:type="auto"/>
            <w:shd w:val="clear" w:color="auto" w:fill="CCEEFF"/>
            <w:tcMar>
              <w:top w:w="40" w:type="dxa"/>
              <w:bottom w:w="40" w:type="dxa"/>
              <w:right w:w="40" w:type="dxa"/>
            </w:tcMar>
            <w:vAlign w:val="center"/>
          </w:tcPr>
          <w:p w14:paraId="42A11AC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AD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AD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3.7</w:t>
            </w:r>
          </w:p>
        </w:tc>
        <w:tc>
          <w:tcPr>
            <w:tcW w:w="0" w:type="auto"/>
            <w:shd w:val="clear" w:color="auto" w:fill="CCEEFF"/>
            <w:tcMar>
              <w:top w:w="40" w:type="dxa"/>
              <w:bottom w:w="40" w:type="dxa"/>
              <w:right w:w="40" w:type="dxa"/>
            </w:tcMar>
            <w:vAlign w:val="center"/>
          </w:tcPr>
          <w:p w14:paraId="42A11AD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A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AD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w:t>
            </w:r>
          </w:p>
        </w:tc>
        <w:tc>
          <w:tcPr>
            <w:tcW w:w="0" w:type="auto"/>
            <w:shd w:val="clear" w:color="auto" w:fill="CCEEFF"/>
            <w:tcMar>
              <w:top w:w="40" w:type="dxa"/>
              <w:bottom w:w="40" w:type="dxa"/>
              <w:right w:w="40" w:type="dxa"/>
            </w:tcMar>
            <w:vAlign w:val="center"/>
          </w:tcPr>
          <w:p w14:paraId="42A11AD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AE4" w14:textId="77777777">
        <w:trPr>
          <w:jc w:val="center"/>
        </w:trPr>
        <w:tc>
          <w:tcPr>
            <w:tcW w:w="0" w:type="auto"/>
            <w:shd w:val="clear" w:color="auto" w:fill="auto"/>
            <w:tcMar>
              <w:top w:w="40" w:type="dxa"/>
              <w:left w:w="40" w:type="dxa"/>
              <w:bottom w:w="40" w:type="dxa"/>
              <w:right w:w="40" w:type="dxa"/>
            </w:tcMar>
            <w:vAlign w:val="center"/>
          </w:tcPr>
          <w:p w14:paraId="42A11AD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auto"/>
            <w:tcMar>
              <w:top w:w="40" w:type="dxa"/>
              <w:left w:w="40" w:type="dxa"/>
              <w:bottom w:w="40" w:type="dxa"/>
              <w:right w:w="40" w:type="dxa"/>
            </w:tcMar>
            <w:vAlign w:val="bottom"/>
          </w:tcPr>
          <w:p w14:paraId="42A11AD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AD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AD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17,380</w:t>
            </w:r>
          </w:p>
        </w:tc>
        <w:tc>
          <w:tcPr>
            <w:tcW w:w="0" w:type="auto"/>
            <w:shd w:val="clear" w:color="auto" w:fill="auto"/>
            <w:vAlign w:val="bottom"/>
          </w:tcPr>
          <w:p w14:paraId="42A11AD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AD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AD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AD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17,386</w:t>
            </w:r>
          </w:p>
        </w:tc>
        <w:tc>
          <w:tcPr>
            <w:tcW w:w="0" w:type="auto"/>
            <w:shd w:val="clear" w:color="auto" w:fill="auto"/>
            <w:vAlign w:val="bottom"/>
          </w:tcPr>
          <w:p w14:paraId="42A11AD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AE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AE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AE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16,995</w:t>
            </w:r>
          </w:p>
        </w:tc>
        <w:tc>
          <w:tcPr>
            <w:tcW w:w="0" w:type="auto"/>
            <w:shd w:val="clear" w:color="auto" w:fill="auto"/>
            <w:vAlign w:val="bottom"/>
          </w:tcPr>
          <w:p w14:paraId="42A11AE3" w14:textId="77777777" w:rsidR="00BB68E1" w:rsidRDefault="00BB68E1">
            <w:pPr>
              <w:textAlignment w:val="bottom"/>
              <w:rPr>
                <w:rFonts w:ascii="Times New Roman" w:hAnsi="Times New Roman"/>
                <w:sz w:val="20"/>
                <w:szCs w:val="20"/>
              </w:rPr>
            </w:pPr>
          </w:p>
        </w:tc>
      </w:tr>
      <w:tr w:rsidR="00BB68E1" w14:paraId="42A11AEF" w14:textId="77777777">
        <w:trPr>
          <w:jc w:val="center"/>
        </w:trPr>
        <w:tc>
          <w:tcPr>
            <w:tcW w:w="0" w:type="auto"/>
            <w:shd w:val="clear" w:color="auto" w:fill="CCEEFF"/>
            <w:tcMar>
              <w:top w:w="40" w:type="dxa"/>
              <w:left w:w="40" w:type="dxa"/>
              <w:bottom w:w="40" w:type="dxa"/>
              <w:right w:w="40" w:type="dxa"/>
            </w:tcMar>
            <w:vAlign w:val="center"/>
          </w:tcPr>
          <w:p w14:paraId="42A11AE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income as a percentage of net sales</w:t>
            </w:r>
          </w:p>
        </w:tc>
        <w:tc>
          <w:tcPr>
            <w:tcW w:w="0" w:type="auto"/>
            <w:shd w:val="clear" w:color="auto" w:fill="CCEEFF"/>
            <w:tcMar>
              <w:top w:w="40" w:type="dxa"/>
              <w:left w:w="40" w:type="dxa"/>
              <w:bottom w:w="40" w:type="dxa"/>
              <w:right w:w="40" w:type="dxa"/>
            </w:tcMar>
            <w:vAlign w:val="bottom"/>
          </w:tcPr>
          <w:p w14:paraId="42A11AE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AE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w:t>
            </w:r>
          </w:p>
        </w:tc>
        <w:tc>
          <w:tcPr>
            <w:tcW w:w="0" w:type="auto"/>
            <w:shd w:val="clear" w:color="auto" w:fill="CCEEFF"/>
            <w:tcMar>
              <w:top w:w="40" w:type="dxa"/>
              <w:bottom w:w="40" w:type="dxa"/>
              <w:right w:w="40" w:type="dxa"/>
            </w:tcMar>
            <w:vAlign w:val="center"/>
          </w:tcPr>
          <w:p w14:paraId="42A11AE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AE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AE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5.2</w:t>
            </w:r>
          </w:p>
        </w:tc>
        <w:tc>
          <w:tcPr>
            <w:tcW w:w="0" w:type="auto"/>
            <w:shd w:val="clear" w:color="auto" w:fill="CCEEFF"/>
            <w:tcMar>
              <w:top w:w="40" w:type="dxa"/>
              <w:bottom w:w="40" w:type="dxa"/>
              <w:right w:w="40" w:type="dxa"/>
            </w:tcMar>
            <w:vAlign w:val="center"/>
          </w:tcPr>
          <w:p w14:paraId="42A11AE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AE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AE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5.3</w:t>
            </w:r>
          </w:p>
        </w:tc>
        <w:tc>
          <w:tcPr>
            <w:tcW w:w="0" w:type="auto"/>
            <w:shd w:val="clear" w:color="auto" w:fill="CCEEFF"/>
            <w:tcMar>
              <w:top w:w="40" w:type="dxa"/>
              <w:bottom w:w="40" w:type="dxa"/>
              <w:right w:w="40" w:type="dxa"/>
            </w:tcMar>
            <w:vAlign w:val="center"/>
          </w:tcPr>
          <w:p w14:paraId="42A11AE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AFA" w14:textId="77777777">
        <w:trPr>
          <w:jc w:val="center"/>
        </w:trPr>
        <w:tc>
          <w:tcPr>
            <w:tcW w:w="0" w:type="auto"/>
            <w:shd w:val="clear" w:color="auto" w:fill="auto"/>
            <w:tcMar>
              <w:top w:w="40" w:type="dxa"/>
              <w:left w:w="40" w:type="dxa"/>
              <w:bottom w:w="40" w:type="dxa"/>
              <w:right w:w="40" w:type="dxa"/>
            </w:tcMar>
            <w:vAlign w:val="center"/>
          </w:tcPr>
          <w:p w14:paraId="42A11AF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Unit counts at period end</w:t>
            </w:r>
          </w:p>
        </w:tc>
        <w:tc>
          <w:tcPr>
            <w:tcW w:w="0" w:type="auto"/>
            <w:shd w:val="clear" w:color="auto" w:fill="auto"/>
            <w:tcMar>
              <w:top w:w="40" w:type="dxa"/>
              <w:left w:w="40" w:type="dxa"/>
              <w:bottom w:w="40" w:type="dxa"/>
              <w:right w:w="40" w:type="dxa"/>
            </w:tcMar>
            <w:vAlign w:val="bottom"/>
          </w:tcPr>
          <w:p w14:paraId="42A11AF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F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4,756</w:t>
            </w:r>
          </w:p>
        </w:tc>
        <w:tc>
          <w:tcPr>
            <w:tcW w:w="0" w:type="auto"/>
            <w:shd w:val="clear" w:color="auto" w:fill="auto"/>
            <w:vAlign w:val="bottom"/>
          </w:tcPr>
          <w:p w14:paraId="42A11AF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AF4" w14:textId="77777777" w:rsidR="00BB68E1" w:rsidRDefault="00BB68E1">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2A11AF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4,769</w:t>
            </w:r>
          </w:p>
        </w:tc>
        <w:tc>
          <w:tcPr>
            <w:tcW w:w="0" w:type="auto"/>
            <w:shd w:val="clear" w:color="auto" w:fill="auto"/>
            <w:vAlign w:val="bottom"/>
          </w:tcPr>
          <w:p w14:paraId="42A11AF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AF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AF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4,761</w:t>
            </w:r>
          </w:p>
        </w:tc>
        <w:tc>
          <w:tcPr>
            <w:tcW w:w="0" w:type="auto"/>
            <w:shd w:val="clear" w:color="auto" w:fill="auto"/>
            <w:vAlign w:val="bottom"/>
          </w:tcPr>
          <w:p w14:paraId="42A11AF9" w14:textId="77777777" w:rsidR="00BB68E1" w:rsidRDefault="00BB68E1">
            <w:pPr>
              <w:textAlignment w:val="bottom"/>
              <w:rPr>
                <w:rFonts w:ascii="Times New Roman" w:hAnsi="Times New Roman"/>
                <w:sz w:val="20"/>
                <w:szCs w:val="20"/>
              </w:rPr>
            </w:pPr>
          </w:p>
        </w:tc>
      </w:tr>
      <w:tr w:rsidR="00BB68E1" w14:paraId="42A11B05" w14:textId="77777777">
        <w:trPr>
          <w:jc w:val="center"/>
        </w:trPr>
        <w:tc>
          <w:tcPr>
            <w:tcW w:w="0" w:type="auto"/>
            <w:shd w:val="clear" w:color="auto" w:fill="CCEEFF"/>
            <w:tcMar>
              <w:top w:w="40" w:type="dxa"/>
              <w:left w:w="40" w:type="dxa"/>
              <w:bottom w:w="40" w:type="dxa"/>
              <w:right w:w="40" w:type="dxa"/>
            </w:tcMar>
            <w:vAlign w:val="center"/>
          </w:tcPr>
          <w:p w14:paraId="42A11AF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Retail square feet at period end</w:t>
            </w:r>
          </w:p>
        </w:tc>
        <w:tc>
          <w:tcPr>
            <w:tcW w:w="0" w:type="auto"/>
            <w:shd w:val="clear" w:color="auto" w:fill="CCEEFF"/>
            <w:tcMar>
              <w:top w:w="40" w:type="dxa"/>
              <w:left w:w="40" w:type="dxa"/>
              <w:bottom w:w="40" w:type="dxa"/>
              <w:right w:w="40" w:type="dxa"/>
            </w:tcMar>
            <w:vAlign w:val="bottom"/>
          </w:tcPr>
          <w:p w14:paraId="42A11AF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AF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703</w:t>
            </w:r>
          </w:p>
        </w:tc>
        <w:tc>
          <w:tcPr>
            <w:tcW w:w="0" w:type="auto"/>
            <w:shd w:val="clear" w:color="auto" w:fill="CCEEFF"/>
            <w:vAlign w:val="bottom"/>
          </w:tcPr>
          <w:p w14:paraId="42A11AF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AFF" w14:textId="77777777" w:rsidR="00BB68E1" w:rsidRDefault="00BB68E1">
            <w:pPr>
              <w:jc w:val="right"/>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B0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705</w:t>
            </w:r>
          </w:p>
        </w:tc>
        <w:tc>
          <w:tcPr>
            <w:tcW w:w="0" w:type="auto"/>
            <w:shd w:val="clear" w:color="auto" w:fill="CCEEFF"/>
            <w:vAlign w:val="bottom"/>
          </w:tcPr>
          <w:p w14:paraId="42A11B0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B0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B0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705</w:t>
            </w:r>
          </w:p>
        </w:tc>
        <w:tc>
          <w:tcPr>
            <w:tcW w:w="0" w:type="auto"/>
            <w:shd w:val="clear" w:color="auto" w:fill="CCEEFF"/>
            <w:vAlign w:val="bottom"/>
          </w:tcPr>
          <w:p w14:paraId="42A11B04" w14:textId="77777777" w:rsidR="00BB68E1" w:rsidRDefault="00BB68E1">
            <w:pPr>
              <w:textAlignment w:val="bottom"/>
              <w:rPr>
                <w:rFonts w:ascii="Times New Roman" w:hAnsi="Times New Roman"/>
                <w:sz w:val="20"/>
                <w:szCs w:val="20"/>
              </w:rPr>
            </w:pPr>
          </w:p>
        </w:tc>
      </w:tr>
    </w:tbl>
    <w:p w14:paraId="42A11B0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Net sales for the Walmart U.S. segment increased $9.3 billion or 2.8% and $13.2 billion or 4.1% for fiscal 2020 and 2019, respectively, when compared to the previous fiscal year. The increases in net sales were primarily due to increases in comparable stor</w:t>
      </w:r>
      <w:r>
        <w:rPr>
          <w:rFonts w:ascii="Times New Roman" w:eastAsia="宋体" w:hAnsi="Times New Roman"/>
          <w:sz w:val="20"/>
          <w:szCs w:val="20"/>
        </w:rPr>
        <w:t xml:space="preserve">e sales of 2.9% and 3.7% for fiscal 2020 and 2019, respectively, driven by ticket and transaction growth. Walmart U.S. eCommerce sales positively contributed approximately 1.7% and 1.3% to comparable sales for fiscal 2020 and 2019. </w:t>
      </w:r>
    </w:p>
    <w:p w14:paraId="42A11B0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Gross profit rate decre</w:t>
      </w:r>
      <w:r>
        <w:rPr>
          <w:rFonts w:ascii="Times New Roman" w:eastAsia="宋体" w:hAnsi="Times New Roman"/>
          <w:sz w:val="20"/>
          <w:szCs w:val="20"/>
        </w:rPr>
        <w:t>ased 14 and 28 basis points for fiscal 2020 and 2019, respectively, when compared to the previous fiscal year. For fiscal 2020, the decreases were primarily the result of continued price investments which were partially offset by better merchandise mix, in</w:t>
      </w:r>
      <w:r>
        <w:rPr>
          <w:rFonts w:ascii="Times New Roman" w:eastAsia="宋体" w:hAnsi="Times New Roman"/>
          <w:sz w:val="20"/>
          <w:szCs w:val="20"/>
        </w:rPr>
        <w:t>cluding strength in private brands, and less pressure from transportation costs. For fiscal 2019, the decrease was primarily due to our planned pricing strategy, increased transportation expenses, and the mix effects from our growing eCommerce business.</w:t>
      </w:r>
    </w:p>
    <w:p w14:paraId="42A11B0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Op</w:t>
      </w:r>
      <w:r>
        <w:rPr>
          <w:rFonts w:ascii="Times New Roman" w:eastAsia="宋体" w:hAnsi="Times New Roman"/>
          <w:sz w:val="20"/>
          <w:szCs w:val="20"/>
        </w:rPr>
        <w:t>erating expenses as a percentage of segment net sales decreased 4 basis points for fiscal 2020 and decreased 23 basis points for fiscal 2019, when compared to the previous fiscal year. We leveraged operating expenses in fiscal 2020 as a result of strong sa</w:t>
      </w:r>
      <w:r>
        <w:rPr>
          <w:rFonts w:ascii="Times New Roman" w:eastAsia="宋体" w:hAnsi="Times New Roman"/>
          <w:sz w:val="20"/>
          <w:szCs w:val="20"/>
        </w:rPr>
        <w:t>les and productivity improvements which were mostly offset by business restructuring charges of $0.5 billion consisting primarily of non-cash impairment charges for certain trade names, acquired developed technology and other business restructuring charges</w:t>
      </w:r>
      <w:r>
        <w:rPr>
          <w:rFonts w:ascii="Times New Roman" w:eastAsia="宋体" w:hAnsi="Times New Roman"/>
          <w:sz w:val="20"/>
          <w:szCs w:val="20"/>
        </w:rPr>
        <w:t xml:space="preserve"> due to decisions that resulted in the write down of certain eCommerce assets. The decrease in fiscal 2019 was primarily due to strong sales performance in conjunction with productivity improvements and the prior year comparable period including charges re</w:t>
      </w:r>
      <w:r>
        <w:rPr>
          <w:rFonts w:ascii="Times New Roman" w:eastAsia="宋体" w:hAnsi="Times New Roman"/>
          <w:sz w:val="20"/>
          <w:szCs w:val="20"/>
        </w:rPr>
        <w:t>lated to discontinued real estate projects of $0.2 billion. These improvements more than offset investments in eCommerce, technology and omni-channel initiatives and raising the starting wage rate at the beginning of fiscal 2019.</w:t>
      </w:r>
    </w:p>
    <w:p w14:paraId="42A11B0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As a result of the factors</w:t>
      </w:r>
      <w:r>
        <w:rPr>
          <w:rFonts w:ascii="Times New Roman" w:eastAsia="宋体" w:hAnsi="Times New Roman"/>
          <w:sz w:val="20"/>
          <w:szCs w:val="20"/>
        </w:rPr>
        <w:t xml:space="preserve"> discussed above, segment operating income decreased $6 million and increased $391 million for fiscal 2020 and 2019, respectively, when compared to the same periods in the previous fiscal year.</w:t>
      </w:r>
    </w:p>
    <w:p w14:paraId="42A11B0A" w14:textId="77777777" w:rsidR="00BB68E1" w:rsidRDefault="00BB68E1">
      <w:pPr>
        <w:rPr>
          <w:rFonts w:ascii="Times New Roman" w:hAnsi="Times New Roman"/>
          <w:sz w:val="20"/>
          <w:szCs w:val="20"/>
        </w:rPr>
      </w:pPr>
    </w:p>
    <w:p w14:paraId="42A11B0B"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36</w:t>
      </w:r>
    </w:p>
    <w:p w14:paraId="42A11B0C" w14:textId="77777777" w:rsidR="00BB68E1" w:rsidRDefault="00BB68E1">
      <w:pPr>
        <w:spacing w:line="288" w:lineRule="auto"/>
        <w:jc w:val="center"/>
        <w:rPr>
          <w:rFonts w:ascii="Times New Roman" w:hAnsi="Times New Roman"/>
          <w:sz w:val="20"/>
          <w:szCs w:val="20"/>
        </w:rPr>
      </w:pPr>
    </w:p>
    <w:p w14:paraId="42A11B0D" w14:textId="77777777" w:rsidR="00BB68E1" w:rsidRDefault="005D2D5E">
      <w:r>
        <w:rPr>
          <w:rFonts w:ascii="Times New Roman" w:hAnsi="Times New Roman"/>
          <w:sz w:val="20"/>
          <w:szCs w:val="20"/>
        </w:rPr>
        <w:pict w14:anchorId="42A1429B">
          <v:rect id="_x0000_i1060" style="width:415.3pt;height:1.5pt" o:hralign="center" o:hrstd="t" o:hr="t" fillcolor="#a0a0a0" stroked="f"/>
        </w:pict>
      </w:r>
    </w:p>
    <w:p w14:paraId="42A11B0E" w14:textId="77777777" w:rsidR="00BB68E1" w:rsidRDefault="00BB68E1">
      <w:pPr>
        <w:spacing w:line="288" w:lineRule="auto"/>
        <w:rPr>
          <w:rFonts w:ascii="Times New Roman" w:hAnsi="Times New Roman"/>
          <w:sz w:val="20"/>
          <w:szCs w:val="20"/>
        </w:rPr>
      </w:pPr>
    </w:p>
    <w:p w14:paraId="42A11B0F" w14:textId="77777777" w:rsidR="00BB68E1" w:rsidRDefault="00BB68E1">
      <w:pPr>
        <w:rPr>
          <w:rFonts w:ascii="Times New Roman" w:hAnsi="Times New Roman"/>
          <w:sz w:val="20"/>
          <w:szCs w:val="20"/>
        </w:rPr>
      </w:pPr>
    </w:p>
    <w:p w14:paraId="42A11B10"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Walmart International Segment</w:t>
      </w:r>
    </w:p>
    <w:tbl>
      <w:tblPr>
        <w:tblW w:w="5000" w:type="pct"/>
        <w:jc w:val="center"/>
        <w:tblCellMar>
          <w:left w:w="0" w:type="dxa"/>
          <w:right w:w="0" w:type="dxa"/>
        </w:tblCellMar>
        <w:tblLook w:val="04A0" w:firstRow="1" w:lastRow="0" w:firstColumn="1" w:lastColumn="0" w:noHBand="0" w:noVBand="1"/>
      </w:tblPr>
      <w:tblGrid>
        <w:gridCol w:w="5171"/>
        <w:gridCol w:w="130"/>
        <w:gridCol w:w="120"/>
        <w:gridCol w:w="603"/>
        <w:gridCol w:w="227"/>
        <w:gridCol w:w="130"/>
        <w:gridCol w:w="120"/>
        <w:gridCol w:w="603"/>
        <w:gridCol w:w="174"/>
        <w:gridCol w:w="130"/>
        <w:gridCol w:w="120"/>
        <w:gridCol w:w="604"/>
        <w:gridCol w:w="174"/>
      </w:tblGrid>
      <w:tr w:rsidR="00BB68E1" w14:paraId="42A11B12" w14:textId="77777777">
        <w:trPr>
          <w:jc w:val="center"/>
        </w:trPr>
        <w:tc>
          <w:tcPr>
            <w:tcW w:w="0" w:type="auto"/>
            <w:gridSpan w:val="13"/>
            <w:shd w:val="clear" w:color="auto" w:fill="auto"/>
            <w:vAlign w:val="center"/>
          </w:tcPr>
          <w:p w14:paraId="42A11B11" w14:textId="77777777" w:rsidR="00BB68E1" w:rsidRDefault="00BB68E1">
            <w:pPr>
              <w:rPr>
                <w:rFonts w:ascii="Times New Roman" w:hAnsi="Times New Roman"/>
                <w:sz w:val="20"/>
                <w:szCs w:val="20"/>
              </w:rPr>
            </w:pPr>
          </w:p>
        </w:tc>
      </w:tr>
      <w:tr w:rsidR="00BB68E1" w14:paraId="42A11B20" w14:textId="77777777">
        <w:trPr>
          <w:jc w:val="center"/>
        </w:trPr>
        <w:tc>
          <w:tcPr>
            <w:tcW w:w="3200" w:type="pct"/>
            <w:shd w:val="clear" w:color="auto" w:fill="auto"/>
            <w:vAlign w:val="center"/>
          </w:tcPr>
          <w:p w14:paraId="42A11B13" w14:textId="77777777" w:rsidR="00BB68E1" w:rsidRDefault="00BB68E1">
            <w:pPr>
              <w:rPr>
                <w:rFonts w:ascii="Times New Roman" w:hAnsi="Times New Roman"/>
                <w:sz w:val="20"/>
                <w:szCs w:val="20"/>
              </w:rPr>
            </w:pPr>
          </w:p>
        </w:tc>
        <w:tc>
          <w:tcPr>
            <w:tcW w:w="50" w:type="pct"/>
            <w:shd w:val="clear" w:color="auto" w:fill="auto"/>
            <w:vAlign w:val="center"/>
          </w:tcPr>
          <w:p w14:paraId="42A11B14" w14:textId="77777777" w:rsidR="00BB68E1" w:rsidRDefault="00BB68E1">
            <w:pPr>
              <w:rPr>
                <w:rFonts w:ascii="Times New Roman" w:hAnsi="Times New Roman"/>
                <w:sz w:val="20"/>
                <w:szCs w:val="20"/>
              </w:rPr>
            </w:pPr>
          </w:p>
        </w:tc>
        <w:tc>
          <w:tcPr>
            <w:tcW w:w="50" w:type="pct"/>
            <w:shd w:val="clear" w:color="auto" w:fill="auto"/>
            <w:vAlign w:val="center"/>
          </w:tcPr>
          <w:p w14:paraId="42A11B15" w14:textId="77777777" w:rsidR="00BB68E1" w:rsidRDefault="00BB68E1">
            <w:pPr>
              <w:rPr>
                <w:rFonts w:ascii="Times New Roman" w:hAnsi="Times New Roman"/>
                <w:sz w:val="20"/>
                <w:szCs w:val="20"/>
              </w:rPr>
            </w:pPr>
          </w:p>
        </w:tc>
        <w:tc>
          <w:tcPr>
            <w:tcW w:w="450" w:type="pct"/>
            <w:shd w:val="clear" w:color="auto" w:fill="auto"/>
            <w:vAlign w:val="center"/>
          </w:tcPr>
          <w:p w14:paraId="42A11B16" w14:textId="77777777" w:rsidR="00BB68E1" w:rsidRDefault="00BB68E1">
            <w:pPr>
              <w:rPr>
                <w:rFonts w:ascii="Times New Roman" w:hAnsi="Times New Roman"/>
                <w:sz w:val="20"/>
                <w:szCs w:val="20"/>
              </w:rPr>
            </w:pPr>
          </w:p>
        </w:tc>
        <w:tc>
          <w:tcPr>
            <w:tcW w:w="50" w:type="pct"/>
            <w:shd w:val="clear" w:color="auto" w:fill="auto"/>
            <w:vAlign w:val="center"/>
          </w:tcPr>
          <w:p w14:paraId="42A11B17" w14:textId="77777777" w:rsidR="00BB68E1" w:rsidRDefault="00BB68E1">
            <w:pPr>
              <w:rPr>
                <w:rFonts w:ascii="Times New Roman" w:hAnsi="Times New Roman"/>
                <w:sz w:val="20"/>
                <w:szCs w:val="20"/>
              </w:rPr>
            </w:pPr>
          </w:p>
        </w:tc>
        <w:tc>
          <w:tcPr>
            <w:tcW w:w="50" w:type="pct"/>
            <w:shd w:val="clear" w:color="auto" w:fill="auto"/>
            <w:vAlign w:val="center"/>
          </w:tcPr>
          <w:p w14:paraId="42A11B18" w14:textId="77777777" w:rsidR="00BB68E1" w:rsidRDefault="00BB68E1">
            <w:pPr>
              <w:rPr>
                <w:rFonts w:ascii="Times New Roman" w:hAnsi="Times New Roman"/>
                <w:sz w:val="20"/>
                <w:szCs w:val="20"/>
              </w:rPr>
            </w:pPr>
          </w:p>
        </w:tc>
        <w:tc>
          <w:tcPr>
            <w:tcW w:w="50" w:type="pct"/>
            <w:shd w:val="clear" w:color="auto" w:fill="auto"/>
            <w:vAlign w:val="center"/>
          </w:tcPr>
          <w:p w14:paraId="42A11B19" w14:textId="77777777" w:rsidR="00BB68E1" w:rsidRDefault="00BB68E1">
            <w:pPr>
              <w:rPr>
                <w:rFonts w:ascii="Times New Roman" w:hAnsi="Times New Roman"/>
                <w:sz w:val="20"/>
                <w:szCs w:val="20"/>
              </w:rPr>
            </w:pPr>
          </w:p>
        </w:tc>
        <w:tc>
          <w:tcPr>
            <w:tcW w:w="450" w:type="pct"/>
            <w:shd w:val="clear" w:color="auto" w:fill="auto"/>
            <w:vAlign w:val="center"/>
          </w:tcPr>
          <w:p w14:paraId="42A11B1A" w14:textId="77777777" w:rsidR="00BB68E1" w:rsidRDefault="00BB68E1">
            <w:pPr>
              <w:rPr>
                <w:rFonts w:ascii="Times New Roman" w:hAnsi="Times New Roman"/>
                <w:sz w:val="20"/>
                <w:szCs w:val="20"/>
              </w:rPr>
            </w:pPr>
          </w:p>
        </w:tc>
        <w:tc>
          <w:tcPr>
            <w:tcW w:w="50" w:type="pct"/>
            <w:shd w:val="clear" w:color="auto" w:fill="auto"/>
            <w:vAlign w:val="center"/>
          </w:tcPr>
          <w:p w14:paraId="42A11B1B" w14:textId="77777777" w:rsidR="00BB68E1" w:rsidRDefault="00BB68E1">
            <w:pPr>
              <w:rPr>
                <w:rFonts w:ascii="Times New Roman" w:hAnsi="Times New Roman"/>
                <w:sz w:val="20"/>
                <w:szCs w:val="20"/>
              </w:rPr>
            </w:pPr>
          </w:p>
        </w:tc>
        <w:tc>
          <w:tcPr>
            <w:tcW w:w="50" w:type="pct"/>
            <w:shd w:val="clear" w:color="auto" w:fill="auto"/>
            <w:vAlign w:val="center"/>
          </w:tcPr>
          <w:p w14:paraId="42A11B1C" w14:textId="77777777" w:rsidR="00BB68E1" w:rsidRDefault="00BB68E1">
            <w:pPr>
              <w:rPr>
                <w:rFonts w:ascii="Times New Roman" w:hAnsi="Times New Roman"/>
                <w:sz w:val="20"/>
                <w:szCs w:val="20"/>
              </w:rPr>
            </w:pPr>
          </w:p>
        </w:tc>
        <w:tc>
          <w:tcPr>
            <w:tcW w:w="50" w:type="pct"/>
            <w:shd w:val="clear" w:color="auto" w:fill="auto"/>
            <w:vAlign w:val="center"/>
          </w:tcPr>
          <w:p w14:paraId="42A11B1D" w14:textId="77777777" w:rsidR="00BB68E1" w:rsidRDefault="00BB68E1">
            <w:pPr>
              <w:rPr>
                <w:rFonts w:ascii="Times New Roman" w:hAnsi="Times New Roman"/>
                <w:sz w:val="20"/>
                <w:szCs w:val="20"/>
              </w:rPr>
            </w:pPr>
          </w:p>
        </w:tc>
        <w:tc>
          <w:tcPr>
            <w:tcW w:w="450" w:type="pct"/>
            <w:shd w:val="clear" w:color="auto" w:fill="auto"/>
            <w:vAlign w:val="center"/>
          </w:tcPr>
          <w:p w14:paraId="42A11B1E" w14:textId="77777777" w:rsidR="00BB68E1" w:rsidRDefault="00BB68E1">
            <w:pPr>
              <w:rPr>
                <w:rFonts w:ascii="Times New Roman" w:hAnsi="Times New Roman"/>
                <w:sz w:val="20"/>
                <w:szCs w:val="20"/>
              </w:rPr>
            </w:pPr>
          </w:p>
        </w:tc>
        <w:tc>
          <w:tcPr>
            <w:tcW w:w="50" w:type="pct"/>
            <w:shd w:val="clear" w:color="auto" w:fill="auto"/>
            <w:vAlign w:val="center"/>
          </w:tcPr>
          <w:p w14:paraId="42A11B1F" w14:textId="77777777" w:rsidR="00BB68E1" w:rsidRDefault="00BB68E1">
            <w:pPr>
              <w:rPr>
                <w:rFonts w:ascii="Times New Roman" w:hAnsi="Times New Roman"/>
                <w:sz w:val="20"/>
                <w:szCs w:val="20"/>
              </w:rPr>
            </w:pPr>
          </w:p>
        </w:tc>
      </w:tr>
      <w:tr w:rsidR="00BB68E1" w14:paraId="42A11B24" w14:textId="77777777">
        <w:trPr>
          <w:jc w:val="center"/>
        </w:trPr>
        <w:tc>
          <w:tcPr>
            <w:tcW w:w="0" w:type="auto"/>
            <w:shd w:val="clear" w:color="auto" w:fill="auto"/>
            <w:tcMar>
              <w:top w:w="40" w:type="dxa"/>
              <w:left w:w="40" w:type="dxa"/>
              <w:bottom w:w="40" w:type="dxa"/>
              <w:right w:w="40" w:type="dxa"/>
            </w:tcMar>
            <w:vAlign w:val="center"/>
          </w:tcPr>
          <w:p w14:paraId="42A11B2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1B2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center"/>
          </w:tcPr>
          <w:p w14:paraId="42A11B23"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1B2C" w14:textId="77777777">
        <w:trPr>
          <w:jc w:val="center"/>
        </w:trPr>
        <w:tc>
          <w:tcPr>
            <w:tcW w:w="0" w:type="auto"/>
            <w:shd w:val="clear" w:color="auto" w:fill="auto"/>
            <w:tcMar>
              <w:top w:w="40" w:type="dxa"/>
              <w:left w:w="40" w:type="dxa"/>
              <w:bottom w:w="40" w:type="dxa"/>
              <w:right w:w="40" w:type="dxa"/>
            </w:tcMar>
            <w:vAlign w:val="center"/>
          </w:tcPr>
          <w:p w14:paraId="42A11B25" w14:textId="77777777" w:rsidR="00BB68E1" w:rsidRDefault="005D2D5E">
            <w:pPr>
              <w:textAlignment w:val="center"/>
              <w:rPr>
                <w:rFonts w:ascii="Times New Roman" w:hAnsi="Times New Roman"/>
                <w:sz w:val="16"/>
                <w:szCs w:val="16"/>
              </w:rPr>
            </w:pPr>
            <w:r>
              <w:rPr>
                <w:rFonts w:ascii="Times New Roman" w:eastAsia="宋体" w:hAnsi="Times New Roman"/>
                <w:i/>
                <w:iCs/>
                <w:sz w:val="16"/>
                <w:szCs w:val="16"/>
              </w:rPr>
              <w:t>(Amounts in millions, except unit counts)</w:t>
            </w:r>
          </w:p>
        </w:tc>
        <w:tc>
          <w:tcPr>
            <w:tcW w:w="0" w:type="auto"/>
            <w:shd w:val="clear" w:color="auto" w:fill="auto"/>
            <w:tcMar>
              <w:top w:w="40" w:type="dxa"/>
              <w:left w:w="40" w:type="dxa"/>
              <w:bottom w:w="40" w:type="dxa"/>
              <w:right w:w="40" w:type="dxa"/>
            </w:tcMar>
            <w:vAlign w:val="bottom"/>
          </w:tcPr>
          <w:p w14:paraId="42A11B2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1B27"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1B2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1B29"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1B2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1B2B"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2018</w:t>
            </w:r>
          </w:p>
        </w:tc>
      </w:tr>
      <w:tr w:rsidR="00BB68E1" w14:paraId="42A11B3A" w14:textId="77777777">
        <w:trPr>
          <w:jc w:val="center"/>
        </w:trPr>
        <w:tc>
          <w:tcPr>
            <w:tcW w:w="0" w:type="auto"/>
            <w:shd w:val="clear" w:color="auto" w:fill="CCEEFF"/>
            <w:tcMar>
              <w:top w:w="40" w:type="dxa"/>
              <w:left w:w="40" w:type="dxa"/>
              <w:bottom w:w="40" w:type="dxa"/>
              <w:right w:w="40" w:type="dxa"/>
            </w:tcMar>
            <w:vAlign w:val="center"/>
          </w:tcPr>
          <w:p w14:paraId="42A11B2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CCEEFF"/>
            <w:tcMar>
              <w:top w:w="40" w:type="dxa"/>
              <w:left w:w="40" w:type="dxa"/>
              <w:bottom w:w="40" w:type="dxa"/>
              <w:right w:w="40" w:type="dxa"/>
            </w:tcMar>
            <w:vAlign w:val="bottom"/>
          </w:tcPr>
          <w:p w14:paraId="42A11B2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B2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B3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120,130</w:t>
            </w:r>
          </w:p>
        </w:tc>
        <w:tc>
          <w:tcPr>
            <w:tcW w:w="0" w:type="auto"/>
            <w:shd w:val="clear" w:color="auto" w:fill="CCEEFF"/>
            <w:vAlign w:val="bottom"/>
          </w:tcPr>
          <w:p w14:paraId="42A11B3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B3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B3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B3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120,824</w:t>
            </w:r>
          </w:p>
        </w:tc>
        <w:tc>
          <w:tcPr>
            <w:tcW w:w="0" w:type="auto"/>
            <w:tcBorders>
              <w:top w:val="single" w:sz="8" w:space="0" w:color="000000"/>
            </w:tcBorders>
            <w:shd w:val="clear" w:color="auto" w:fill="CCEEFF"/>
            <w:vAlign w:val="bottom"/>
          </w:tcPr>
          <w:p w14:paraId="42A11B3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B3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B3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B3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118,068</w:t>
            </w:r>
          </w:p>
        </w:tc>
        <w:tc>
          <w:tcPr>
            <w:tcW w:w="0" w:type="auto"/>
            <w:shd w:val="clear" w:color="auto" w:fill="CCEEFF"/>
            <w:vAlign w:val="bottom"/>
          </w:tcPr>
          <w:p w14:paraId="42A11B39" w14:textId="77777777" w:rsidR="00BB68E1" w:rsidRDefault="00BB68E1">
            <w:pPr>
              <w:textAlignment w:val="bottom"/>
              <w:rPr>
                <w:rFonts w:ascii="Times New Roman" w:hAnsi="Times New Roman"/>
                <w:sz w:val="20"/>
                <w:szCs w:val="20"/>
              </w:rPr>
            </w:pPr>
          </w:p>
        </w:tc>
      </w:tr>
      <w:tr w:rsidR="00BB68E1" w14:paraId="42A11B45" w14:textId="77777777">
        <w:trPr>
          <w:jc w:val="center"/>
        </w:trPr>
        <w:tc>
          <w:tcPr>
            <w:tcW w:w="0" w:type="auto"/>
            <w:shd w:val="clear" w:color="auto" w:fill="auto"/>
            <w:tcMar>
              <w:top w:w="40" w:type="dxa"/>
              <w:left w:w="40" w:type="dxa"/>
              <w:bottom w:w="40" w:type="dxa"/>
              <w:right w:w="40" w:type="dxa"/>
            </w:tcMar>
            <w:vAlign w:val="center"/>
          </w:tcPr>
          <w:p w14:paraId="42A11B3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shd w:val="clear" w:color="auto" w:fill="auto"/>
            <w:tcMar>
              <w:top w:w="40" w:type="dxa"/>
              <w:left w:w="40" w:type="dxa"/>
              <w:bottom w:w="40" w:type="dxa"/>
              <w:right w:w="40" w:type="dxa"/>
            </w:tcMar>
            <w:vAlign w:val="bottom"/>
          </w:tcPr>
          <w:p w14:paraId="42A11B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B3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(0.6</w:t>
            </w:r>
          </w:p>
        </w:tc>
        <w:tc>
          <w:tcPr>
            <w:tcW w:w="0" w:type="auto"/>
            <w:shd w:val="clear" w:color="auto" w:fill="auto"/>
            <w:tcMar>
              <w:top w:w="40" w:type="dxa"/>
              <w:bottom w:w="40" w:type="dxa"/>
              <w:right w:w="40" w:type="dxa"/>
            </w:tcMar>
            <w:vAlign w:val="center"/>
          </w:tcPr>
          <w:p w14:paraId="42A11B3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B3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B4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w:t>
            </w:r>
          </w:p>
        </w:tc>
        <w:tc>
          <w:tcPr>
            <w:tcW w:w="0" w:type="auto"/>
            <w:shd w:val="clear" w:color="auto" w:fill="auto"/>
            <w:tcMar>
              <w:top w:w="40" w:type="dxa"/>
              <w:bottom w:w="40" w:type="dxa"/>
              <w:right w:w="40" w:type="dxa"/>
            </w:tcMar>
            <w:vAlign w:val="center"/>
          </w:tcPr>
          <w:p w14:paraId="42A11B4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B4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B4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w:t>
            </w:r>
          </w:p>
        </w:tc>
        <w:tc>
          <w:tcPr>
            <w:tcW w:w="0" w:type="auto"/>
            <w:shd w:val="clear" w:color="auto" w:fill="auto"/>
            <w:tcMar>
              <w:top w:w="40" w:type="dxa"/>
              <w:bottom w:w="40" w:type="dxa"/>
              <w:right w:w="40" w:type="dxa"/>
            </w:tcMar>
            <w:vAlign w:val="center"/>
          </w:tcPr>
          <w:p w14:paraId="42A11B4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B53" w14:textId="77777777">
        <w:trPr>
          <w:jc w:val="center"/>
        </w:trPr>
        <w:tc>
          <w:tcPr>
            <w:tcW w:w="0" w:type="auto"/>
            <w:shd w:val="clear" w:color="auto" w:fill="CCEEFF"/>
            <w:tcMar>
              <w:top w:w="40" w:type="dxa"/>
              <w:left w:w="40" w:type="dxa"/>
              <w:bottom w:w="40" w:type="dxa"/>
              <w:right w:w="40" w:type="dxa"/>
            </w:tcMar>
            <w:vAlign w:val="center"/>
          </w:tcPr>
          <w:p w14:paraId="42A11B4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CCEEFF"/>
            <w:tcMar>
              <w:top w:w="40" w:type="dxa"/>
              <w:left w:w="40" w:type="dxa"/>
              <w:bottom w:w="40" w:type="dxa"/>
              <w:right w:w="40" w:type="dxa"/>
            </w:tcMar>
            <w:vAlign w:val="bottom"/>
          </w:tcPr>
          <w:p w14:paraId="42A11B4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B4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B4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3,370</w:t>
            </w:r>
          </w:p>
        </w:tc>
        <w:tc>
          <w:tcPr>
            <w:tcW w:w="0" w:type="auto"/>
            <w:shd w:val="clear" w:color="auto" w:fill="CCEEFF"/>
            <w:vAlign w:val="bottom"/>
          </w:tcPr>
          <w:p w14:paraId="42A11B4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B4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B4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B4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4,883</w:t>
            </w:r>
          </w:p>
        </w:tc>
        <w:tc>
          <w:tcPr>
            <w:tcW w:w="0" w:type="auto"/>
            <w:shd w:val="clear" w:color="auto" w:fill="CCEEFF"/>
            <w:vAlign w:val="bottom"/>
          </w:tcPr>
          <w:p w14:paraId="42A11B4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B4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B5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B5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5,229</w:t>
            </w:r>
          </w:p>
        </w:tc>
        <w:tc>
          <w:tcPr>
            <w:tcW w:w="0" w:type="auto"/>
            <w:shd w:val="clear" w:color="auto" w:fill="CCEEFF"/>
            <w:vAlign w:val="bottom"/>
          </w:tcPr>
          <w:p w14:paraId="42A11B52" w14:textId="77777777" w:rsidR="00BB68E1" w:rsidRDefault="00BB68E1">
            <w:pPr>
              <w:textAlignment w:val="bottom"/>
              <w:rPr>
                <w:rFonts w:ascii="Times New Roman" w:hAnsi="Times New Roman"/>
                <w:sz w:val="20"/>
                <w:szCs w:val="20"/>
              </w:rPr>
            </w:pPr>
          </w:p>
        </w:tc>
      </w:tr>
      <w:tr w:rsidR="00BB68E1" w14:paraId="42A11B5E" w14:textId="77777777">
        <w:trPr>
          <w:jc w:val="center"/>
        </w:trPr>
        <w:tc>
          <w:tcPr>
            <w:tcW w:w="0" w:type="auto"/>
            <w:shd w:val="clear" w:color="auto" w:fill="auto"/>
            <w:tcMar>
              <w:top w:w="40" w:type="dxa"/>
              <w:left w:w="40" w:type="dxa"/>
              <w:bottom w:w="40" w:type="dxa"/>
              <w:right w:w="40" w:type="dxa"/>
            </w:tcMar>
            <w:vAlign w:val="center"/>
          </w:tcPr>
          <w:p w14:paraId="42A11B5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income as a percentage of net sales</w:t>
            </w:r>
          </w:p>
        </w:tc>
        <w:tc>
          <w:tcPr>
            <w:tcW w:w="0" w:type="auto"/>
            <w:shd w:val="clear" w:color="auto" w:fill="auto"/>
            <w:tcMar>
              <w:top w:w="40" w:type="dxa"/>
              <w:left w:w="40" w:type="dxa"/>
              <w:bottom w:w="40" w:type="dxa"/>
              <w:right w:w="40" w:type="dxa"/>
            </w:tcMar>
            <w:vAlign w:val="bottom"/>
          </w:tcPr>
          <w:p w14:paraId="42A11B5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B5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auto"/>
            <w:tcMar>
              <w:top w:w="40" w:type="dxa"/>
              <w:bottom w:w="40" w:type="dxa"/>
              <w:right w:w="40" w:type="dxa"/>
            </w:tcMar>
            <w:vAlign w:val="center"/>
          </w:tcPr>
          <w:p w14:paraId="42A11B5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1B5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B5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w:t>
            </w:r>
          </w:p>
        </w:tc>
        <w:tc>
          <w:tcPr>
            <w:tcW w:w="0" w:type="auto"/>
            <w:shd w:val="clear" w:color="auto" w:fill="auto"/>
            <w:tcMar>
              <w:top w:w="40" w:type="dxa"/>
              <w:bottom w:w="40" w:type="dxa"/>
              <w:right w:w="40" w:type="dxa"/>
            </w:tcMar>
            <w:vAlign w:val="center"/>
          </w:tcPr>
          <w:p w14:paraId="42A11B5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B5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B5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4.4</w:t>
            </w:r>
          </w:p>
        </w:tc>
        <w:tc>
          <w:tcPr>
            <w:tcW w:w="0" w:type="auto"/>
            <w:shd w:val="clear" w:color="auto" w:fill="auto"/>
            <w:tcMar>
              <w:top w:w="40" w:type="dxa"/>
              <w:bottom w:w="40" w:type="dxa"/>
              <w:right w:w="40" w:type="dxa"/>
            </w:tcMar>
            <w:vAlign w:val="center"/>
          </w:tcPr>
          <w:p w14:paraId="42A11B5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B69" w14:textId="77777777">
        <w:trPr>
          <w:jc w:val="center"/>
        </w:trPr>
        <w:tc>
          <w:tcPr>
            <w:tcW w:w="0" w:type="auto"/>
            <w:shd w:val="clear" w:color="auto" w:fill="CCEEFF"/>
            <w:tcMar>
              <w:top w:w="40" w:type="dxa"/>
              <w:left w:w="40" w:type="dxa"/>
              <w:bottom w:w="40" w:type="dxa"/>
              <w:right w:w="40" w:type="dxa"/>
            </w:tcMar>
            <w:vAlign w:val="center"/>
          </w:tcPr>
          <w:p w14:paraId="42A11B5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Unit counts at period end</w:t>
            </w:r>
          </w:p>
        </w:tc>
        <w:tc>
          <w:tcPr>
            <w:tcW w:w="0" w:type="auto"/>
            <w:shd w:val="clear" w:color="auto" w:fill="CCEEFF"/>
            <w:tcMar>
              <w:top w:w="40" w:type="dxa"/>
              <w:left w:w="40" w:type="dxa"/>
              <w:bottom w:w="40" w:type="dxa"/>
              <w:right w:w="40" w:type="dxa"/>
            </w:tcMar>
            <w:vAlign w:val="bottom"/>
          </w:tcPr>
          <w:p w14:paraId="42A11B6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B6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6,146</w:t>
            </w:r>
          </w:p>
        </w:tc>
        <w:tc>
          <w:tcPr>
            <w:tcW w:w="0" w:type="auto"/>
            <w:shd w:val="clear" w:color="auto" w:fill="CCEEFF"/>
            <w:vAlign w:val="bottom"/>
          </w:tcPr>
          <w:p w14:paraId="42A11B6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B63" w14:textId="77777777" w:rsidR="00BB68E1" w:rsidRDefault="00BB68E1">
            <w:pPr>
              <w:jc w:val="right"/>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B6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5,993</w:t>
            </w:r>
          </w:p>
        </w:tc>
        <w:tc>
          <w:tcPr>
            <w:tcW w:w="0" w:type="auto"/>
            <w:shd w:val="clear" w:color="auto" w:fill="CCEEFF"/>
            <w:vAlign w:val="bottom"/>
          </w:tcPr>
          <w:p w14:paraId="42A11B6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B6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B6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6,360</w:t>
            </w:r>
          </w:p>
        </w:tc>
        <w:tc>
          <w:tcPr>
            <w:tcW w:w="0" w:type="auto"/>
            <w:shd w:val="clear" w:color="auto" w:fill="CCEEFF"/>
            <w:vAlign w:val="bottom"/>
          </w:tcPr>
          <w:p w14:paraId="42A11B68" w14:textId="77777777" w:rsidR="00BB68E1" w:rsidRDefault="00BB68E1">
            <w:pPr>
              <w:textAlignment w:val="bottom"/>
              <w:rPr>
                <w:rFonts w:ascii="Times New Roman" w:hAnsi="Times New Roman"/>
                <w:sz w:val="20"/>
                <w:szCs w:val="20"/>
              </w:rPr>
            </w:pPr>
          </w:p>
        </w:tc>
      </w:tr>
      <w:tr w:rsidR="00BB68E1" w14:paraId="42A11B74" w14:textId="77777777">
        <w:trPr>
          <w:jc w:val="center"/>
        </w:trPr>
        <w:tc>
          <w:tcPr>
            <w:tcW w:w="0" w:type="auto"/>
            <w:shd w:val="clear" w:color="auto" w:fill="auto"/>
            <w:tcMar>
              <w:top w:w="40" w:type="dxa"/>
              <w:left w:w="40" w:type="dxa"/>
              <w:bottom w:w="40" w:type="dxa"/>
              <w:right w:w="40" w:type="dxa"/>
            </w:tcMar>
            <w:vAlign w:val="center"/>
          </w:tcPr>
          <w:p w14:paraId="42A11B6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Retail square feet at period end</w:t>
            </w:r>
          </w:p>
        </w:tc>
        <w:tc>
          <w:tcPr>
            <w:tcW w:w="0" w:type="auto"/>
            <w:shd w:val="clear" w:color="auto" w:fill="auto"/>
            <w:tcMar>
              <w:top w:w="40" w:type="dxa"/>
              <w:left w:w="40" w:type="dxa"/>
              <w:bottom w:w="40" w:type="dxa"/>
              <w:right w:w="40" w:type="dxa"/>
            </w:tcMar>
            <w:vAlign w:val="bottom"/>
          </w:tcPr>
          <w:p w14:paraId="42A11B6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B6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345</w:t>
            </w:r>
          </w:p>
        </w:tc>
        <w:tc>
          <w:tcPr>
            <w:tcW w:w="0" w:type="auto"/>
            <w:shd w:val="clear" w:color="auto" w:fill="auto"/>
            <w:vAlign w:val="bottom"/>
          </w:tcPr>
          <w:p w14:paraId="42A11B6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B6E" w14:textId="77777777" w:rsidR="00BB68E1" w:rsidRDefault="00BB68E1">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2A11B6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344</w:t>
            </w:r>
          </w:p>
        </w:tc>
        <w:tc>
          <w:tcPr>
            <w:tcW w:w="0" w:type="auto"/>
            <w:shd w:val="clear" w:color="auto" w:fill="auto"/>
            <w:vAlign w:val="bottom"/>
          </w:tcPr>
          <w:p w14:paraId="42A11B7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B7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B7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373</w:t>
            </w:r>
          </w:p>
        </w:tc>
        <w:tc>
          <w:tcPr>
            <w:tcW w:w="0" w:type="auto"/>
            <w:shd w:val="clear" w:color="auto" w:fill="auto"/>
            <w:vAlign w:val="bottom"/>
          </w:tcPr>
          <w:p w14:paraId="42A11B73" w14:textId="77777777" w:rsidR="00BB68E1" w:rsidRDefault="00BB68E1">
            <w:pPr>
              <w:textAlignment w:val="bottom"/>
              <w:rPr>
                <w:rFonts w:ascii="Times New Roman" w:hAnsi="Times New Roman"/>
                <w:sz w:val="20"/>
                <w:szCs w:val="20"/>
              </w:rPr>
            </w:pPr>
          </w:p>
        </w:tc>
      </w:tr>
    </w:tbl>
    <w:p w14:paraId="42A11B75"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Net sales for the Walmart International segment decreased $0.7 billion or 0.6% and increased $2.8 billion or 2.3% for fiscal 2020 and 2019, respectively, when compared to the previous fiscal year. For fiscal 2020, the decrease was primarily due to negative</w:t>
      </w:r>
      <w:r>
        <w:rPr>
          <w:rFonts w:ascii="Times New Roman" w:eastAsia="宋体" w:hAnsi="Times New Roman"/>
          <w:sz w:val="20"/>
          <w:szCs w:val="20"/>
        </w:rPr>
        <w:t xml:space="preserve"> fluctuations in currency exchange rates of $4.1 billion as well as a reduction in sales due to our sale of the majority stake in Walmart Brazil in August 2018, offset by a full year of net sales from Flipkart and positive comparable sales growth in the ma</w:t>
      </w:r>
      <w:r>
        <w:rPr>
          <w:rFonts w:ascii="Times New Roman" w:eastAsia="宋体" w:hAnsi="Times New Roman"/>
          <w:sz w:val="20"/>
          <w:szCs w:val="20"/>
        </w:rPr>
        <w:t xml:space="preserve">jority of our markets. </w:t>
      </w:r>
    </w:p>
    <w:p w14:paraId="42A11B7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For fiscal 2019, the increase was primarily due to positive comparable sales in the majority of our markets and net sales from Flipkart, which we acquired in the third quarter of fiscal 2019. These increases were partially offset by</w:t>
      </w:r>
      <w:r>
        <w:rPr>
          <w:rFonts w:ascii="Times New Roman" w:eastAsia="宋体" w:hAnsi="Times New Roman"/>
          <w:sz w:val="20"/>
          <w:szCs w:val="20"/>
        </w:rPr>
        <w:t xml:space="preserve"> a $3.1 billion reduction in net sales due to our sale of the majority stake in Walmart Brazil, a $0.7 billion negative impact from fluctuations in currency exchange rates, the continued wind down of our first party Brazil eCommerce operations and a reduct</w:t>
      </w:r>
      <w:r>
        <w:rPr>
          <w:rFonts w:ascii="Times New Roman" w:eastAsia="宋体" w:hAnsi="Times New Roman"/>
          <w:sz w:val="20"/>
          <w:szCs w:val="20"/>
        </w:rPr>
        <w:t>ion in net sales of $140 million due to divesting our Suburbia business in the second quarter of fiscal 2018.</w:t>
      </w:r>
    </w:p>
    <w:p w14:paraId="42A11B7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Gross profit rate decreased 136 and 41 basis points for fiscal 2020 and 2019, respectively, when compared to the previous fiscal year. For fiscal </w:t>
      </w:r>
      <w:r>
        <w:rPr>
          <w:rFonts w:ascii="Times New Roman" w:eastAsia="宋体" w:hAnsi="Times New Roman"/>
          <w:sz w:val="20"/>
          <w:szCs w:val="20"/>
        </w:rPr>
        <w:t>2020, the decrease was primarily due to Flipkart, as well as a change in merchandise mix. For fiscal 2019, the decrease was due to Flipkart and strategic price investments in certain markets.</w:t>
      </w:r>
    </w:p>
    <w:p w14:paraId="42A11B7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Membership and other income decreased 1.1% and 22.4% for fiscal </w:t>
      </w:r>
      <w:r>
        <w:rPr>
          <w:rFonts w:ascii="Times New Roman" w:eastAsia="宋体" w:hAnsi="Times New Roman"/>
          <w:sz w:val="20"/>
          <w:szCs w:val="20"/>
        </w:rPr>
        <w:t xml:space="preserve">2020 and 2019, respectively, when compared to the previous fiscal year. The decrease in fiscal 2020 was primarily due to currency while </w:t>
      </w:r>
      <w:r>
        <w:rPr>
          <w:rFonts w:ascii="Times New Roman" w:eastAsia="宋体" w:hAnsi="Times New Roman"/>
          <w:sz w:val="20"/>
          <w:szCs w:val="20"/>
        </w:rPr>
        <w:lastRenderedPageBreak/>
        <w:t xml:space="preserve">fiscal 2019 decreased due to the prior year recognition of a $387 million gain from the sale of Suburbia. </w:t>
      </w:r>
    </w:p>
    <w:p w14:paraId="42A11B7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Operating exp</w:t>
      </w:r>
      <w:r>
        <w:rPr>
          <w:rFonts w:ascii="Times New Roman" w:eastAsia="宋体" w:hAnsi="Times New Roman"/>
          <w:sz w:val="20"/>
          <w:szCs w:val="20"/>
        </w:rPr>
        <w:t>enses as a percentage of segment net sales decreased 13 basis points for fiscal 2020 and 37 basis points for 2019, when compared to the previous fiscal year. The decrease in operating expenses as a percentage of segment net sales for fiscal 2020 was primar</w:t>
      </w:r>
      <w:r>
        <w:rPr>
          <w:rFonts w:ascii="Times New Roman" w:eastAsia="宋体" w:hAnsi="Times New Roman"/>
          <w:sz w:val="20"/>
          <w:szCs w:val="20"/>
        </w:rPr>
        <w:t xml:space="preserve">ily due to positive comparable sales in the majority of our markets and cost discipline across multiple markets, partially offset by $0.4 billion in impairment charges which was due primarily to the write-off of the carrying value of one of Flipkart's two </w:t>
      </w:r>
      <w:r>
        <w:rPr>
          <w:rFonts w:ascii="Times New Roman" w:eastAsia="宋体" w:hAnsi="Times New Roman"/>
          <w:sz w:val="20"/>
          <w:szCs w:val="20"/>
        </w:rPr>
        <w:t>fashion trade names, Jabong.com, as a result of a strategic decision to focus our efforts on a single fashion platform in order to simplify the business and customer proposition. Fiscal 2019 decreased primarily due to impairment charges in the previous fis</w:t>
      </w:r>
      <w:r>
        <w:rPr>
          <w:rFonts w:ascii="Times New Roman" w:eastAsia="宋体" w:hAnsi="Times New Roman"/>
          <w:sz w:val="20"/>
          <w:szCs w:val="20"/>
        </w:rPr>
        <w:t>cal year of approximately $0.5 billion, which included charges from decisions to exit certain properties and wind down the first party Brazil eCommerce operations; this decrease in operating expenses was partially offset by the addition of operating expens</w:t>
      </w:r>
      <w:r>
        <w:rPr>
          <w:rFonts w:ascii="Times New Roman" w:eastAsia="宋体" w:hAnsi="Times New Roman"/>
          <w:sz w:val="20"/>
          <w:szCs w:val="20"/>
        </w:rPr>
        <w:t>es from Flipkart in fiscal 2019.</w:t>
      </w:r>
    </w:p>
    <w:p w14:paraId="42A11B7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As a result of the factors discussed above, segment operating income decreased $1.5 billion and $0.3 billion for fiscal 2020 and 2019, respectively.</w:t>
      </w:r>
    </w:p>
    <w:p w14:paraId="42A11B7B"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Sam's Club Segment</w:t>
      </w:r>
    </w:p>
    <w:tbl>
      <w:tblPr>
        <w:tblW w:w="5000" w:type="pct"/>
        <w:jc w:val="center"/>
        <w:tblCellMar>
          <w:left w:w="0" w:type="dxa"/>
          <w:right w:w="0" w:type="dxa"/>
        </w:tblCellMar>
        <w:tblLook w:val="04A0" w:firstRow="1" w:lastRow="0" w:firstColumn="1" w:lastColumn="0" w:noHBand="0" w:noVBand="1"/>
      </w:tblPr>
      <w:tblGrid>
        <w:gridCol w:w="5171"/>
        <w:gridCol w:w="130"/>
        <w:gridCol w:w="120"/>
        <w:gridCol w:w="603"/>
        <w:gridCol w:w="174"/>
        <w:gridCol w:w="130"/>
        <w:gridCol w:w="120"/>
        <w:gridCol w:w="603"/>
        <w:gridCol w:w="227"/>
        <w:gridCol w:w="130"/>
        <w:gridCol w:w="120"/>
        <w:gridCol w:w="604"/>
        <w:gridCol w:w="174"/>
      </w:tblGrid>
      <w:tr w:rsidR="00BB68E1" w14:paraId="42A11B7D" w14:textId="77777777">
        <w:trPr>
          <w:jc w:val="center"/>
        </w:trPr>
        <w:tc>
          <w:tcPr>
            <w:tcW w:w="0" w:type="auto"/>
            <w:gridSpan w:val="13"/>
            <w:shd w:val="clear" w:color="auto" w:fill="auto"/>
            <w:vAlign w:val="center"/>
          </w:tcPr>
          <w:p w14:paraId="42A11B7C" w14:textId="77777777" w:rsidR="00BB68E1" w:rsidRDefault="00BB68E1">
            <w:pPr>
              <w:rPr>
                <w:rFonts w:ascii="Times New Roman" w:hAnsi="Times New Roman"/>
                <w:sz w:val="20"/>
                <w:szCs w:val="20"/>
              </w:rPr>
            </w:pPr>
          </w:p>
        </w:tc>
      </w:tr>
      <w:tr w:rsidR="00BB68E1" w14:paraId="42A11B8B" w14:textId="77777777">
        <w:trPr>
          <w:jc w:val="center"/>
        </w:trPr>
        <w:tc>
          <w:tcPr>
            <w:tcW w:w="3200" w:type="pct"/>
            <w:shd w:val="clear" w:color="auto" w:fill="auto"/>
            <w:vAlign w:val="center"/>
          </w:tcPr>
          <w:p w14:paraId="42A11B7E" w14:textId="77777777" w:rsidR="00BB68E1" w:rsidRDefault="00BB68E1">
            <w:pPr>
              <w:rPr>
                <w:rFonts w:ascii="Times New Roman" w:hAnsi="Times New Roman"/>
                <w:sz w:val="20"/>
                <w:szCs w:val="20"/>
              </w:rPr>
            </w:pPr>
          </w:p>
        </w:tc>
        <w:tc>
          <w:tcPr>
            <w:tcW w:w="50" w:type="pct"/>
            <w:shd w:val="clear" w:color="auto" w:fill="auto"/>
            <w:vAlign w:val="center"/>
          </w:tcPr>
          <w:p w14:paraId="42A11B7F" w14:textId="77777777" w:rsidR="00BB68E1" w:rsidRDefault="00BB68E1">
            <w:pPr>
              <w:rPr>
                <w:rFonts w:ascii="Times New Roman" w:hAnsi="Times New Roman"/>
                <w:sz w:val="20"/>
                <w:szCs w:val="20"/>
              </w:rPr>
            </w:pPr>
          </w:p>
        </w:tc>
        <w:tc>
          <w:tcPr>
            <w:tcW w:w="50" w:type="pct"/>
            <w:shd w:val="clear" w:color="auto" w:fill="auto"/>
            <w:vAlign w:val="center"/>
          </w:tcPr>
          <w:p w14:paraId="42A11B80" w14:textId="77777777" w:rsidR="00BB68E1" w:rsidRDefault="00BB68E1">
            <w:pPr>
              <w:rPr>
                <w:rFonts w:ascii="Times New Roman" w:hAnsi="Times New Roman"/>
                <w:sz w:val="20"/>
                <w:szCs w:val="20"/>
              </w:rPr>
            </w:pPr>
          </w:p>
        </w:tc>
        <w:tc>
          <w:tcPr>
            <w:tcW w:w="450" w:type="pct"/>
            <w:shd w:val="clear" w:color="auto" w:fill="auto"/>
            <w:vAlign w:val="center"/>
          </w:tcPr>
          <w:p w14:paraId="42A11B81" w14:textId="77777777" w:rsidR="00BB68E1" w:rsidRDefault="00BB68E1">
            <w:pPr>
              <w:rPr>
                <w:rFonts w:ascii="Times New Roman" w:hAnsi="Times New Roman"/>
                <w:sz w:val="20"/>
                <w:szCs w:val="20"/>
              </w:rPr>
            </w:pPr>
          </w:p>
        </w:tc>
        <w:tc>
          <w:tcPr>
            <w:tcW w:w="50" w:type="pct"/>
            <w:shd w:val="clear" w:color="auto" w:fill="auto"/>
            <w:vAlign w:val="center"/>
          </w:tcPr>
          <w:p w14:paraId="42A11B82" w14:textId="77777777" w:rsidR="00BB68E1" w:rsidRDefault="00BB68E1">
            <w:pPr>
              <w:rPr>
                <w:rFonts w:ascii="Times New Roman" w:hAnsi="Times New Roman"/>
                <w:sz w:val="20"/>
                <w:szCs w:val="20"/>
              </w:rPr>
            </w:pPr>
          </w:p>
        </w:tc>
        <w:tc>
          <w:tcPr>
            <w:tcW w:w="50" w:type="pct"/>
            <w:shd w:val="clear" w:color="auto" w:fill="auto"/>
            <w:vAlign w:val="center"/>
          </w:tcPr>
          <w:p w14:paraId="42A11B83" w14:textId="77777777" w:rsidR="00BB68E1" w:rsidRDefault="00BB68E1">
            <w:pPr>
              <w:rPr>
                <w:rFonts w:ascii="Times New Roman" w:hAnsi="Times New Roman"/>
                <w:sz w:val="20"/>
                <w:szCs w:val="20"/>
              </w:rPr>
            </w:pPr>
          </w:p>
        </w:tc>
        <w:tc>
          <w:tcPr>
            <w:tcW w:w="50" w:type="pct"/>
            <w:shd w:val="clear" w:color="auto" w:fill="auto"/>
            <w:vAlign w:val="center"/>
          </w:tcPr>
          <w:p w14:paraId="42A11B84" w14:textId="77777777" w:rsidR="00BB68E1" w:rsidRDefault="00BB68E1">
            <w:pPr>
              <w:rPr>
                <w:rFonts w:ascii="Times New Roman" w:hAnsi="Times New Roman"/>
                <w:sz w:val="20"/>
                <w:szCs w:val="20"/>
              </w:rPr>
            </w:pPr>
          </w:p>
        </w:tc>
        <w:tc>
          <w:tcPr>
            <w:tcW w:w="450" w:type="pct"/>
            <w:shd w:val="clear" w:color="auto" w:fill="auto"/>
            <w:vAlign w:val="center"/>
          </w:tcPr>
          <w:p w14:paraId="42A11B85" w14:textId="77777777" w:rsidR="00BB68E1" w:rsidRDefault="00BB68E1">
            <w:pPr>
              <w:rPr>
                <w:rFonts w:ascii="Times New Roman" w:hAnsi="Times New Roman"/>
                <w:sz w:val="20"/>
                <w:szCs w:val="20"/>
              </w:rPr>
            </w:pPr>
          </w:p>
        </w:tc>
        <w:tc>
          <w:tcPr>
            <w:tcW w:w="50" w:type="pct"/>
            <w:shd w:val="clear" w:color="auto" w:fill="auto"/>
            <w:vAlign w:val="center"/>
          </w:tcPr>
          <w:p w14:paraId="42A11B86" w14:textId="77777777" w:rsidR="00BB68E1" w:rsidRDefault="00BB68E1">
            <w:pPr>
              <w:rPr>
                <w:rFonts w:ascii="Times New Roman" w:hAnsi="Times New Roman"/>
                <w:sz w:val="20"/>
                <w:szCs w:val="20"/>
              </w:rPr>
            </w:pPr>
          </w:p>
        </w:tc>
        <w:tc>
          <w:tcPr>
            <w:tcW w:w="50" w:type="pct"/>
            <w:shd w:val="clear" w:color="auto" w:fill="auto"/>
            <w:vAlign w:val="center"/>
          </w:tcPr>
          <w:p w14:paraId="42A11B87" w14:textId="77777777" w:rsidR="00BB68E1" w:rsidRDefault="00BB68E1">
            <w:pPr>
              <w:rPr>
                <w:rFonts w:ascii="Times New Roman" w:hAnsi="Times New Roman"/>
                <w:sz w:val="20"/>
                <w:szCs w:val="20"/>
              </w:rPr>
            </w:pPr>
          </w:p>
        </w:tc>
        <w:tc>
          <w:tcPr>
            <w:tcW w:w="50" w:type="pct"/>
            <w:shd w:val="clear" w:color="auto" w:fill="auto"/>
            <w:vAlign w:val="center"/>
          </w:tcPr>
          <w:p w14:paraId="42A11B88" w14:textId="77777777" w:rsidR="00BB68E1" w:rsidRDefault="00BB68E1">
            <w:pPr>
              <w:rPr>
                <w:rFonts w:ascii="Times New Roman" w:hAnsi="Times New Roman"/>
                <w:sz w:val="20"/>
                <w:szCs w:val="20"/>
              </w:rPr>
            </w:pPr>
          </w:p>
        </w:tc>
        <w:tc>
          <w:tcPr>
            <w:tcW w:w="450" w:type="pct"/>
            <w:shd w:val="clear" w:color="auto" w:fill="auto"/>
            <w:vAlign w:val="center"/>
          </w:tcPr>
          <w:p w14:paraId="42A11B89" w14:textId="77777777" w:rsidR="00BB68E1" w:rsidRDefault="00BB68E1">
            <w:pPr>
              <w:rPr>
                <w:rFonts w:ascii="Times New Roman" w:hAnsi="Times New Roman"/>
                <w:sz w:val="20"/>
                <w:szCs w:val="20"/>
              </w:rPr>
            </w:pPr>
          </w:p>
        </w:tc>
        <w:tc>
          <w:tcPr>
            <w:tcW w:w="50" w:type="pct"/>
            <w:shd w:val="clear" w:color="auto" w:fill="auto"/>
            <w:vAlign w:val="center"/>
          </w:tcPr>
          <w:p w14:paraId="42A11B8A" w14:textId="77777777" w:rsidR="00BB68E1" w:rsidRDefault="00BB68E1">
            <w:pPr>
              <w:rPr>
                <w:rFonts w:ascii="Times New Roman" w:hAnsi="Times New Roman"/>
                <w:sz w:val="20"/>
                <w:szCs w:val="20"/>
              </w:rPr>
            </w:pPr>
          </w:p>
        </w:tc>
      </w:tr>
      <w:tr w:rsidR="00BB68E1" w14:paraId="42A11B8F" w14:textId="77777777">
        <w:trPr>
          <w:jc w:val="center"/>
        </w:trPr>
        <w:tc>
          <w:tcPr>
            <w:tcW w:w="0" w:type="auto"/>
            <w:shd w:val="clear" w:color="auto" w:fill="auto"/>
            <w:tcMar>
              <w:top w:w="40" w:type="dxa"/>
              <w:left w:w="40" w:type="dxa"/>
              <w:bottom w:w="40" w:type="dxa"/>
              <w:right w:w="40" w:type="dxa"/>
            </w:tcMar>
            <w:vAlign w:val="bottom"/>
          </w:tcPr>
          <w:p w14:paraId="42A11B8C"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1B8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1B8E"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1B97" w14:textId="77777777">
        <w:trPr>
          <w:jc w:val="center"/>
        </w:trPr>
        <w:tc>
          <w:tcPr>
            <w:tcW w:w="0" w:type="auto"/>
            <w:shd w:val="clear" w:color="auto" w:fill="auto"/>
            <w:tcMar>
              <w:top w:w="40" w:type="dxa"/>
              <w:left w:w="40" w:type="dxa"/>
              <w:bottom w:w="40" w:type="dxa"/>
              <w:right w:w="40" w:type="dxa"/>
            </w:tcMar>
            <w:vAlign w:val="bottom"/>
          </w:tcPr>
          <w:p w14:paraId="42A11B90"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 except unit counts)</w:t>
            </w:r>
          </w:p>
        </w:tc>
        <w:tc>
          <w:tcPr>
            <w:tcW w:w="0" w:type="auto"/>
            <w:shd w:val="clear" w:color="auto" w:fill="auto"/>
            <w:tcMar>
              <w:top w:w="40" w:type="dxa"/>
              <w:left w:w="40" w:type="dxa"/>
              <w:bottom w:w="40" w:type="dxa"/>
              <w:right w:w="40" w:type="dxa"/>
            </w:tcMar>
            <w:vAlign w:val="bottom"/>
          </w:tcPr>
          <w:p w14:paraId="42A11B9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B9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1B9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B94"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1B9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B96"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1B9F" w14:textId="77777777">
        <w:trPr>
          <w:jc w:val="center"/>
        </w:trPr>
        <w:tc>
          <w:tcPr>
            <w:tcW w:w="0" w:type="auto"/>
            <w:shd w:val="clear" w:color="auto" w:fill="CCEEFF"/>
            <w:tcMar>
              <w:top w:w="40" w:type="dxa"/>
              <w:left w:w="40" w:type="dxa"/>
              <w:bottom w:w="40" w:type="dxa"/>
              <w:right w:w="40" w:type="dxa"/>
            </w:tcMar>
            <w:vAlign w:val="center"/>
          </w:tcPr>
          <w:p w14:paraId="42A11B98" w14:textId="77777777" w:rsidR="00BB68E1" w:rsidRDefault="005D2D5E">
            <w:pPr>
              <w:textAlignment w:val="center"/>
              <w:rPr>
                <w:rFonts w:ascii="Times New Roman" w:hAnsi="Times New Roman"/>
                <w:sz w:val="16"/>
                <w:szCs w:val="16"/>
              </w:rPr>
            </w:pPr>
            <w:r>
              <w:rPr>
                <w:rFonts w:ascii="Times New Roman" w:eastAsia="宋体" w:hAnsi="Times New Roman"/>
                <w:b/>
                <w:bCs/>
                <w:i/>
                <w:iCs/>
                <w:sz w:val="16"/>
                <w:szCs w:val="16"/>
              </w:rPr>
              <w:t>Including Fuel</w:t>
            </w:r>
          </w:p>
        </w:tc>
        <w:tc>
          <w:tcPr>
            <w:tcW w:w="0" w:type="auto"/>
            <w:shd w:val="clear" w:color="auto" w:fill="CCEEFF"/>
            <w:tcMar>
              <w:top w:w="40" w:type="dxa"/>
              <w:left w:w="40" w:type="dxa"/>
              <w:bottom w:w="40" w:type="dxa"/>
              <w:right w:w="40" w:type="dxa"/>
            </w:tcMar>
            <w:vAlign w:val="bottom"/>
          </w:tcPr>
          <w:p w14:paraId="42A11B9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B9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B9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B9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B9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B9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BAD" w14:textId="77777777">
        <w:trPr>
          <w:jc w:val="center"/>
        </w:trPr>
        <w:tc>
          <w:tcPr>
            <w:tcW w:w="0" w:type="auto"/>
            <w:shd w:val="clear" w:color="auto" w:fill="auto"/>
            <w:tcMar>
              <w:top w:w="40" w:type="dxa"/>
              <w:left w:w="400" w:type="dxa"/>
              <w:bottom w:w="40" w:type="dxa"/>
              <w:right w:w="40" w:type="dxa"/>
            </w:tcMar>
            <w:vAlign w:val="center"/>
          </w:tcPr>
          <w:p w14:paraId="42A11BA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auto"/>
            <w:tcMar>
              <w:top w:w="40" w:type="dxa"/>
              <w:left w:w="40" w:type="dxa"/>
              <w:bottom w:w="40" w:type="dxa"/>
              <w:right w:w="40" w:type="dxa"/>
            </w:tcMar>
            <w:vAlign w:val="bottom"/>
          </w:tcPr>
          <w:p w14:paraId="42A11BA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BA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BA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58,792</w:t>
            </w:r>
          </w:p>
        </w:tc>
        <w:tc>
          <w:tcPr>
            <w:tcW w:w="0" w:type="auto"/>
            <w:shd w:val="clear" w:color="auto" w:fill="auto"/>
            <w:vAlign w:val="bottom"/>
          </w:tcPr>
          <w:p w14:paraId="42A11BA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BA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BA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BA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57,839</w:t>
            </w:r>
          </w:p>
        </w:tc>
        <w:tc>
          <w:tcPr>
            <w:tcW w:w="0" w:type="auto"/>
            <w:shd w:val="clear" w:color="auto" w:fill="auto"/>
            <w:vAlign w:val="bottom"/>
          </w:tcPr>
          <w:p w14:paraId="42A11BA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BA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BA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BA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59,216</w:t>
            </w:r>
          </w:p>
        </w:tc>
        <w:tc>
          <w:tcPr>
            <w:tcW w:w="0" w:type="auto"/>
            <w:shd w:val="clear" w:color="auto" w:fill="auto"/>
            <w:vAlign w:val="bottom"/>
          </w:tcPr>
          <w:p w14:paraId="42A11BAC" w14:textId="77777777" w:rsidR="00BB68E1" w:rsidRDefault="00BB68E1">
            <w:pPr>
              <w:textAlignment w:val="bottom"/>
              <w:rPr>
                <w:rFonts w:ascii="Times New Roman" w:hAnsi="Times New Roman"/>
                <w:sz w:val="20"/>
                <w:szCs w:val="20"/>
              </w:rPr>
            </w:pPr>
          </w:p>
        </w:tc>
      </w:tr>
      <w:tr w:rsidR="00BB68E1" w14:paraId="42A11BB8" w14:textId="77777777">
        <w:trPr>
          <w:jc w:val="center"/>
        </w:trPr>
        <w:tc>
          <w:tcPr>
            <w:tcW w:w="0" w:type="auto"/>
            <w:shd w:val="clear" w:color="auto" w:fill="CCEEFF"/>
            <w:tcMar>
              <w:top w:w="40" w:type="dxa"/>
              <w:left w:w="400" w:type="dxa"/>
              <w:bottom w:w="40" w:type="dxa"/>
              <w:right w:w="40" w:type="dxa"/>
            </w:tcMar>
            <w:vAlign w:val="center"/>
          </w:tcPr>
          <w:p w14:paraId="42A11BA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shd w:val="clear" w:color="auto" w:fill="CCEEFF"/>
            <w:tcMar>
              <w:top w:w="40" w:type="dxa"/>
              <w:left w:w="40" w:type="dxa"/>
              <w:bottom w:w="40" w:type="dxa"/>
              <w:right w:w="40" w:type="dxa"/>
            </w:tcMar>
            <w:vAlign w:val="bottom"/>
          </w:tcPr>
          <w:p w14:paraId="42A11BA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BB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shd w:val="clear" w:color="auto" w:fill="CCEEFF"/>
            <w:tcMar>
              <w:top w:w="40" w:type="dxa"/>
              <w:bottom w:w="40" w:type="dxa"/>
              <w:right w:w="40" w:type="dxa"/>
            </w:tcMar>
            <w:vAlign w:val="center"/>
          </w:tcPr>
          <w:p w14:paraId="42A11BB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BB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BB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w:t>
            </w:r>
          </w:p>
        </w:tc>
        <w:tc>
          <w:tcPr>
            <w:tcW w:w="0" w:type="auto"/>
            <w:shd w:val="clear" w:color="auto" w:fill="CCEEFF"/>
            <w:tcMar>
              <w:top w:w="40" w:type="dxa"/>
              <w:bottom w:w="40" w:type="dxa"/>
              <w:right w:w="40" w:type="dxa"/>
            </w:tcMar>
            <w:vAlign w:val="center"/>
          </w:tcPr>
          <w:p w14:paraId="42A11BB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BB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BB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w:t>
            </w:r>
          </w:p>
        </w:tc>
        <w:tc>
          <w:tcPr>
            <w:tcW w:w="0" w:type="auto"/>
            <w:shd w:val="clear" w:color="auto" w:fill="CCEEFF"/>
            <w:tcMar>
              <w:top w:w="40" w:type="dxa"/>
              <w:bottom w:w="40" w:type="dxa"/>
              <w:right w:w="40" w:type="dxa"/>
            </w:tcMar>
            <w:vAlign w:val="center"/>
          </w:tcPr>
          <w:p w14:paraId="42A11BB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BC3" w14:textId="77777777">
        <w:trPr>
          <w:jc w:val="center"/>
        </w:trPr>
        <w:tc>
          <w:tcPr>
            <w:tcW w:w="0" w:type="auto"/>
            <w:shd w:val="clear" w:color="auto" w:fill="auto"/>
            <w:tcMar>
              <w:top w:w="40" w:type="dxa"/>
              <w:left w:w="400" w:type="dxa"/>
              <w:bottom w:w="40" w:type="dxa"/>
              <w:right w:w="40" w:type="dxa"/>
            </w:tcMar>
            <w:vAlign w:val="center"/>
          </w:tcPr>
          <w:p w14:paraId="42A11BB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Calendar comparable sales increase</w:t>
            </w:r>
          </w:p>
        </w:tc>
        <w:tc>
          <w:tcPr>
            <w:tcW w:w="0" w:type="auto"/>
            <w:shd w:val="clear" w:color="auto" w:fill="auto"/>
            <w:tcMar>
              <w:top w:w="40" w:type="dxa"/>
              <w:left w:w="40" w:type="dxa"/>
              <w:bottom w:w="40" w:type="dxa"/>
              <w:right w:w="40" w:type="dxa"/>
            </w:tcMar>
            <w:vAlign w:val="bottom"/>
          </w:tcPr>
          <w:p w14:paraId="42A11BB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BB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shd w:val="clear" w:color="auto" w:fill="auto"/>
            <w:tcMar>
              <w:top w:w="40" w:type="dxa"/>
              <w:bottom w:w="40" w:type="dxa"/>
              <w:right w:w="40" w:type="dxa"/>
            </w:tcMar>
            <w:vAlign w:val="center"/>
          </w:tcPr>
          <w:p w14:paraId="42A11BB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BB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BB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5.4</w:t>
            </w:r>
          </w:p>
        </w:tc>
        <w:tc>
          <w:tcPr>
            <w:tcW w:w="0" w:type="auto"/>
            <w:shd w:val="clear" w:color="auto" w:fill="auto"/>
            <w:tcMar>
              <w:top w:w="40" w:type="dxa"/>
              <w:bottom w:w="40" w:type="dxa"/>
              <w:right w:w="40" w:type="dxa"/>
            </w:tcMar>
            <w:vAlign w:val="center"/>
          </w:tcPr>
          <w:p w14:paraId="42A11BB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1B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BC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auto"/>
            <w:tcMar>
              <w:top w:w="40" w:type="dxa"/>
              <w:bottom w:w="40" w:type="dxa"/>
              <w:right w:w="40" w:type="dxa"/>
            </w:tcMar>
            <w:vAlign w:val="center"/>
          </w:tcPr>
          <w:p w14:paraId="42A11BC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BD1" w14:textId="77777777">
        <w:trPr>
          <w:jc w:val="center"/>
        </w:trPr>
        <w:tc>
          <w:tcPr>
            <w:tcW w:w="0" w:type="auto"/>
            <w:shd w:val="clear" w:color="auto" w:fill="CCEEFF"/>
            <w:tcMar>
              <w:top w:w="40" w:type="dxa"/>
              <w:left w:w="400" w:type="dxa"/>
              <w:bottom w:w="40" w:type="dxa"/>
              <w:right w:w="40" w:type="dxa"/>
            </w:tcMar>
            <w:vAlign w:val="center"/>
          </w:tcPr>
          <w:p w14:paraId="42A11BC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CCEEFF"/>
            <w:tcMar>
              <w:top w:w="40" w:type="dxa"/>
              <w:left w:w="40" w:type="dxa"/>
              <w:bottom w:w="40" w:type="dxa"/>
              <w:right w:w="40" w:type="dxa"/>
            </w:tcMar>
            <w:vAlign w:val="bottom"/>
          </w:tcPr>
          <w:p w14:paraId="42A11BC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BC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BC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1,642</w:t>
            </w:r>
          </w:p>
        </w:tc>
        <w:tc>
          <w:tcPr>
            <w:tcW w:w="0" w:type="auto"/>
            <w:shd w:val="clear" w:color="auto" w:fill="CCEEFF"/>
            <w:vAlign w:val="bottom"/>
          </w:tcPr>
          <w:p w14:paraId="42A11BC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BC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BC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BC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1,520</w:t>
            </w:r>
          </w:p>
        </w:tc>
        <w:tc>
          <w:tcPr>
            <w:tcW w:w="0" w:type="auto"/>
            <w:shd w:val="clear" w:color="auto" w:fill="CCEEFF"/>
            <w:vAlign w:val="bottom"/>
          </w:tcPr>
          <w:p w14:paraId="42A11BC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B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BC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BC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915</w:t>
            </w:r>
          </w:p>
        </w:tc>
        <w:tc>
          <w:tcPr>
            <w:tcW w:w="0" w:type="auto"/>
            <w:shd w:val="clear" w:color="auto" w:fill="CCEEFF"/>
            <w:vAlign w:val="bottom"/>
          </w:tcPr>
          <w:p w14:paraId="42A11BD0" w14:textId="77777777" w:rsidR="00BB68E1" w:rsidRDefault="00BB68E1">
            <w:pPr>
              <w:textAlignment w:val="bottom"/>
              <w:rPr>
                <w:rFonts w:ascii="Times New Roman" w:hAnsi="Times New Roman"/>
                <w:sz w:val="20"/>
                <w:szCs w:val="20"/>
              </w:rPr>
            </w:pPr>
          </w:p>
        </w:tc>
      </w:tr>
      <w:tr w:rsidR="00BB68E1" w14:paraId="42A11BDC" w14:textId="77777777">
        <w:trPr>
          <w:jc w:val="center"/>
        </w:trPr>
        <w:tc>
          <w:tcPr>
            <w:tcW w:w="0" w:type="auto"/>
            <w:shd w:val="clear" w:color="auto" w:fill="auto"/>
            <w:tcMar>
              <w:top w:w="40" w:type="dxa"/>
              <w:left w:w="400" w:type="dxa"/>
              <w:bottom w:w="40" w:type="dxa"/>
              <w:right w:w="40" w:type="dxa"/>
            </w:tcMar>
            <w:vAlign w:val="center"/>
          </w:tcPr>
          <w:p w14:paraId="42A11BD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income as a percentage of net sales</w:t>
            </w:r>
          </w:p>
        </w:tc>
        <w:tc>
          <w:tcPr>
            <w:tcW w:w="0" w:type="auto"/>
            <w:shd w:val="clear" w:color="auto" w:fill="auto"/>
            <w:tcMar>
              <w:top w:w="40" w:type="dxa"/>
              <w:left w:w="40" w:type="dxa"/>
              <w:bottom w:w="40" w:type="dxa"/>
              <w:right w:w="40" w:type="dxa"/>
            </w:tcMar>
            <w:vAlign w:val="bottom"/>
          </w:tcPr>
          <w:p w14:paraId="42A11B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BD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auto"/>
            <w:tcMar>
              <w:top w:w="40" w:type="dxa"/>
              <w:bottom w:w="40" w:type="dxa"/>
              <w:right w:w="40" w:type="dxa"/>
            </w:tcMar>
            <w:vAlign w:val="center"/>
          </w:tcPr>
          <w:p w14:paraId="42A11BD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B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BD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w:t>
            </w:r>
          </w:p>
        </w:tc>
        <w:tc>
          <w:tcPr>
            <w:tcW w:w="0" w:type="auto"/>
            <w:shd w:val="clear" w:color="auto" w:fill="auto"/>
            <w:tcMar>
              <w:top w:w="40" w:type="dxa"/>
              <w:bottom w:w="40" w:type="dxa"/>
              <w:right w:w="40" w:type="dxa"/>
            </w:tcMar>
            <w:vAlign w:val="center"/>
          </w:tcPr>
          <w:p w14:paraId="42A11BD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1BD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BD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shd w:val="clear" w:color="auto" w:fill="auto"/>
            <w:tcMar>
              <w:top w:w="40" w:type="dxa"/>
              <w:bottom w:w="40" w:type="dxa"/>
              <w:right w:w="40" w:type="dxa"/>
            </w:tcMar>
            <w:vAlign w:val="center"/>
          </w:tcPr>
          <w:p w14:paraId="42A11BD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BE7" w14:textId="77777777">
        <w:trPr>
          <w:jc w:val="center"/>
        </w:trPr>
        <w:tc>
          <w:tcPr>
            <w:tcW w:w="0" w:type="auto"/>
            <w:shd w:val="clear" w:color="auto" w:fill="CCEEFF"/>
            <w:tcMar>
              <w:top w:w="40" w:type="dxa"/>
              <w:left w:w="400" w:type="dxa"/>
              <w:bottom w:w="40" w:type="dxa"/>
              <w:right w:w="40" w:type="dxa"/>
            </w:tcMar>
            <w:vAlign w:val="center"/>
          </w:tcPr>
          <w:p w14:paraId="42A11BD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Unit counts at period end</w:t>
            </w:r>
          </w:p>
        </w:tc>
        <w:tc>
          <w:tcPr>
            <w:tcW w:w="0" w:type="auto"/>
            <w:shd w:val="clear" w:color="auto" w:fill="CCEEFF"/>
            <w:tcMar>
              <w:top w:w="40" w:type="dxa"/>
              <w:left w:w="40" w:type="dxa"/>
              <w:bottom w:w="40" w:type="dxa"/>
              <w:right w:w="40" w:type="dxa"/>
            </w:tcMar>
            <w:vAlign w:val="bottom"/>
          </w:tcPr>
          <w:p w14:paraId="42A11BD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BD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599</w:t>
            </w:r>
          </w:p>
        </w:tc>
        <w:tc>
          <w:tcPr>
            <w:tcW w:w="0" w:type="auto"/>
            <w:shd w:val="clear" w:color="auto" w:fill="CCEEFF"/>
            <w:vAlign w:val="bottom"/>
          </w:tcPr>
          <w:p w14:paraId="42A11BE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BE1" w14:textId="77777777" w:rsidR="00BB68E1" w:rsidRDefault="00BB68E1">
            <w:pPr>
              <w:jc w:val="right"/>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BE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599</w:t>
            </w:r>
          </w:p>
        </w:tc>
        <w:tc>
          <w:tcPr>
            <w:tcW w:w="0" w:type="auto"/>
            <w:shd w:val="clear" w:color="auto" w:fill="CCEEFF"/>
            <w:vAlign w:val="bottom"/>
          </w:tcPr>
          <w:p w14:paraId="42A11BE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BE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BE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597</w:t>
            </w:r>
          </w:p>
        </w:tc>
        <w:tc>
          <w:tcPr>
            <w:tcW w:w="0" w:type="auto"/>
            <w:shd w:val="clear" w:color="auto" w:fill="CCEEFF"/>
            <w:vAlign w:val="bottom"/>
          </w:tcPr>
          <w:p w14:paraId="42A11BE6" w14:textId="77777777" w:rsidR="00BB68E1" w:rsidRDefault="00BB68E1">
            <w:pPr>
              <w:textAlignment w:val="bottom"/>
              <w:rPr>
                <w:rFonts w:ascii="Times New Roman" w:hAnsi="Times New Roman"/>
                <w:sz w:val="20"/>
                <w:szCs w:val="20"/>
              </w:rPr>
            </w:pPr>
          </w:p>
        </w:tc>
      </w:tr>
      <w:tr w:rsidR="00BB68E1" w14:paraId="42A11BF2" w14:textId="77777777">
        <w:trPr>
          <w:jc w:val="center"/>
        </w:trPr>
        <w:tc>
          <w:tcPr>
            <w:tcW w:w="0" w:type="auto"/>
            <w:shd w:val="clear" w:color="auto" w:fill="auto"/>
            <w:tcMar>
              <w:top w:w="40" w:type="dxa"/>
              <w:left w:w="400" w:type="dxa"/>
              <w:bottom w:w="40" w:type="dxa"/>
              <w:right w:w="40" w:type="dxa"/>
            </w:tcMar>
            <w:vAlign w:val="center"/>
          </w:tcPr>
          <w:p w14:paraId="42A11BE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Retail square feet at period end</w:t>
            </w:r>
          </w:p>
        </w:tc>
        <w:tc>
          <w:tcPr>
            <w:tcW w:w="0" w:type="auto"/>
            <w:shd w:val="clear" w:color="auto" w:fill="auto"/>
            <w:tcMar>
              <w:top w:w="40" w:type="dxa"/>
              <w:left w:w="40" w:type="dxa"/>
              <w:bottom w:w="40" w:type="dxa"/>
              <w:right w:w="40" w:type="dxa"/>
            </w:tcMar>
            <w:vAlign w:val="bottom"/>
          </w:tcPr>
          <w:p w14:paraId="42A11BE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BE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80</w:t>
            </w:r>
          </w:p>
        </w:tc>
        <w:tc>
          <w:tcPr>
            <w:tcW w:w="0" w:type="auto"/>
            <w:shd w:val="clear" w:color="auto" w:fill="auto"/>
            <w:vAlign w:val="bottom"/>
          </w:tcPr>
          <w:p w14:paraId="42A11BE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BEC" w14:textId="77777777" w:rsidR="00BB68E1" w:rsidRDefault="00BB68E1">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2A11BE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80</w:t>
            </w:r>
          </w:p>
        </w:tc>
        <w:tc>
          <w:tcPr>
            <w:tcW w:w="0" w:type="auto"/>
            <w:shd w:val="clear" w:color="auto" w:fill="auto"/>
            <w:vAlign w:val="bottom"/>
          </w:tcPr>
          <w:p w14:paraId="42A11BE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BE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BF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80</w:t>
            </w:r>
          </w:p>
        </w:tc>
        <w:tc>
          <w:tcPr>
            <w:tcW w:w="0" w:type="auto"/>
            <w:shd w:val="clear" w:color="auto" w:fill="auto"/>
            <w:vAlign w:val="bottom"/>
          </w:tcPr>
          <w:p w14:paraId="42A11BF1" w14:textId="77777777" w:rsidR="00BB68E1" w:rsidRDefault="00BB68E1">
            <w:pPr>
              <w:textAlignment w:val="bottom"/>
              <w:rPr>
                <w:rFonts w:ascii="Times New Roman" w:hAnsi="Times New Roman"/>
                <w:sz w:val="20"/>
                <w:szCs w:val="20"/>
              </w:rPr>
            </w:pPr>
          </w:p>
        </w:tc>
      </w:tr>
      <w:tr w:rsidR="00BB68E1" w14:paraId="42A11BFA" w14:textId="77777777">
        <w:trPr>
          <w:jc w:val="center"/>
        </w:trPr>
        <w:tc>
          <w:tcPr>
            <w:tcW w:w="0" w:type="auto"/>
            <w:shd w:val="clear" w:color="auto" w:fill="CCEEFF"/>
            <w:tcMar>
              <w:top w:w="40" w:type="dxa"/>
              <w:left w:w="40" w:type="dxa"/>
              <w:bottom w:w="40" w:type="dxa"/>
              <w:right w:w="40" w:type="dxa"/>
            </w:tcMar>
            <w:vAlign w:val="bottom"/>
          </w:tcPr>
          <w:p w14:paraId="42A11BF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BF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BF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BF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BF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BF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BF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C02" w14:textId="77777777">
        <w:trPr>
          <w:jc w:val="center"/>
        </w:trPr>
        <w:tc>
          <w:tcPr>
            <w:tcW w:w="0" w:type="auto"/>
            <w:shd w:val="clear" w:color="auto" w:fill="auto"/>
            <w:tcMar>
              <w:top w:w="40" w:type="dxa"/>
              <w:left w:w="40" w:type="dxa"/>
              <w:bottom w:w="40" w:type="dxa"/>
              <w:right w:w="40" w:type="dxa"/>
            </w:tcMar>
            <w:vAlign w:val="center"/>
          </w:tcPr>
          <w:p w14:paraId="42A11BFB" w14:textId="77777777" w:rsidR="00BB68E1" w:rsidRDefault="005D2D5E">
            <w:pPr>
              <w:textAlignment w:val="center"/>
              <w:rPr>
                <w:rFonts w:ascii="Times New Roman" w:hAnsi="Times New Roman"/>
                <w:sz w:val="16"/>
                <w:szCs w:val="16"/>
              </w:rPr>
            </w:pPr>
            <w:r>
              <w:rPr>
                <w:rFonts w:ascii="Times New Roman" w:eastAsia="宋体" w:hAnsi="Times New Roman"/>
                <w:b/>
                <w:bCs/>
                <w:i/>
                <w:iCs/>
                <w:sz w:val="16"/>
                <w:szCs w:val="16"/>
              </w:rPr>
              <w:t xml:space="preserve">Excluding Fuel </w:t>
            </w:r>
            <w:r>
              <w:rPr>
                <w:rFonts w:ascii="Times New Roman" w:eastAsia="宋体" w:hAnsi="Times New Roman"/>
                <w:b/>
                <w:bCs/>
                <w:i/>
                <w:iCs/>
                <w:sz w:val="10"/>
                <w:szCs w:val="10"/>
              </w:rPr>
              <w:t>(1)</w:t>
            </w:r>
          </w:p>
        </w:tc>
        <w:tc>
          <w:tcPr>
            <w:tcW w:w="0" w:type="auto"/>
            <w:shd w:val="clear" w:color="auto" w:fill="auto"/>
            <w:tcMar>
              <w:top w:w="40" w:type="dxa"/>
              <w:left w:w="40" w:type="dxa"/>
              <w:bottom w:w="40" w:type="dxa"/>
              <w:right w:w="40" w:type="dxa"/>
            </w:tcMar>
            <w:vAlign w:val="bottom"/>
          </w:tcPr>
          <w:p w14:paraId="42A11BF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BF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BF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BF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C0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C0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C10" w14:textId="77777777">
        <w:trPr>
          <w:jc w:val="center"/>
        </w:trPr>
        <w:tc>
          <w:tcPr>
            <w:tcW w:w="0" w:type="auto"/>
            <w:shd w:val="clear" w:color="auto" w:fill="CCEEFF"/>
            <w:tcMar>
              <w:top w:w="40" w:type="dxa"/>
              <w:left w:w="400" w:type="dxa"/>
              <w:bottom w:w="40" w:type="dxa"/>
              <w:right w:w="40" w:type="dxa"/>
            </w:tcMar>
            <w:vAlign w:val="center"/>
          </w:tcPr>
          <w:p w14:paraId="42A11C0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CCEEFF"/>
            <w:tcMar>
              <w:top w:w="40" w:type="dxa"/>
              <w:left w:w="40" w:type="dxa"/>
              <w:bottom w:w="40" w:type="dxa"/>
              <w:right w:w="40" w:type="dxa"/>
            </w:tcMar>
            <w:vAlign w:val="bottom"/>
          </w:tcPr>
          <w:p w14:paraId="42A11C0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C0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C0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52,792</w:t>
            </w:r>
          </w:p>
        </w:tc>
        <w:tc>
          <w:tcPr>
            <w:tcW w:w="0" w:type="auto"/>
            <w:shd w:val="clear" w:color="auto" w:fill="CCEEFF"/>
            <w:vAlign w:val="bottom"/>
          </w:tcPr>
          <w:p w14:paraId="42A11C0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C0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C0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C0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52,332</w:t>
            </w:r>
          </w:p>
        </w:tc>
        <w:tc>
          <w:tcPr>
            <w:tcW w:w="0" w:type="auto"/>
            <w:shd w:val="clear" w:color="auto" w:fill="CCEEFF"/>
            <w:vAlign w:val="bottom"/>
          </w:tcPr>
          <w:p w14:paraId="42A11C0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C0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C0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C0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54,456</w:t>
            </w:r>
          </w:p>
        </w:tc>
        <w:tc>
          <w:tcPr>
            <w:tcW w:w="0" w:type="auto"/>
            <w:shd w:val="clear" w:color="auto" w:fill="CCEEFF"/>
            <w:vAlign w:val="bottom"/>
          </w:tcPr>
          <w:p w14:paraId="42A11C0F" w14:textId="77777777" w:rsidR="00BB68E1" w:rsidRDefault="00BB68E1">
            <w:pPr>
              <w:textAlignment w:val="bottom"/>
              <w:rPr>
                <w:rFonts w:ascii="Times New Roman" w:hAnsi="Times New Roman"/>
                <w:sz w:val="20"/>
                <w:szCs w:val="20"/>
              </w:rPr>
            </w:pPr>
          </w:p>
        </w:tc>
      </w:tr>
      <w:tr w:rsidR="00BB68E1" w14:paraId="42A11C1B" w14:textId="77777777">
        <w:trPr>
          <w:jc w:val="center"/>
        </w:trPr>
        <w:tc>
          <w:tcPr>
            <w:tcW w:w="0" w:type="auto"/>
            <w:shd w:val="clear" w:color="auto" w:fill="auto"/>
            <w:tcMar>
              <w:top w:w="40" w:type="dxa"/>
              <w:left w:w="400" w:type="dxa"/>
              <w:bottom w:w="40" w:type="dxa"/>
              <w:right w:w="40" w:type="dxa"/>
            </w:tcMar>
            <w:vAlign w:val="center"/>
          </w:tcPr>
          <w:p w14:paraId="42A11C1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shd w:val="clear" w:color="auto" w:fill="auto"/>
            <w:tcMar>
              <w:top w:w="40" w:type="dxa"/>
              <w:left w:w="40" w:type="dxa"/>
              <w:bottom w:w="40" w:type="dxa"/>
              <w:right w:w="40" w:type="dxa"/>
            </w:tcMar>
            <w:vAlign w:val="bottom"/>
          </w:tcPr>
          <w:p w14:paraId="42A11C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C1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0.9</w:t>
            </w:r>
          </w:p>
        </w:tc>
        <w:tc>
          <w:tcPr>
            <w:tcW w:w="0" w:type="auto"/>
            <w:shd w:val="clear" w:color="auto" w:fill="auto"/>
            <w:tcMar>
              <w:top w:w="40" w:type="dxa"/>
              <w:bottom w:w="40" w:type="dxa"/>
              <w:right w:w="40" w:type="dxa"/>
            </w:tcMar>
            <w:vAlign w:val="center"/>
          </w:tcPr>
          <w:p w14:paraId="42A11C1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C1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C1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(3.9</w:t>
            </w:r>
          </w:p>
        </w:tc>
        <w:tc>
          <w:tcPr>
            <w:tcW w:w="0" w:type="auto"/>
            <w:shd w:val="clear" w:color="auto" w:fill="auto"/>
            <w:tcMar>
              <w:top w:w="40" w:type="dxa"/>
              <w:bottom w:w="40" w:type="dxa"/>
              <w:right w:w="40" w:type="dxa"/>
            </w:tcMar>
            <w:vAlign w:val="center"/>
          </w:tcPr>
          <w:p w14:paraId="42A11C1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C1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C1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w:t>
            </w:r>
          </w:p>
        </w:tc>
        <w:tc>
          <w:tcPr>
            <w:tcW w:w="0" w:type="auto"/>
            <w:shd w:val="clear" w:color="auto" w:fill="auto"/>
            <w:tcMar>
              <w:top w:w="40" w:type="dxa"/>
              <w:bottom w:w="40" w:type="dxa"/>
              <w:right w:w="40" w:type="dxa"/>
            </w:tcMar>
            <w:vAlign w:val="center"/>
          </w:tcPr>
          <w:p w14:paraId="42A11C1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C29" w14:textId="77777777">
        <w:trPr>
          <w:jc w:val="center"/>
        </w:trPr>
        <w:tc>
          <w:tcPr>
            <w:tcW w:w="0" w:type="auto"/>
            <w:shd w:val="clear" w:color="auto" w:fill="CCEEFF"/>
            <w:tcMar>
              <w:top w:w="40" w:type="dxa"/>
              <w:left w:w="400" w:type="dxa"/>
              <w:bottom w:w="40" w:type="dxa"/>
              <w:right w:w="40" w:type="dxa"/>
            </w:tcMar>
            <w:vAlign w:val="center"/>
          </w:tcPr>
          <w:p w14:paraId="42A11C1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CCEEFF"/>
            <w:tcMar>
              <w:top w:w="40" w:type="dxa"/>
              <w:left w:w="40" w:type="dxa"/>
              <w:bottom w:w="40" w:type="dxa"/>
              <w:right w:w="40" w:type="dxa"/>
            </w:tcMar>
            <w:vAlign w:val="bottom"/>
          </w:tcPr>
          <w:p w14:paraId="42A11C1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C1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C1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1,486</w:t>
            </w:r>
          </w:p>
        </w:tc>
        <w:tc>
          <w:tcPr>
            <w:tcW w:w="0" w:type="auto"/>
            <w:shd w:val="clear" w:color="auto" w:fill="CCEEFF"/>
            <w:vAlign w:val="bottom"/>
          </w:tcPr>
          <w:p w14:paraId="42A11C2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C2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C2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C2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1,383</w:t>
            </w:r>
          </w:p>
        </w:tc>
        <w:tc>
          <w:tcPr>
            <w:tcW w:w="0" w:type="auto"/>
            <w:shd w:val="clear" w:color="auto" w:fill="CCEEFF"/>
            <w:vAlign w:val="bottom"/>
          </w:tcPr>
          <w:p w14:paraId="42A11C2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C2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C2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C2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797</w:t>
            </w:r>
          </w:p>
        </w:tc>
        <w:tc>
          <w:tcPr>
            <w:tcW w:w="0" w:type="auto"/>
            <w:shd w:val="clear" w:color="auto" w:fill="CCEEFF"/>
            <w:vAlign w:val="bottom"/>
          </w:tcPr>
          <w:p w14:paraId="42A11C28" w14:textId="77777777" w:rsidR="00BB68E1" w:rsidRDefault="00BB68E1">
            <w:pPr>
              <w:textAlignment w:val="bottom"/>
              <w:rPr>
                <w:rFonts w:ascii="Times New Roman" w:hAnsi="Times New Roman"/>
                <w:sz w:val="20"/>
                <w:szCs w:val="20"/>
              </w:rPr>
            </w:pPr>
          </w:p>
        </w:tc>
      </w:tr>
      <w:tr w:rsidR="00BB68E1" w14:paraId="42A11C34" w14:textId="77777777">
        <w:trPr>
          <w:jc w:val="center"/>
        </w:trPr>
        <w:tc>
          <w:tcPr>
            <w:tcW w:w="0" w:type="auto"/>
            <w:shd w:val="clear" w:color="auto" w:fill="auto"/>
            <w:tcMar>
              <w:top w:w="40" w:type="dxa"/>
              <w:left w:w="400" w:type="dxa"/>
              <w:bottom w:w="40" w:type="dxa"/>
              <w:right w:w="40" w:type="dxa"/>
            </w:tcMar>
            <w:vAlign w:val="center"/>
          </w:tcPr>
          <w:p w14:paraId="42A11C2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income as a percentage of net sales</w:t>
            </w:r>
          </w:p>
        </w:tc>
        <w:tc>
          <w:tcPr>
            <w:tcW w:w="0" w:type="auto"/>
            <w:shd w:val="clear" w:color="auto" w:fill="auto"/>
            <w:tcMar>
              <w:top w:w="40" w:type="dxa"/>
              <w:left w:w="40" w:type="dxa"/>
              <w:bottom w:w="40" w:type="dxa"/>
              <w:right w:w="40" w:type="dxa"/>
            </w:tcMar>
            <w:vAlign w:val="bottom"/>
          </w:tcPr>
          <w:p w14:paraId="42A11C2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C2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auto"/>
            <w:tcMar>
              <w:top w:w="40" w:type="dxa"/>
              <w:bottom w:w="40" w:type="dxa"/>
              <w:right w:w="40" w:type="dxa"/>
            </w:tcMar>
            <w:vAlign w:val="center"/>
          </w:tcPr>
          <w:p w14:paraId="42A11C2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C2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C2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w:t>
            </w:r>
          </w:p>
        </w:tc>
        <w:tc>
          <w:tcPr>
            <w:tcW w:w="0" w:type="auto"/>
            <w:shd w:val="clear" w:color="auto" w:fill="auto"/>
            <w:tcMar>
              <w:top w:w="40" w:type="dxa"/>
              <w:bottom w:w="40" w:type="dxa"/>
              <w:right w:w="40" w:type="dxa"/>
            </w:tcMar>
            <w:vAlign w:val="center"/>
          </w:tcPr>
          <w:p w14:paraId="42A11C3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1C3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C3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shd w:val="clear" w:color="auto" w:fill="auto"/>
            <w:tcMar>
              <w:top w:w="40" w:type="dxa"/>
              <w:bottom w:w="40" w:type="dxa"/>
              <w:right w:w="40" w:type="dxa"/>
            </w:tcMar>
            <w:vAlign w:val="center"/>
          </w:tcPr>
          <w:p w14:paraId="42A11C3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bl>
    <w:p w14:paraId="42A11C35" w14:textId="77777777" w:rsidR="00BB68E1" w:rsidRDefault="005D2D5E">
      <w:pPr>
        <w:spacing w:line="288" w:lineRule="auto"/>
        <w:ind w:hanging="360"/>
        <w:rPr>
          <w:rFonts w:ascii="Times New Roman" w:hAnsi="Times New Roman"/>
          <w:sz w:val="16"/>
          <w:szCs w:val="16"/>
        </w:rPr>
      </w:pPr>
      <w:r>
        <w:rPr>
          <w:rFonts w:ascii="Times New Roman" w:eastAsia="宋体" w:hAnsi="Times New Roman"/>
          <w:sz w:val="16"/>
          <w:szCs w:val="16"/>
        </w:rPr>
        <w:t>(1) We believe the "Excluding Fuel" information is useful to investors because it permits investors to understand the effect of the Sam's Club segment's fuel sales on its results of operations, which are impacted by the volatility of fuel prices. Volatilit</w:t>
      </w:r>
      <w:r>
        <w:rPr>
          <w:rFonts w:ascii="Times New Roman" w:eastAsia="宋体" w:hAnsi="Times New Roman"/>
          <w:sz w:val="16"/>
          <w:szCs w:val="16"/>
        </w:rPr>
        <w:t xml:space="preserve">y in fuel prices may continue to impact the operating results of the Sam's Club segment in the future. Management uses such information to better measure underlying operating results in the segment. </w:t>
      </w:r>
    </w:p>
    <w:p w14:paraId="42A11C36" w14:textId="77777777" w:rsidR="00BB68E1" w:rsidRDefault="00BB68E1">
      <w:pPr>
        <w:rPr>
          <w:rFonts w:ascii="Times New Roman" w:hAnsi="Times New Roman"/>
          <w:sz w:val="20"/>
          <w:szCs w:val="20"/>
        </w:rPr>
      </w:pPr>
    </w:p>
    <w:p w14:paraId="42A11C37"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37</w:t>
      </w:r>
    </w:p>
    <w:p w14:paraId="42A11C38" w14:textId="77777777" w:rsidR="00BB68E1" w:rsidRDefault="00BB68E1">
      <w:pPr>
        <w:spacing w:line="288" w:lineRule="auto"/>
        <w:jc w:val="center"/>
        <w:rPr>
          <w:rFonts w:ascii="Times New Roman" w:hAnsi="Times New Roman"/>
          <w:sz w:val="20"/>
          <w:szCs w:val="20"/>
        </w:rPr>
      </w:pPr>
    </w:p>
    <w:p w14:paraId="42A11C39" w14:textId="77777777" w:rsidR="00BB68E1" w:rsidRDefault="005D2D5E">
      <w:r>
        <w:rPr>
          <w:rFonts w:ascii="Times New Roman" w:hAnsi="Times New Roman"/>
          <w:sz w:val="20"/>
          <w:szCs w:val="20"/>
        </w:rPr>
        <w:pict w14:anchorId="42A1429C">
          <v:rect id="_x0000_i1061" style="width:415.3pt;height:1.5pt" o:hralign="center" o:hrstd="t" o:hr="t" fillcolor="#a0a0a0" stroked="f"/>
        </w:pict>
      </w:r>
    </w:p>
    <w:p w14:paraId="42A11C3A" w14:textId="77777777" w:rsidR="00BB68E1" w:rsidRDefault="00BB68E1">
      <w:pPr>
        <w:spacing w:line="288" w:lineRule="auto"/>
        <w:rPr>
          <w:rFonts w:ascii="Times New Roman" w:hAnsi="Times New Roman"/>
          <w:sz w:val="20"/>
          <w:szCs w:val="20"/>
        </w:rPr>
      </w:pPr>
    </w:p>
    <w:p w14:paraId="42A11C3B" w14:textId="77777777" w:rsidR="00BB68E1" w:rsidRDefault="00BB68E1">
      <w:pPr>
        <w:rPr>
          <w:rFonts w:ascii="Times New Roman" w:hAnsi="Times New Roman"/>
          <w:sz w:val="20"/>
          <w:szCs w:val="20"/>
        </w:rPr>
      </w:pPr>
    </w:p>
    <w:p w14:paraId="42A11C3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Net sales for the Sam's Club segment </w:t>
      </w:r>
      <w:r>
        <w:rPr>
          <w:rFonts w:ascii="Times New Roman" w:eastAsia="宋体" w:hAnsi="Times New Roman"/>
          <w:sz w:val="20"/>
          <w:szCs w:val="20"/>
        </w:rPr>
        <w:t>increased $1.0 billion or 1.6% for fiscal 2020 and decreased $1.4 billion or 2.3% for fiscal 2019, when compared to the previous fiscal year. For fiscal 2020, the increases were primarily due to comparable sales, including fuel, of 1.6%. Comparable sales b</w:t>
      </w:r>
      <w:r>
        <w:rPr>
          <w:rFonts w:ascii="Times New Roman" w:eastAsia="宋体" w:hAnsi="Times New Roman"/>
          <w:sz w:val="20"/>
          <w:szCs w:val="20"/>
        </w:rPr>
        <w:t>enefited from growth in transactions and higher fuel sales, which were partially offset by lower ticket due to our decision to remove tobacco from certain club locations. Sam's Club eCommerce sales positively contributed approximately 1.5% to comparable sa</w:t>
      </w:r>
      <w:r>
        <w:rPr>
          <w:rFonts w:ascii="Times New Roman" w:eastAsia="宋体" w:hAnsi="Times New Roman"/>
          <w:sz w:val="20"/>
          <w:szCs w:val="20"/>
        </w:rPr>
        <w:t xml:space="preserve">les. For fiscal 2019, the decrease was primarily due to </w:t>
      </w:r>
      <w:r>
        <w:rPr>
          <w:rFonts w:ascii="Times New Roman" w:eastAsia="宋体" w:hAnsi="Times New Roman"/>
          <w:sz w:val="20"/>
          <w:szCs w:val="20"/>
        </w:rPr>
        <w:lastRenderedPageBreak/>
        <w:t>a $4.5 billion decrease in net sales resulting from the net closure of 63 clubs during fiscal 2018, as well as reduced tobacco sales due to our decision to remove tobacco from certain locations. These</w:t>
      </w:r>
      <w:r>
        <w:rPr>
          <w:rFonts w:ascii="Times New Roman" w:eastAsia="宋体" w:hAnsi="Times New Roman"/>
          <w:sz w:val="20"/>
          <w:szCs w:val="20"/>
        </w:rPr>
        <w:t xml:space="preserve"> decreases were partially offset by increases in comparable sales, which were benefited by transfers of sales from our closed clubs to our existing clubs. Sam's Club eCommerce sales positively contributed approximately 0.9% to comparable sales for fiscal 2</w:t>
      </w:r>
      <w:r>
        <w:rPr>
          <w:rFonts w:ascii="Times New Roman" w:eastAsia="宋体" w:hAnsi="Times New Roman"/>
          <w:sz w:val="20"/>
          <w:szCs w:val="20"/>
        </w:rPr>
        <w:t>019. Additional fuel sales of $0.7 billion partially offset the decreases in net sales for fiscal 2019.</w:t>
      </w:r>
    </w:p>
    <w:p w14:paraId="42A11C3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Gross profit rate decreased 11 basis points for fiscal 2020 and remained relatively flat for fiscal 2019, when compared to the previous fiscal year. The</w:t>
      </w:r>
      <w:r>
        <w:rPr>
          <w:rFonts w:ascii="Times New Roman" w:eastAsia="宋体" w:hAnsi="Times New Roman"/>
          <w:sz w:val="20"/>
          <w:szCs w:val="20"/>
        </w:rPr>
        <w:t xml:space="preserve"> gross profit rate decreased due to investments in price and higher eCommerce fulfillment costs, partially offset by reduced tobacco sales, which have lower margins. For fiscal </w:t>
      </w:r>
      <w:r>
        <w:rPr>
          <w:rFonts w:ascii="Times New Roman" w:eastAsia="宋体" w:hAnsi="Times New Roman"/>
          <w:sz w:val="20"/>
          <w:szCs w:val="20"/>
          <w:shd w:val="clear" w:color="auto" w:fill="FFFFFF"/>
        </w:rPr>
        <w:t>2019</w:t>
      </w:r>
      <w:r>
        <w:rPr>
          <w:rFonts w:ascii="Times New Roman" w:eastAsia="宋体" w:hAnsi="Times New Roman"/>
          <w:sz w:val="20"/>
          <w:szCs w:val="20"/>
        </w:rPr>
        <w:t>, gross profit rate was benefited by lapping the impact of markdowns to liq</w:t>
      </w:r>
      <w:r>
        <w:rPr>
          <w:rFonts w:ascii="Times New Roman" w:eastAsia="宋体" w:hAnsi="Times New Roman"/>
          <w:sz w:val="20"/>
          <w:szCs w:val="20"/>
        </w:rPr>
        <w:t xml:space="preserve">uidate inventory related to club closures in fiscal 2018 and decreased tobacco sales in fiscal 2019. This benefit to the gross profit rate was offset by higher transportation costs and eCommerce shipping costs, investments in price and increased shrink in </w:t>
      </w:r>
      <w:r>
        <w:rPr>
          <w:rFonts w:ascii="Times New Roman" w:eastAsia="宋体" w:hAnsi="Times New Roman"/>
          <w:sz w:val="20"/>
          <w:szCs w:val="20"/>
        </w:rPr>
        <w:t>fiscal 2019.</w:t>
      </w:r>
    </w:p>
    <w:p w14:paraId="42A11C3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Membership and other income increased 4.7% and 2.6% for fiscal 2020 and 2019, respectively, when compared to the previous fiscal year. For fiscal 2020, the increase was primarily due to growth in total members, which benefited from higher over</w:t>
      </w:r>
      <w:r>
        <w:rPr>
          <w:rFonts w:ascii="Times New Roman" w:eastAsia="宋体" w:hAnsi="Times New Roman"/>
          <w:sz w:val="20"/>
          <w:szCs w:val="20"/>
        </w:rPr>
        <w:t>all renewal rates and higher Plus Member penetration along with gains on property sales and other income. For fiscal 2019, the increase was due to an increase of 1.5% in membership income resulting from increased Plus Member penetration and gains on proper</w:t>
      </w:r>
      <w:r>
        <w:rPr>
          <w:rFonts w:ascii="Times New Roman" w:eastAsia="宋体" w:hAnsi="Times New Roman"/>
          <w:sz w:val="20"/>
          <w:szCs w:val="20"/>
        </w:rPr>
        <w:t>ty sales. These increases were partially offset by lower recycling income when compared to the previous fiscal year.</w:t>
      </w:r>
    </w:p>
    <w:p w14:paraId="42A11C3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Operating expenses as a percentage of segment net sales decreased 19 and 99 basis points for fiscal 2020 and 2019, </w:t>
      </w:r>
      <w:r>
        <w:rPr>
          <w:rFonts w:ascii="Times New Roman" w:eastAsia="宋体" w:hAnsi="Times New Roman"/>
          <w:sz w:val="20"/>
          <w:szCs w:val="20"/>
        </w:rPr>
        <w:t>respectively, when compared to the previous fiscal year. For fiscal 2020, the decrease was primarily the result of lower labor-related costs and a charge of approximately $50 million related to lease exit costs in the prior comparable period. These benefit</w:t>
      </w:r>
      <w:r>
        <w:rPr>
          <w:rFonts w:ascii="Times New Roman" w:eastAsia="宋体" w:hAnsi="Times New Roman"/>
          <w:sz w:val="20"/>
          <w:szCs w:val="20"/>
        </w:rPr>
        <w:t xml:space="preserve">s were partially offset by a reduction in sales of tobacco and a higher level of technology investment. For fiscal 2019, the decrease in operating expenses as a percentage of segment net sales was primarily due to a charge of approximately $0.6 billion in </w:t>
      </w:r>
      <w:r>
        <w:rPr>
          <w:rFonts w:ascii="Times New Roman" w:eastAsia="宋体" w:hAnsi="Times New Roman"/>
          <w:sz w:val="20"/>
          <w:szCs w:val="20"/>
        </w:rPr>
        <w:t>the prior year's comparable period related to club closures and discontinued real estate projects.</w:t>
      </w:r>
    </w:p>
    <w:p w14:paraId="42A11C4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As a result of the factors discussed above, segment operating income increased $122 million for fiscal </w:t>
      </w:r>
      <w:r>
        <w:rPr>
          <w:rFonts w:ascii="Times New Roman" w:eastAsia="宋体" w:hAnsi="Times New Roman"/>
          <w:sz w:val="20"/>
          <w:szCs w:val="20"/>
          <w:shd w:val="clear" w:color="auto" w:fill="FFFFFF"/>
        </w:rPr>
        <w:t>2020</w:t>
      </w:r>
      <w:r>
        <w:rPr>
          <w:rFonts w:ascii="Times New Roman" w:eastAsia="宋体" w:hAnsi="Times New Roman"/>
          <w:sz w:val="20"/>
          <w:szCs w:val="20"/>
        </w:rPr>
        <w:t xml:space="preserve"> and increased $605 million f</w:t>
      </w:r>
      <w:r>
        <w:rPr>
          <w:rFonts w:ascii="Times New Roman" w:eastAsia="宋体" w:hAnsi="Times New Roman"/>
          <w:sz w:val="20"/>
          <w:szCs w:val="20"/>
          <w:shd w:val="clear" w:color="auto" w:fill="FFFFFF"/>
        </w:rPr>
        <w:t>or fiscal</w:t>
      </w:r>
      <w:r>
        <w:rPr>
          <w:rFonts w:ascii="Times New Roman" w:eastAsia="宋体" w:hAnsi="Times New Roman"/>
          <w:sz w:val="20"/>
          <w:szCs w:val="20"/>
        </w:rPr>
        <w:t xml:space="preserve"> 2019, when </w:t>
      </w:r>
      <w:r>
        <w:rPr>
          <w:rFonts w:ascii="Times New Roman" w:eastAsia="宋体" w:hAnsi="Times New Roman"/>
          <w:sz w:val="20"/>
          <w:szCs w:val="20"/>
        </w:rPr>
        <w:t>compared to the previous fiscal year.</w:t>
      </w:r>
    </w:p>
    <w:p w14:paraId="42A11C41"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Liquidity and Capital Resources</w:t>
      </w:r>
    </w:p>
    <w:p w14:paraId="42A11C42"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Liquidity</w:t>
      </w:r>
    </w:p>
    <w:p w14:paraId="42A11C4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strength and stability of our operations have historically supplied us with a significant source of liquidity. Our cash flows provided by operating activities, supplemented</w:t>
      </w:r>
      <w:r>
        <w:rPr>
          <w:rFonts w:ascii="Times New Roman" w:eastAsia="宋体" w:hAnsi="Times New Roman"/>
          <w:sz w:val="20"/>
          <w:szCs w:val="20"/>
        </w:rPr>
        <w:t xml:space="preserve"> with our long-term debt and short-term borrowings, have been sufficient to fund our operations while allowing us to invest in activities that support the long-term growth of our operations. Generally, some or all of the remaining available cash flow has b</w:t>
      </w:r>
      <w:r>
        <w:rPr>
          <w:rFonts w:ascii="Times New Roman" w:eastAsia="宋体" w:hAnsi="Times New Roman"/>
          <w:sz w:val="20"/>
          <w:szCs w:val="20"/>
        </w:rPr>
        <w:t xml:space="preserve">een used to fund dividends on our common stock and share repurchases. We believe our sources of liquidity will continue to be adequate to fund operations, finance our global investment and expansion activities, pay dividends and fund our share repurchases </w:t>
      </w:r>
      <w:r>
        <w:rPr>
          <w:rFonts w:ascii="Times New Roman" w:eastAsia="宋体" w:hAnsi="Times New Roman"/>
          <w:sz w:val="20"/>
          <w:szCs w:val="20"/>
        </w:rPr>
        <w:t>for the foreseeable future.</w:t>
      </w:r>
    </w:p>
    <w:p w14:paraId="42A11C44"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Net Cash Provided by Operating Activities</w:t>
      </w:r>
    </w:p>
    <w:tbl>
      <w:tblPr>
        <w:tblW w:w="5000" w:type="pct"/>
        <w:jc w:val="center"/>
        <w:tblCellMar>
          <w:left w:w="0" w:type="dxa"/>
          <w:right w:w="0" w:type="dxa"/>
        </w:tblCellMar>
        <w:tblLook w:val="04A0" w:firstRow="1" w:lastRow="0" w:firstColumn="1" w:lastColumn="0" w:noHBand="0" w:noVBand="1"/>
      </w:tblPr>
      <w:tblGrid>
        <w:gridCol w:w="5030"/>
        <w:gridCol w:w="130"/>
        <w:gridCol w:w="120"/>
        <w:gridCol w:w="795"/>
        <w:gridCol w:w="47"/>
        <w:gridCol w:w="130"/>
        <w:gridCol w:w="120"/>
        <w:gridCol w:w="795"/>
        <w:gridCol w:w="47"/>
        <w:gridCol w:w="130"/>
        <w:gridCol w:w="120"/>
        <w:gridCol w:w="795"/>
        <w:gridCol w:w="47"/>
      </w:tblGrid>
      <w:tr w:rsidR="00BB68E1" w14:paraId="42A11C46" w14:textId="77777777">
        <w:trPr>
          <w:jc w:val="center"/>
        </w:trPr>
        <w:tc>
          <w:tcPr>
            <w:tcW w:w="0" w:type="auto"/>
            <w:gridSpan w:val="13"/>
            <w:shd w:val="clear" w:color="auto" w:fill="auto"/>
            <w:vAlign w:val="center"/>
          </w:tcPr>
          <w:p w14:paraId="42A11C45" w14:textId="77777777" w:rsidR="00BB68E1" w:rsidRDefault="00BB68E1">
            <w:pPr>
              <w:rPr>
                <w:rFonts w:ascii="Times New Roman" w:hAnsi="Times New Roman"/>
                <w:sz w:val="20"/>
                <w:szCs w:val="20"/>
              </w:rPr>
            </w:pPr>
          </w:p>
        </w:tc>
      </w:tr>
      <w:tr w:rsidR="00BB68E1" w14:paraId="42A11C54" w14:textId="77777777">
        <w:trPr>
          <w:jc w:val="center"/>
        </w:trPr>
        <w:tc>
          <w:tcPr>
            <w:tcW w:w="3050" w:type="pct"/>
            <w:shd w:val="clear" w:color="auto" w:fill="auto"/>
            <w:vAlign w:val="center"/>
          </w:tcPr>
          <w:p w14:paraId="42A11C47" w14:textId="77777777" w:rsidR="00BB68E1" w:rsidRDefault="00BB68E1">
            <w:pPr>
              <w:rPr>
                <w:rFonts w:ascii="Times New Roman" w:hAnsi="Times New Roman"/>
                <w:sz w:val="20"/>
                <w:szCs w:val="20"/>
              </w:rPr>
            </w:pPr>
          </w:p>
        </w:tc>
        <w:tc>
          <w:tcPr>
            <w:tcW w:w="50" w:type="pct"/>
            <w:shd w:val="clear" w:color="auto" w:fill="auto"/>
            <w:vAlign w:val="center"/>
          </w:tcPr>
          <w:p w14:paraId="42A11C48" w14:textId="77777777" w:rsidR="00BB68E1" w:rsidRDefault="00BB68E1">
            <w:pPr>
              <w:rPr>
                <w:rFonts w:ascii="Times New Roman" w:hAnsi="Times New Roman"/>
                <w:sz w:val="20"/>
                <w:szCs w:val="20"/>
              </w:rPr>
            </w:pPr>
          </w:p>
        </w:tc>
        <w:tc>
          <w:tcPr>
            <w:tcW w:w="50" w:type="pct"/>
            <w:shd w:val="clear" w:color="auto" w:fill="auto"/>
            <w:vAlign w:val="center"/>
          </w:tcPr>
          <w:p w14:paraId="42A11C49" w14:textId="77777777" w:rsidR="00BB68E1" w:rsidRDefault="00BB68E1">
            <w:pPr>
              <w:rPr>
                <w:rFonts w:ascii="Times New Roman" w:hAnsi="Times New Roman"/>
                <w:sz w:val="20"/>
                <w:szCs w:val="20"/>
              </w:rPr>
            </w:pPr>
          </w:p>
        </w:tc>
        <w:tc>
          <w:tcPr>
            <w:tcW w:w="500" w:type="pct"/>
            <w:shd w:val="clear" w:color="auto" w:fill="auto"/>
            <w:vAlign w:val="center"/>
          </w:tcPr>
          <w:p w14:paraId="42A11C4A" w14:textId="77777777" w:rsidR="00BB68E1" w:rsidRDefault="00BB68E1">
            <w:pPr>
              <w:rPr>
                <w:rFonts w:ascii="Times New Roman" w:hAnsi="Times New Roman"/>
                <w:sz w:val="20"/>
                <w:szCs w:val="20"/>
              </w:rPr>
            </w:pPr>
          </w:p>
        </w:tc>
        <w:tc>
          <w:tcPr>
            <w:tcW w:w="50" w:type="pct"/>
            <w:shd w:val="clear" w:color="auto" w:fill="auto"/>
            <w:vAlign w:val="center"/>
          </w:tcPr>
          <w:p w14:paraId="42A11C4B" w14:textId="77777777" w:rsidR="00BB68E1" w:rsidRDefault="00BB68E1">
            <w:pPr>
              <w:rPr>
                <w:rFonts w:ascii="Times New Roman" w:hAnsi="Times New Roman"/>
                <w:sz w:val="20"/>
                <w:szCs w:val="20"/>
              </w:rPr>
            </w:pPr>
          </w:p>
        </w:tc>
        <w:tc>
          <w:tcPr>
            <w:tcW w:w="50" w:type="pct"/>
            <w:shd w:val="clear" w:color="auto" w:fill="auto"/>
            <w:vAlign w:val="center"/>
          </w:tcPr>
          <w:p w14:paraId="42A11C4C" w14:textId="77777777" w:rsidR="00BB68E1" w:rsidRDefault="00BB68E1">
            <w:pPr>
              <w:rPr>
                <w:rFonts w:ascii="Times New Roman" w:hAnsi="Times New Roman"/>
                <w:sz w:val="20"/>
                <w:szCs w:val="20"/>
              </w:rPr>
            </w:pPr>
          </w:p>
        </w:tc>
        <w:tc>
          <w:tcPr>
            <w:tcW w:w="50" w:type="pct"/>
            <w:shd w:val="clear" w:color="auto" w:fill="auto"/>
            <w:vAlign w:val="center"/>
          </w:tcPr>
          <w:p w14:paraId="42A11C4D" w14:textId="77777777" w:rsidR="00BB68E1" w:rsidRDefault="00BB68E1">
            <w:pPr>
              <w:rPr>
                <w:rFonts w:ascii="Times New Roman" w:hAnsi="Times New Roman"/>
                <w:sz w:val="20"/>
                <w:szCs w:val="20"/>
              </w:rPr>
            </w:pPr>
          </w:p>
        </w:tc>
        <w:tc>
          <w:tcPr>
            <w:tcW w:w="500" w:type="pct"/>
            <w:shd w:val="clear" w:color="auto" w:fill="auto"/>
            <w:vAlign w:val="center"/>
          </w:tcPr>
          <w:p w14:paraId="42A11C4E" w14:textId="77777777" w:rsidR="00BB68E1" w:rsidRDefault="00BB68E1">
            <w:pPr>
              <w:rPr>
                <w:rFonts w:ascii="Times New Roman" w:hAnsi="Times New Roman"/>
                <w:sz w:val="20"/>
                <w:szCs w:val="20"/>
              </w:rPr>
            </w:pPr>
          </w:p>
        </w:tc>
        <w:tc>
          <w:tcPr>
            <w:tcW w:w="50" w:type="pct"/>
            <w:shd w:val="clear" w:color="auto" w:fill="auto"/>
            <w:vAlign w:val="center"/>
          </w:tcPr>
          <w:p w14:paraId="42A11C4F" w14:textId="77777777" w:rsidR="00BB68E1" w:rsidRDefault="00BB68E1">
            <w:pPr>
              <w:rPr>
                <w:rFonts w:ascii="Times New Roman" w:hAnsi="Times New Roman"/>
                <w:sz w:val="20"/>
                <w:szCs w:val="20"/>
              </w:rPr>
            </w:pPr>
          </w:p>
        </w:tc>
        <w:tc>
          <w:tcPr>
            <w:tcW w:w="50" w:type="pct"/>
            <w:shd w:val="clear" w:color="auto" w:fill="auto"/>
            <w:vAlign w:val="center"/>
          </w:tcPr>
          <w:p w14:paraId="42A11C50" w14:textId="77777777" w:rsidR="00BB68E1" w:rsidRDefault="00BB68E1">
            <w:pPr>
              <w:rPr>
                <w:rFonts w:ascii="Times New Roman" w:hAnsi="Times New Roman"/>
                <w:sz w:val="20"/>
                <w:szCs w:val="20"/>
              </w:rPr>
            </w:pPr>
          </w:p>
        </w:tc>
        <w:tc>
          <w:tcPr>
            <w:tcW w:w="50" w:type="pct"/>
            <w:shd w:val="clear" w:color="auto" w:fill="auto"/>
            <w:vAlign w:val="center"/>
          </w:tcPr>
          <w:p w14:paraId="42A11C51" w14:textId="77777777" w:rsidR="00BB68E1" w:rsidRDefault="00BB68E1">
            <w:pPr>
              <w:rPr>
                <w:rFonts w:ascii="Times New Roman" w:hAnsi="Times New Roman"/>
                <w:sz w:val="20"/>
                <w:szCs w:val="20"/>
              </w:rPr>
            </w:pPr>
          </w:p>
        </w:tc>
        <w:tc>
          <w:tcPr>
            <w:tcW w:w="500" w:type="pct"/>
            <w:shd w:val="clear" w:color="auto" w:fill="auto"/>
            <w:vAlign w:val="center"/>
          </w:tcPr>
          <w:p w14:paraId="42A11C52" w14:textId="77777777" w:rsidR="00BB68E1" w:rsidRDefault="00BB68E1">
            <w:pPr>
              <w:rPr>
                <w:rFonts w:ascii="Times New Roman" w:hAnsi="Times New Roman"/>
                <w:sz w:val="20"/>
                <w:szCs w:val="20"/>
              </w:rPr>
            </w:pPr>
          </w:p>
        </w:tc>
        <w:tc>
          <w:tcPr>
            <w:tcW w:w="50" w:type="pct"/>
            <w:shd w:val="clear" w:color="auto" w:fill="auto"/>
            <w:vAlign w:val="center"/>
          </w:tcPr>
          <w:p w14:paraId="42A11C53" w14:textId="77777777" w:rsidR="00BB68E1" w:rsidRDefault="00BB68E1">
            <w:pPr>
              <w:rPr>
                <w:rFonts w:ascii="Times New Roman" w:hAnsi="Times New Roman"/>
                <w:sz w:val="20"/>
                <w:szCs w:val="20"/>
              </w:rPr>
            </w:pPr>
          </w:p>
        </w:tc>
      </w:tr>
      <w:tr w:rsidR="00BB68E1" w14:paraId="42A11C58" w14:textId="77777777">
        <w:trPr>
          <w:jc w:val="center"/>
        </w:trPr>
        <w:tc>
          <w:tcPr>
            <w:tcW w:w="0" w:type="auto"/>
            <w:shd w:val="clear" w:color="auto" w:fill="auto"/>
            <w:tcMar>
              <w:top w:w="40" w:type="dxa"/>
              <w:left w:w="40" w:type="dxa"/>
              <w:bottom w:w="40" w:type="dxa"/>
              <w:right w:w="40" w:type="dxa"/>
            </w:tcMar>
            <w:vAlign w:val="bottom"/>
          </w:tcPr>
          <w:p w14:paraId="42A11C5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C5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1C5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1C60" w14:textId="77777777">
        <w:trPr>
          <w:jc w:val="center"/>
        </w:trPr>
        <w:tc>
          <w:tcPr>
            <w:tcW w:w="0" w:type="auto"/>
            <w:shd w:val="clear" w:color="auto" w:fill="auto"/>
            <w:tcMar>
              <w:top w:w="40" w:type="dxa"/>
              <w:left w:w="40" w:type="dxa"/>
              <w:bottom w:w="40" w:type="dxa"/>
              <w:right w:w="40" w:type="dxa"/>
            </w:tcMar>
            <w:vAlign w:val="center"/>
          </w:tcPr>
          <w:p w14:paraId="42A11C59" w14:textId="77777777" w:rsidR="00BB68E1" w:rsidRDefault="005D2D5E">
            <w:pPr>
              <w:textAlignment w:val="center"/>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1C5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C5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2A11C5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C5D"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42A11C5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C5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1C6E" w14:textId="77777777">
        <w:trPr>
          <w:jc w:val="center"/>
        </w:trPr>
        <w:tc>
          <w:tcPr>
            <w:tcW w:w="0" w:type="auto"/>
            <w:shd w:val="clear" w:color="auto" w:fill="CCEEFF"/>
            <w:tcMar>
              <w:top w:w="40" w:type="dxa"/>
              <w:left w:w="40" w:type="dxa"/>
              <w:bottom w:w="40" w:type="dxa"/>
              <w:right w:w="40" w:type="dxa"/>
            </w:tcMar>
            <w:vAlign w:val="center"/>
          </w:tcPr>
          <w:p w14:paraId="42A11C6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cash provided by operating activities</w:t>
            </w:r>
          </w:p>
        </w:tc>
        <w:tc>
          <w:tcPr>
            <w:tcW w:w="0" w:type="auto"/>
            <w:shd w:val="clear" w:color="auto" w:fill="CCEEFF"/>
            <w:tcMar>
              <w:top w:w="40" w:type="dxa"/>
              <w:left w:w="40" w:type="dxa"/>
              <w:bottom w:w="40" w:type="dxa"/>
              <w:right w:w="40" w:type="dxa"/>
            </w:tcMar>
            <w:vAlign w:val="bottom"/>
          </w:tcPr>
          <w:p w14:paraId="42A11C6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C6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C6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25,255</w:t>
            </w:r>
          </w:p>
        </w:tc>
        <w:tc>
          <w:tcPr>
            <w:tcW w:w="0" w:type="auto"/>
            <w:tcBorders>
              <w:top w:val="single" w:sz="8" w:space="0" w:color="000000"/>
            </w:tcBorders>
            <w:shd w:val="clear" w:color="auto" w:fill="CCEEFF"/>
            <w:vAlign w:val="bottom"/>
          </w:tcPr>
          <w:p w14:paraId="42A11C6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C6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C6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C6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27,753</w:t>
            </w:r>
          </w:p>
        </w:tc>
        <w:tc>
          <w:tcPr>
            <w:tcW w:w="0" w:type="auto"/>
            <w:tcBorders>
              <w:top w:val="single" w:sz="8" w:space="0" w:color="000000"/>
            </w:tcBorders>
            <w:shd w:val="clear" w:color="auto" w:fill="CCEEFF"/>
            <w:vAlign w:val="bottom"/>
          </w:tcPr>
          <w:p w14:paraId="42A11C6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C6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C6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C6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28,337</w:t>
            </w:r>
          </w:p>
        </w:tc>
        <w:tc>
          <w:tcPr>
            <w:tcW w:w="0" w:type="auto"/>
            <w:tcBorders>
              <w:top w:val="single" w:sz="8" w:space="0" w:color="000000"/>
            </w:tcBorders>
            <w:shd w:val="clear" w:color="auto" w:fill="CCEEFF"/>
            <w:vAlign w:val="bottom"/>
          </w:tcPr>
          <w:p w14:paraId="42A11C6D" w14:textId="77777777" w:rsidR="00BB68E1" w:rsidRDefault="00BB68E1">
            <w:pPr>
              <w:textAlignment w:val="bottom"/>
              <w:rPr>
                <w:rFonts w:ascii="Times New Roman" w:hAnsi="Times New Roman"/>
                <w:sz w:val="20"/>
                <w:szCs w:val="20"/>
              </w:rPr>
            </w:pPr>
          </w:p>
        </w:tc>
      </w:tr>
    </w:tbl>
    <w:p w14:paraId="42A11C6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Net </w:t>
      </w:r>
      <w:r>
        <w:rPr>
          <w:rFonts w:ascii="Times New Roman" w:eastAsia="宋体" w:hAnsi="Times New Roman"/>
          <w:sz w:val="20"/>
          <w:szCs w:val="20"/>
        </w:rPr>
        <w:t>cash provided by operating activities was $25.3 billion, $27.8 billion and $28.3 billion for fiscal 2020, 2019 and 2018, respectively. Net cash provided by operating activities for fiscal 2020 decreased when compared to the previous fiscal year primarily d</w:t>
      </w:r>
      <w:r>
        <w:rPr>
          <w:rFonts w:ascii="Times New Roman" w:eastAsia="宋体" w:hAnsi="Times New Roman"/>
          <w:sz w:val="20"/>
          <w:szCs w:val="20"/>
        </w:rPr>
        <w:t xml:space="preserve">ue to the contribution to our Asda pension plan in anticipation of its future settlement, the inclusion of a full year of Flipkart operations, and the timing of </w:t>
      </w:r>
      <w:r>
        <w:rPr>
          <w:rFonts w:ascii="Times New Roman" w:eastAsia="宋体" w:hAnsi="Times New Roman"/>
          <w:sz w:val="20"/>
          <w:szCs w:val="20"/>
        </w:rPr>
        <w:lastRenderedPageBreak/>
        <w:t>vendor payments. The decrease in net cash provided by operating activities for fiscal 2019, whe</w:t>
      </w:r>
      <w:r>
        <w:rPr>
          <w:rFonts w:ascii="Times New Roman" w:eastAsia="宋体" w:hAnsi="Times New Roman"/>
          <w:sz w:val="20"/>
          <w:szCs w:val="20"/>
        </w:rPr>
        <w:t>n compared to the previous fiscal year, was primarily due to timing of vendor payments, partially offset by lower tax payments mainly resulting from Tax Reform and the timing of tax payments.</w:t>
      </w:r>
    </w:p>
    <w:p w14:paraId="42A11C70"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 xml:space="preserve">Cash Equivalents and Working Capital Deficit </w:t>
      </w:r>
    </w:p>
    <w:p w14:paraId="42A11C7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Cash and cash equivalents were $9.5 billion and $7.7 billion as of January 31, 2020 and 2019, respectively. Our working capital deficit, defined as total current assets less total current liabilities, was $16.0 billion and $15.6 billion as of January 31, 2</w:t>
      </w:r>
      <w:r>
        <w:rPr>
          <w:rFonts w:ascii="Times New Roman" w:eastAsia="宋体" w:hAnsi="Times New Roman"/>
          <w:sz w:val="20"/>
          <w:szCs w:val="20"/>
        </w:rPr>
        <w:t>020 and 2019, respectively. We generally operate with a working capital deficit due to our efficient use of cash in funding operations, consistent access to the capital markets and returns provided to our shareholders in the form of payments of cash divide</w:t>
      </w:r>
      <w:r>
        <w:rPr>
          <w:rFonts w:ascii="Times New Roman" w:eastAsia="宋体" w:hAnsi="Times New Roman"/>
          <w:sz w:val="20"/>
          <w:szCs w:val="20"/>
        </w:rPr>
        <w:t xml:space="preserve">nds and share repurchases. </w:t>
      </w:r>
    </w:p>
    <w:p w14:paraId="42A11C72" w14:textId="77777777" w:rsidR="00BB68E1" w:rsidRDefault="00BB68E1">
      <w:pPr>
        <w:rPr>
          <w:rFonts w:ascii="Times New Roman" w:hAnsi="Times New Roman"/>
          <w:sz w:val="20"/>
          <w:szCs w:val="20"/>
        </w:rPr>
      </w:pPr>
    </w:p>
    <w:p w14:paraId="42A11C73"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38</w:t>
      </w:r>
    </w:p>
    <w:p w14:paraId="42A11C74" w14:textId="77777777" w:rsidR="00BB68E1" w:rsidRDefault="00BB68E1">
      <w:pPr>
        <w:spacing w:line="288" w:lineRule="auto"/>
        <w:jc w:val="center"/>
        <w:rPr>
          <w:rFonts w:ascii="Times New Roman" w:hAnsi="Times New Roman"/>
          <w:sz w:val="20"/>
          <w:szCs w:val="20"/>
        </w:rPr>
      </w:pPr>
    </w:p>
    <w:p w14:paraId="42A11C75" w14:textId="77777777" w:rsidR="00BB68E1" w:rsidRDefault="005D2D5E">
      <w:r>
        <w:rPr>
          <w:rFonts w:ascii="Times New Roman" w:hAnsi="Times New Roman"/>
          <w:sz w:val="20"/>
          <w:szCs w:val="20"/>
        </w:rPr>
        <w:pict w14:anchorId="42A1429D">
          <v:rect id="_x0000_i1062" style="width:415.3pt;height:1.5pt" o:hralign="center" o:hrstd="t" o:hr="t" fillcolor="#a0a0a0" stroked="f"/>
        </w:pict>
      </w:r>
    </w:p>
    <w:p w14:paraId="42A11C76" w14:textId="77777777" w:rsidR="00BB68E1" w:rsidRDefault="00BB68E1">
      <w:pPr>
        <w:spacing w:line="288" w:lineRule="auto"/>
        <w:rPr>
          <w:rFonts w:ascii="Times New Roman" w:hAnsi="Times New Roman"/>
          <w:sz w:val="20"/>
          <w:szCs w:val="20"/>
        </w:rPr>
      </w:pPr>
    </w:p>
    <w:p w14:paraId="42A11C77" w14:textId="77777777" w:rsidR="00BB68E1" w:rsidRDefault="00BB68E1">
      <w:pPr>
        <w:rPr>
          <w:rFonts w:ascii="Times New Roman" w:hAnsi="Times New Roman"/>
          <w:sz w:val="20"/>
          <w:szCs w:val="20"/>
        </w:rPr>
      </w:pPr>
    </w:p>
    <w:p w14:paraId="42A11C7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use intercompany financing arrangements in an effort to ensure cash can be made available in the country in which it is needed with the minimum cost possible. Additionally, from time-to-time, we repatriate earnings a</w:t>
      </w:r>
      <w:r>
        <w:rPr>
          <w:rFonts w:ascii="Times New Roman" w:eastAsia="宋体" w:hAnsi="Times New Roman"/>
          <w:sz w:val="20"/>
          <w:szCs w:val="20"/>
        </w:rPr>
        <w:t xml:space="preserve">nd related cash from jurisdictions outside of the U.S.  Historically, U.S. taxes were due upon repatriation of foreign earnings. Due to the enactment of U.S. tax reform, repatriations of foreign earnings will generally be free of U.S. federal tax, but may </w:t>
      </w:r>
      <w:r>
        <w:rPr>
          <w:rFonts w:ascii="Times New Roman" w:eastAsia="宋体" w:hAnsi="Times New Roman"/>
          <w:sz w:val="20"/>
          <w:szCs w:val="20"/>
        </w:rPr>
        <w:t>incur other taxes such as withholding or state taxes. While we are awaiting anticipated technical guidance from the IRS and the U.S. Treasury department, we do not expect current local laws, other existing limitations or potential taxes on anticipated futu</w:t>
      </w:r>
      <w:r>
        <w:rPr>
          <w:rFonts w:ascii="Times New Roman" w:eastAsia="宋体" w:hAnsi="Times New Roman"/>
          <w:sz w:val="20"/>
          <w:szCs w:val="20"/>
        </w:rPr>
        <w:t>re repatriations of cash amounts held outside the U.S. to have a material effect on our overall liquidity, financial condition or results of operations.</w:t>
      </w:r>
    </w:p>
    <w:p w14:paraId="42A11C7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As of January 31, 2020 and 2019, cash and cash equivalents of $2.3 billion and $2.8 billion, respective</w:t>
      </w:r>
      <w:r>
        <w:rPr>
          <w:rFonts w:ascii="Times New Roman" w:eastAsia="宋体" w:hAnsi="Times New Roman"/>
          <w:sz w:val="20"/>
          <w:szCs w:val="20"/>
        </w:rPr>
        <w:t>ly, may not be freely transferable to the U.S. due to local laws or other restrictions. Of the $2.3 billion as of January 31, 2020, approximately $0.6 billion can only be accessed through dividends or intercompany financing arrangements subject to approval</w:t>
      </w:r>
      <w:r>
        <w:rPr>
          <w:rFonts w:ascii="Times New Roman" w:eastAsia="宋体" w:hAnsi="Times New Roman"/>
          <w:sz w:val="20"/>
          <w:szCs w:val="20"/>
        </w:rPr>
        <w:t xml:space="preserve"> of the Flipkart minority shareholders; however, this cash is expected to be utilized to fund the operations of Flipkart.</w:t>
      </w:r>
    </w:p>
    <w:p w14:paraId="42A11C7A"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Net Cash Used in Investing Activities</w:t>
      </w:r>
    </w:p>
    <w:tbl>
      <w:tblPr>
        <w:tblW w:w="5000" w:type="pct"/>
        <w:jc w:val="center"/>
        <w:tblCellMar>
          <w:left w:w="0" w:type="dxa"/>
          <w:right w:w="0" w:type="dxa"/>
        </w:tblCellMar>
        <w:tblLook w:val="04A0" w:firstRow="1" w:lastRow="0" w:firstColumn="1" w:lastColumn="0" w:noHBand="0" w:noVBand="1"/>
      </w:tblPr>
      <w:tblGrid>
        <w:gridCol w:w="4995"/>
        <w:gridCol w:w="130"/>
        <w:gridCol w:w="120"/>
        <w:gridCol w:w="759"/>
        <w:gridCol w:w="94"/>
        <w:gridCol w:w="130"/>
        <w:gridCol w:w="120"/>
        <w:gridCol w:w="760"/>
        <w:gridCol w:w="94"/>
        <w:gridCol w:w="130"/>
        <w:gridCol w:w="120"/>
        <w:gridCol w:w="760"/>
        <w:gridCol w:w="94"/>
      </w:tblGrid>
      <w:tr w:rsidR="00BB68E1" w14:paraId="42A11C7C" w14:textId="77777777">
        <w:trPr>
          <w:jc w:val="center"/>
        </w:trPr>
        <w:tc>
          <w:tcPr>
            <w:tcW w:w="0" w:type="auto"/>
            <w:gridSpan w:val="13"/>
            <w:shd w:val="clear" w:color="auto" w:fill="auto"/>
            <w:vAlign w:val="center"/>
          </w:tcPr>
          <w:p w14:paraId="42A11C7B" w14:textId="77777777" w:rsidR="00BB68E1" w:rsidRDefault="00BB68E1">
            <w:pPr>
              <w:rPr>
                <w:rFonts w:ascii="Times New Roman" w:hAnsi="Times New Roman"/>
                <w:sz w:val="20"/>
                <w:szCs w:val="20"/>
              </w:rPr>
            </w:pPr>
          </w:p>
        </w:tc>
      </w:tr>
      <w:tr w:rsidR="00BB68E1" w14:paraId="42A11C8A" w14:textId="77777777">
        <w:trPr>
          <w:jc w:val="center"/>
        </w:trPr>
        <w:tc>
          <w:tcPr>
            <w:tcW w:w="3050" w:type="pct"/>
            <w:shd w:val="clear" w:color="auto" w:fill="auto"/>
            <w:vAlign w:val="center"/>
          </w:tcPr>
          <w:p w14:paraId="42A11C7D" w14:textId="77777777" w:rsidR="00BB68E1" w:rsidRDefault="00BB68E1">
            <w:pPr>
              <w:rPr>
                <w:rFonts w:ascii="Times New Roman" w:hAnsi="Times New Roman"/>
                <w:sz w:val="20"/>
                <w:szCs w:val="20"/>
              </w:rPr>
            </w:pPr>
          </w:p>
        </w:tc>
        <w:tc>
          <w:tcPr>
            <w:tcW w:w="50" w:type="pct"/>
            <w:shd w:val="clear" w:color="auto" w:fill="auto"/>
            <w:vAlign w:val="center"/>
          </w:tcPr>
          <w:p w14:paraId="42A11C7E" w14:textId="77777777" w:rsidR="00BB68E1" w:rsidRDefault="00BB68E1">
            <w:pPr>
              <w:rPr>
                <w:rFonts w:ascii="Times New Roman" w:hAnsi="Times New Roman"/>
                <w:sz w:val="20"/>
                <w:szCs w:val="20"/>
              </w:rPr>
            </w:pPr>
          </w:p>
        </w:tc>
        <w:tc>
          <w:tcPr>
            <w:tcW w:w="50" w:type="pct"/>
            <w:shd w:val="clear" w:color="auto" w:fill="auto"/>
            <w:vAlign w:val="center"/>
          </w:tcPr>
          <w:p w14:paraId="42A11C7F" w14:textId="77777777" w:rsidR="00BB68E1" w:rsidRDefault="00BB68E1">
            <w:pPr>
              <w:rPr>
                <w:rFonts w:ascii="Times New Roman" w:hAnsi="Times New Roman"/>
                <w:sz w:val="20"/>
                <w:szCs w:val="20"/>
              </w:rPr>
            </w:pPr>
          </w:p>
        </w:tc>
        <w:tc>
          <w:tcPr>
            <w:tcW w:w="500" w:type="pct"/>
            <w:shd w:val="clear" w:color="auto" w:fill="auto"/>
            <w:vAlign w:val="center"/>
          </w:tcPr>
          <w:p w14:paraId="42A11C80" w14:textId="77777777" w:rsidR="00BB68E1" w:rsidRDefault="00BB68E1">
            <w:pPr>
              <w:rPr>
                <w:rFonts w:ascii="Times New Roman" w:hAnsi="Times New Roman"/>
                <w:sz w:val="20"/>
                <w:szCs w:val="20"/>
              </w:rPr>
            </w:pPr>
          </w:p>
        </w:tc>
        <w:tc>
          <w:tcPr>
            <w:tcW w:w="50" w:type="pct"/>
            <w:shd w:val="clear" w:color="auto" w:fill="auto"/>
            <w:vAlign w:val="center"/>
          </w:tcPr>
          <w:p w14:paraId="42A11C81" w14:textId="77777777" w:rsidR="00BB68E1" w:rsidRDefault="00BB68E1">
            <w:pPr>
              <w:rPr>
                <w:rFonts w:ascii="Times New Roman" w:hAnsi="Times New Roman"/>
                <w:sz w:val="20"/>
                <w:szCs w:val="20"/>
              </w:rPr>
            </w:pPr>
          </w:p>
        </w:tc>
        <w:tc>
          <w:tcPr>
            <w:tcW w:w="50" w:type="pct"/>
            <w:shd w:val="clear" w:color="auto" w:fill="auto"/>
            <w:vAlign w:val="center"/>
          </w:tcPr>
          <w:p w14:paraId="42A11C82" w14:textId="77777777" w:rsidR="00BB68E1" w:rsidRDefault="00BB68E1">
            <w:pPr>
              <w:rPr>
                <w:rFonts w:ascii="Times New Roman" w:hAnsi="Times New Roman"/>
                <w:sz w:val="20"/>
                <w:szCs w:val="20"/>
              </w:rPr>
            </w:pPr>
          </w:p>
        </w:tc>
        <w:tc>
          <w:tcPr>
            <w:tcW w:w="50" w:type="pct"/>
            <w:shd w:val="clear" w:color="auto" w:fill="auto"/>
            <w:vAlign w:val="center"/>
          </w:tcPr>
          <w:p w14:paraId="42A11C83" w14:textId="77777777" w:rsidR="00BB68E1" w:rsidRDefault="00BB68E1">
            <w:pPr>
              <w:rPr>
                <w:rFonts w:ascii="Times New Roman" w:hAnsi="Times New Roman"/>
                <w:sz w:val="20"/>
                <w:szCs w:val="20"/>
              </w:rPr>
            </w:pPr>
          </w:p>
        </w:tc>
        <w:tc>
          <w:tcPr>
            <w:tcW w:w="500" w:type="pct"/>
            <w:shd w:val="clear" w:color="auto" w:fill="auto"/>
            <w:vAlign w:val="center"/>
          </w:tcPr>
          <w:p w14:paraId="42A11C84" w14:textId="77777777" w:rsidR="00BB68E1" w:rsidRDefault="00BB68E1">
            <w:pPr>
              <w:rPr>
                <w:rFonts w:ascii="Times New Roman" w:hAnsi="Times New Roman"/>
                <w:sz w:val="20"/>
                <w:szCs w:val="20"/>
              </w:rPr>
            </w:pPr>
          </w:p>
        </w:tc>
        <w:tc>
          <w:tcPr>
            <w:tcW w:w="50" w:type="pct"/>
            <w:shd w:val="clear" w:color="auto" w:fill="auto"/>
            <w:vAlign w:val="center"/>
          </w:tcPr>
          <w:p w14:paraId="42A11C85" w14:textId="77777777" w:rsidR="00BB68E1" w:rsidRDefault="00BB68E1">
            <w:pPr>
              <w:rPr>
                <w:rFonts w:ascii="Times New Roman" w:hAnsi="Times New Roman"/>
                <w:sz w:val="20"/>
                <w:szCs w:val="20"/>
              </w:rPr>
            </w:pPr>
          </w:p>
        </w:tc>
        <w:tc>
          <w:tcPr>
            <w:tcW w:w="50" w:type="pct"/>
            <w:shd w:val="clear" w:color="auto" w:fill="auto"/>
            <w:vAlign w:val="center"/>
          </w:tcPr>
          <w:p w14:paraId="42A11C86" w14:textId="77777777" w:rsidR="00BB68E1" w:rsidRDefault="00BB68E1">
            <w:pPr>
              <w:rPr>
                <w:rFonts w:ascii="Times New Roman" w:hAnsi="Times New Roman"/>
                <w:sz w:val="20"/>
                <w:szCs w:val="20"/>
              </w:rPr>
            </w:pPr>
          </w:p>
        </w:tc>
        <w:tc>
          <w:tcPr>
            <w:tcW w:w="50" w:type="pct"/>
            <w:shd w:val="clear" w:color="auto" w:fill="auto"/>
            <w:vAlign w:val="center"/>
          </w:tcPr>
          <w:p w14:paraId="42A11C87" w14:textId="77777777" w:rsidR="00BB68E1" w:rsidRDefault="00BB68E1">
            <w:pPr>
              <w:rPr>
                <w:rFonts w:ascii="Times New Roman" w:hAnsi="Times New Roman"/>
                <w:sz w:val="20"/>
                <w:szCs w:val="20"/>
              </w:rPr>
            </w:pPr>
          </w:p>
        </w:tc>
        <w:tc>
          <w:tcPr>
            <w:tcW w:w="500" w:type="pct"/>
            <w:shd w:val="clear" w:color="auto" w:fill="auto"/>
            <w:vAlign w:val="center"/>
          </w:tcPr>
          <w:p w14:paraId="42A11C88" w14:textId="77777777" w:rsidR="00BB68E1" w:rsidRDefault="00BB68E1">
            <w:pPr>
              <w:rPr>
                <w:rFonts w:ascii="Times New Roman" w:hAnsi="Times New Roman"/>
                <w:sz w:val="20"/>
                <w:szCs w:val="20"/>
              </w:rPr>
            </w:pPr>
          </w:p>
        </w:tc>
        <w:tc>
          <w:tcPr>
            <w:tcW w:w="50" w:type="pct"/>
            <w:shd w:val="clear" w:color="auto" w:fill="auto"/>
            <w:vAlign w:val="center"/>
          </w:tcPr>
          <w:p w14:paraId="42A11C89" w14:textId="77777777" w:rsidR="00BB68E1" w:rsidRDefault="00BB68E1">
            <w:pPr>
              <w:rPr>
                <w:rFonts w:ascii="Times New Roman" w:hAnsi="Times New Roman"/>
                <w:sz w:val="20"/>
                <w:szCs w:val="20"/>
              </w:rPr>
            </w:pPr>
          </w:p>
        </w:tc>
      </w:tr>
      <w:tr w:rsidR="00BB68E1" w14:paraId="42A11C8E" w14:textId="77777777">
        <w:trPr>
          <w:jc w:val="center"/>
        </w:trPr>
        <w:tc>
          <w:tcPr>
            <w:tcW w:w="0" w:type="auto"/>
            <w:shd w:val="clear" w:color="auto" w:fill="auto"/>
            <w:tcMar>
              <w:top w:w="40" w:type="dxa"/>
              <w:left w:w="40" w:type="dxa"/>
              <w:bottom w:w="40" w:type="dxa"/>
              <w:right w:w="40" w:type="dxa"/>
            </w:tcMar>
            <w:vAlign w:val="center"/>
          </w:tcPr>
          <w:p w14:paraId="42A11C8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1C8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1C8D"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1C96" w14:textId="77777777">
        <w:trPr>
          <w:jc w:val="center"/>
        </w:trPr>
        <w:tc>
          <w:tcPr>
            <w:tcW w:w="0" w:type="auto"/>
            <w:shd w:val="clear" w:color="auto" w:fill="auto"/>
            <w:tcMar>
              <w:top w:w="40" w:type="dxa"/>
              <w:left w:w="40" w:type="dxa"/>
              <w:bottom w:w="40" w:type="dxa"/>
              <w:right w:w="40" w:type="dxa"/>
            </w:tcMar>
            <w:vAlign w:val="center"/>
          </w:tcPr>
          <w:p w14:paraId="42A11C8F" w14:textId="77777777" w:rsidR="00BB68E1" w:rsidRDefault="005D2D5E">
            <w:pPr>
              <w:textAlignment w:val="center"/>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1C9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1C91"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1C9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2A11C93"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1C9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1C95"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2018</w:t>
            </w:r>
          </w:p>
        </w:tc>
      </w:tr>
      <w:tr w:rsidR="00BB68E1" w14:paraId="42A11CA4" w14:textId="77777777">
        <w:trPr>
          <w:jc w:val="center"/>
        </w:trPr>
        <w:tc>
          <w:tcPr>
            <w:tcW w:w="0" w:type="auto"/>
            <w:shd w:val="clear" w:color="auto" w:fill="CCEEFF"/>
            <w:tcMar>
              <w:top w:w="40" w:type="dxa"/>
              <w:left w:w="40" w:type="dxa"/>
              <w:bottom w:w="40" w:type="dxa"/>
              <w:right w:w="40" w:type="dxa"/>
            </w:tcMar>
            <w:vAlign w:val="center"/>
          </w:tcPr>
          <w:p w14:paraId="42A11C9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Net cash used in investing activities </w:t>
            </w:r>
          </w:p>
        </w:tc>
        <w:tc>
          <w:tcPr>
            <w:tcW w:w="0" w:type="auto"/>
            <w:shd w:val="clear" w:color="auto" w:fill="CCEEFF"/>
            <w:tcMar>
              <w:top w:w="40" w:type="dxa"/>
              <w:left w:w="40" w:type="dxa"/>
              <w:bottom w:w="40" w:type="dxa"/>
              <w:right w:w="40" w:type="dxa"/>
            </w:tcMar>
            <w:vAlign w:val="bottom"/>
          </w:tcPr>
          <w:p w14:paraId="42A11C9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C9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C9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(9,128</w:t>
            </w:r>
          </w:p>
        </w:tc>
        <w:tc>
          <w:tcPr>
            <w:tcW w:w="0" w:type="auto"/>
            <w:tcBorders>
              <w:top w:val="single" w:sz="8" w:space="0" w:color="000000"/>
            </w:tcBorders>
            <w:shd w:val="clear" w:color="auto" w:fill="CCEEFF"/>
            <w:tcMar>
              <w:top w:w="40" w:type="dxa"/>
              <w:bottom w:w="40" w:type="dxa"/>
              <w:right w:w="40" w:type="dxa"/>
            </w:tcMar>
            <w:vAlign w:val="center"/>
          </w:tcPr>
          <w:p w14:paraId="42A11C9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C9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C9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C9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(24,036</w:t>
            </w:r>
          </w:p>
        </w:tc>
        <w:tc>
          <w:tcPr>
            <w:tcW w:w="0" w:type="auto"/>
            <w:shd w:val="clear" w:color="auto" w:fill="CCEEFF"/>
            <w:tcMar>
              <w:top w:w="40" w:type="dxa"/>
              <w:bottom w:w="40" w:type="dxa"/>
              <w:right w:w="40" w:type="dxa"/>
            </w:tcMar>
            <w:vAlign w:val="center"/>
          </w:tcPr>
          <w:p w14:paraId="42A11C9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CA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CA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CA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(9,079</w:t>
            </w:r>
          </w:p>
        </w:tc>
        <w:tc>
          <w:tcPr>
            <w:tcW w:w="0" w:type="auto"/>
            <w:tcBorders>
              <w:top w:val="single" w:sz="8" w:space="0" w:color="000000"/>
            </w:tcBorders>
            <w:shd w:val="clear" w:color="auto" w:fill="CCEEFF"/>
            <w:tcMar>
              <w:top w:w="40" w:type="dxa"/>
              <w:bottom w:w="40" w:type="dxa"/>
              <w:right w:w="40" w:type="dxa"/>
            </w:tcMar>
            <w:vAlign w:val="center"/>
          </w:tcPr>
          <w:p w14:paraId="42A11CA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bl>
    <w:p w14:paraId="42A11CA5"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Net cash used in investing activities was $9.1 billion, $24.0 billion and $9.1 billion for fiscal 2020, 2019 and 2018, respectively, and generally consisted of </w:t>
      </w:r>
      <w:r>
        <w:rPr>
          <w:rFonts w:ascii="Times New Roman" w:eastAsia="宋体" w:hAnsi="Times New Roman"/>
          <w:sz w:val="20"/>
          <w:szCs w:val="20"/>
        </w:rPr>
        <w:t>payments for business acquisitions and to expand our eCommerce capabilities, invest in other technologies, remodel existing stores and club and add new stores and clubs. Net cash used in investing activities decreased $14.9 billion for fiscal 2020 when com</w:t>
      </w:r>
      <w:r>
        <w:rPr>
          <w:rFonts w:ascii="Times New Roman" w:eastAsia="宋体" w:hAnsi="Times New Roman"/>
          <w:sz w:val="20"/>
          <w:szCs w:val="20"/>
        </w:rPr>
        <w:t xml:space="preserve">pared to the previous fiscal year primarily as a result of the $13.8 billion payment for the acquisition of Flipkart, net of cash acquired, as well as payments for other, smaller acquisitions in fiscal 2019. Net cash used in investing activities increased </w:t>
      </w:r>
      <w:r>
        <w:rPr>
          <w:rFonts w:ascii="Times New Roman" w:eastAsia="宋体" w:hAnsi="Times New Roman"/>
          <w:sz w:val="20"/>
          <w:szCs w:val="20"/>
        </w:rPr>
        <w:t>$15.0 billion for fiscal 2019 when compared to the previous fiscal year, primarily due to the previously mentioned fiscal 2019 acquisitions. Additionally, refer to the "</w:t>
      </w:r>
      <w:hyperlink r:id="rId96" w:anchor="sD651B6177A485E5C92DF643CA7249DE4" w:history="1">
        <w:r>
          <w:rPr>
            <w:rStyle w:val="a5"/>
            <w:rFonts w:ascii="Times New Roman" w:eastAsia="宋体" w:hAnsi="Times New Roman"/>
            <w:sz w:val="20"/>
            <w:szCs w:val="20"/>
          </w:rPr>
          <w:t>Strategic Capital Allocation</w:t>
        </w:r>
      </w:hyperlink>
      <w:r>
        <w:rPr>
          <w:rFonts w:ascii="Times New Roman" w:eastAsia="宋体" w:hAnsi="Times New Roman"/>
          <w:sz w:val="20"/>
          <w:szCs w:val="20"/>
        </w:rPr>
        <w:t xml:space="preserve">" section in our </w:t>
      </w:r>
      <w:hyperlink r:id="rId97" w:anchor="s30C795FCE0B75A199089B5976B47B106" w:history="1">
        <w:r>
          <w:rPr>
            <w:rStyle w:val="a5"/>
            <w:rFonts w:ascii="Times New Roman" w:eastAsia="宋体" w:hAnsi="Times New Roman"/>
            <w:sz w:val="20"/>
            <w:szCs w:val="20"/>
          </w:rPr>
          <w:t>Company Performance Metrics</w:t>
        </w:r>
      </w:hyperlink>
      <w:r>
        <w:rPr>
          <w:rFonts w:ascii="Times New Roman" w:eastAsia="宋体" w:hAnsi="Times New Roman"/>
          <w:sz w:val="20"/>
          <w:szCs w:val="20"/>
        </w:rPr>
        <w:t xml:space="preserve"> for capital expenditure detail for fiscal 2020 and 2019.</w:t>
      </w:r>
    </w:p>
    <w:p w14:paraId="42A11CA6"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Growth Activities</w:t>
      </w:r>
    </w:p>
    <w:p w14:paraId="42A11CA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For the fiscal year ending January 31, 2021 ("fiscal 2021"), we project capital expenditures will be approximately $11 billion, with a focus on store remodels and customer initiatives, eCommerce, </w:t>
      </w:r>
      <w:r>
        <w:rPr>
          <w:rFonts w:ascii="Times New Roman" w:eastAsia="宋体" w:hAnsi="Times New Roman"/>
          <w:sz w:val="20"/>
          <w:szCs w:val="20"/>
        </w:rPr>
        <w:lastRenderedPageBreak/>
        <w:t>technology, and supply chain. We also expect to add approxim</w:t>
      </w:r>
      <w:r>
        <w:rPr>
          <w:rFonts w:ascii="Times New Roman" w:eastAsia="宋体" w:hAnsi="Times New Roman"/>
          <w:sz w:val="20"/>
          <w:szCs w:val="20"/>
        </w:rPr>
        <w:t xml:space="preserve">ately 250 new stores in Walmart International, primarily in Mexico and China. </w:t>
      </w:r>
    </w:p>
    <w:p w14:paraId="42A11CA8"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Net Cash Used in Financing Activities</w:t>
      </w:r>
    </w:p>
    <w:tbl>
      <w:tblPr>
        <w:tblW w:w="5000" w:type="pct"/>
        <w:jc w:val="center"/>
        <w:tblCellMar>
          <w:left w:w="0" w:type="dxa"/>
          <w:right w:w="0" w:type="dxa"/>
        </w:tblCellMar>
        <w:tblLook w:val="04A0" w:firstRow="1" w:lastRow="0" w:firstColumn="1" w:lastColumn="0" w:noHBand="0" w:noVBand="1"/>
      </w:tblPr>
      <w:tblGrid>
        <w:gridCol w:w="4995"/>
        <w:gridCol w:w="130"/>
        <w:gridCol w:w="120"/>
        <w:gridCol w:w="759"/>
        <w:gridCol w:w="94"/>
        <w:gridCol w:w="130"/>
        <w:gridCol w:w="120"/>
        <w:gridCol w:w="760"/>
        <w:gridCol w:w="94"/>
        <w:gridCol w:w="130"/>
        <w:gridCol w:w="120"/>
        <w:gridCol w:w="760"/>
        <w:gridCol w:w="94"/>
      </w:tblGrid>
      <w:tr w:rsidR="00BB68E1" w14:paraId="42A11CAA" w14:textId="77777777">
        <w:trPr>
          <w:jc w:val="center"/>
        </w:trPr>
        <w:tc>
          <w:tcPr>
            <w:tcW w:w="0" w:type="auto"/>
            <w:gridSpan w:val="13"/>
            <w:shd w:val="clear" w:color="auto" w:fill="auto"/>
            <w:vAlign w:val="center"/>
          </w:tcPr>
          <w:p w14:paraId="42A11CA9" w14:textId="77777777" w:rsidR="00BB68E1" w:rsidRDefault="00BB68E1">
            <w:pPr>
              <w:rPr>
                <w:rFonts w:ascii="Times New Roman" w:hAnsi="Times New Roman"/>
                <w:sz w:val="20"/>
                <w:szCs w:val="20"/>
              </w:rPr>
            </w:pPr>
          </w:p>
        </w:tc>
      </w:tr>
      <w:tr w:rsidR="00BB68E1" w14:paraId="42A11CB8" w14:textId="77777777">
        <w:trPr>
          <w:jc w:val="center"/>
        </w:trPr>
        <w:tc>
          <w:tcPr>
            <w:tcW w:w="3050" w:type="pct"/>
            <w:shd w:val="clear" w:color="auto" w:fill="auto"/>
            <w:vAlign w:val="center"/>
          </w:tcPr>
          <w:p w14:paraId="42A11CAB" w14:textId="77777777" w:rsidR="00BB68E1" w:rsidRDefault="00BB68E1">
            <w:pPr>
              <w:rPr>
                <w:rFonts w:ascii="Times New Roman" w:hAnsi="Times New Roman"/>
                <w:sz w:val="20"/>
                <w:szCs w:val="20"/>
              </w:rPr>
            </w:pPr>
          </w:p>
        </w:tc>
        <w:tc>
          <w:tcPr>
            <w:tcW w:w="50" w:type="pct"/>
            <w:shd w:val="clear" w:color="auto" w:fill="auto"/>
            <w:vAlign w:val="center"/>
          </w:tcPr>
          <w:p w14:paraId="42A11CAC" w14:textId="77777777" w:rsidR="00BB68E1" w:rsidRDefault="00BB68E1">
            <w:pPr>
              <w:rPr>
                <w:rFonts w:ascii="Times New Roman" w:hAnsi="Times New Roman"/>
                <w:sz w:val="20"/>
                <w:szCs w:val="20"/>
              </w:rPr>
            </w:pPr>
          </w:p>
        </w:tc>
        <w:tc>
          <w:tcPr>
            <w:tcW w:w="50" w:type="pct"/>
            <w:shd w:val="clear" w:color="auto" w:fill="auto"/>
            <w:vAlign w:val="center"/>
          </w:tcPr>
          <w:p w14:paraId="42A11CAD" w14:textId="77777777" w:rsidR="00BB68E1" w:rsidRDefault="00BB68E1">
            <w:pPr>
              <w:rPr>
                <w:rFonts w:ascii="Times New Roman" w:hAnsi="Times New Roman"/>
                <w:sz w:val="20"/>
                <w:szCs w:val="20"/>
              </w:rPr>
            </w:pPr>
          </w:p>
        </w:tc>
        <w:tc>
          <w:tcPr>
            <w:tcW w:w="500" w:type="pct"/>
            <w:shd w:val="clear" w:color="auto" w:fill="auto"/>
            <w:vAlign w:val="center"/>
          </w:tcPr>
          <w:p w14:paraId="42A11CAE" w14:textId="77777777" w:rsidR="00BB68E1" w:rsidRDefault="00BB68E1">
            <w:pPr>
              <w:rPr>
                <w:rFonts w:ascii="Times New Roman" w:hAnsi="Times New Roman"/>
                <w:sz w:val="20"/>
                <w:szCs w:val="20"/>
              </w:rPr>
            </w:pPr>
          </w:p>
        </w:tc>
        <w:tc>
          <w:tcPr>
            <w:tcW w:w="50" w:type="pct"/>
            <w:shd w:val="clear" w:color="auto" w:fill="auto"/>
            <w:vAlign w:val="center"/>
          </w:tcPr>
          <w:p w14:paraId="42A11CAF" w14:textId="77777777" w:rsidR="00BB68E1" w:rsidRDefault="00BB68E1">
            <w:pPr>
              <w:rPr>
                <w:rFonts w:ascii="Times New Roman" w:hAnsi="Times New Roman"/>
                <w:sz w:val="20"/>
                <w:szCs w:val="20"/>
              </w:rPr>
            </w:pPr>
          </w:p>
        </w:tc>
        <w:tc>
          <w:tcPr>
            <w:tcW w:w="50" w:type="pct"/>
            <w:shd w:val="clear" w:color="auto" w:fill="auto"/>
            <w:vAlign w:val="center"/>
          </w:tcPr>
          <w:p w14:paraId="42A11CB0" w14:textId="77777777" w:rsidR="00BB68E1" w:rsidRDefault="00BB68E1">
            <w:pPr>
              <w:rPr>
                <w:rFonts w:ascii="Times New Roman" w:hAnsi="Times New Roman"/>
                <w:sz w:val="20"/>
                <w:szCs w:val="20"/>
              </w:rPr>
            </w:pPr>
          </w:p>
        </w:tc>
        <w:tc>
          <w:tcPr>
            <w:tcW w:w="50" w:type="pct"/>
            <w:shd w:val="clear" w:color="auto" w:fill="auto"/>
            <w:vAlign w:val="center"/>
          </w:tcPr>
          <w:p w14:paraId="42A11CB1" w14:textId="77777777" w:rsidR="00BB68E1" w:rsidRDefault="00BB68E1">
            <w:pPr>
              <w:rPr>
                <w:rFonts w:ascii="Times New Roman" w:hAnsi="Times New Roman"/>
                <w:sz w:val="20"/>
                <w:szCs w:val="20"/>
              </w:rPr>
            </w:pPr>
          </w:p>
        </w:tc>
        <w:tc>
          <w:tcPr>
            <w:tcW w:w="500" w:type="pct"/>
            <w:shd w:val="clear" w:color="auto" w:fill="auto"/>
            <w:vAlign w:val="center"/>
          </w:tcPr>
          <w:p w14:paraId="42A11CB2" w14:textId="77777777" w:rsidR="00BB68E1" w:rsidRDefault="00BB68E1">
            <w:pPr>
              <w:rPr>
                <w:rFonts w:ascii="Times New Roman" w:hAnsi="Times New Roman"/>
                <w:sz w:val="20"/>
                <w:szCs w:val="20"/>
              </w:rPr>
            </w:pPr>
          </w:p>
        </w:tc>
        <w:tc>
          <w:tcPr>
            <w:tcW w:w="50" w:type="pct"/>
            <w:shd w:val="clear" w:color="auto" w:fill="auto"/>
            <w:vAlign w:val="center"/>
          </w:tcPr>
          <w:p w14:paraId="42A11CB3" w14:textId="77777777" w:rsidR="00BB68E1" w:rsidRDefault="00BB68E1">
            <w:pPr>
              <w:rPr>
                <w:rFonts w:ascii="Times New Roman" w:hAnsi="Times New Roman"/>
                <w:sz w:val="20"/>
                <w:szCs w:val="20"/>
              </w:rPr>
            </w:pPr>
          </w:p>
        </w:tc>
        <w:tc>
          <w:tcPr>
            <w:tcW w:w="50" w:type="pct"/>
            <w:shd w:val="clear" w:color="auto" w:fill="auto"/>
            <w:vAlign w:val="center"/>
          </w:tcPr>
          <w:p w14:paraId="42A11CB4" w14:textId="77777777" w:rsidR="00BB68E1" w:rsidRDefault="00BB68E1">
            <w:pPr>
              <w:rPr>
                <w:rFonts w:ascii="Times New Roman" w:hAnsi="Times New Roman"/>
                <w:sz w:val="20"/>
                <w:szCs w:val="20"/>
              </w:rPr>
            </w:pPr>
          </w:p>
        </w:tc>
        <w:tc>
          <w:tcPr>
            <w:tcW w:w="50" w:type="pct"/>
            <w:shd w:val="clear" w:color="auto" w:fill="auto"/>
            <w:vAlign w:val="center"/>
          </w:tcPr>
          <w:p w14:paraId="42A11CB5" w14:textId="77777777" w:rsidR="00BB68E1" w:rsidRDefault="00BB68E1">
            <w:pPr>
              <w:rPr>
                <w:rFonts w:ascii="Times New Roman" w:hAnsi="Times New Roman"/>
                <w:sz w:val="20"/>
                <w:szCs w:val="20"/>
              </w:rPr>
            </w:pPr>
          </w:p>
        </w:tc>
        <w:tc>
          <w:tcPr>
            <w:tcW w:w="500" w:type="pct"/>
            <w:shd w:val="clear" w:color="auto" w:fill="auto"/>
            <w:vAlign w:val="center"/>
          </w:tcPr>
          <w:p w14:paraId="42A11CB6" w14:textId="77777777" w:rsidR="00BB68E1" w:rsidRDefault="00BB68E1">
            <w:pPr>
              <w:rPr>
                <w:rFonts w:ascii="Times New Roman" w:hAnsi="Times New Roman"/>
                <w:sz w:val="20"/>
                <w:szCs w:val="20"/>
              </w:rPr>
            </w:pPr>
          </w:p>
        </w:tc>
        <w:tc>
          <w:tcPr>
            <w:tcW w:w="50" w:type="pct"/>
            <w:shd w:val="clear" w:color="auto" w:fill="auto"/>
            <w:vAlign w:val="center"/>
          </w:tcPr>
          <w:p w14:paraId="42A11CB7" w14:textId="77777777" w:rsidR="00BB68E1" w:rsidRDefault="00BB68E1">
            <w:pPr>
              <w:rPr>
                <w:rFonts w:ascii="Times New Roman" w:hAnsi="Times New Roman"/>
                <w:sz w:val="20"/>
                <w:szCs w:val="20"/>
              </w:rPr>
            </w:pPr>
          </w:p>
        </w:tc>
      </w:tr>
      <w:tr w:rsidR="00BB68E1" w14:paraId="42A11CBC" w14:textId="77777777">
        <w:trPr>
          <w:jc w:val="center"/>
        </w:trPr>
        <w:tc>
          <w:tcPr>
            <w:tcW w:w="0" w:type="auto"/>
            <w:shd w:val="clear" w:color="auto" w:fill="auto"/>
            <w:tcMar>
              <w:top w:w="40" w:type="dxa"/>
              <w:left w:w="40" w:type="dxa"/>
              <w:bottom w:w="40" w:type="dxa"/>
              <w:right w:w="40" w:type="dxa"/>
            </w:tcMar>
            <w:vAlign w:val="center"/>
          </w:tcPr>
          <w:p w14:paraId="42A11CB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1CB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1CB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1CC4" w14:textId="77777777">
        <w:trPr>
          <w:jc w:val="center"/>
        </w:trPr>
        <w:tc>
          <w:tcPr>
            <w:tcW w:w="0" w:type="auto"/>
            <w:shd w:val="clear" w:color="auto" w:fill="auto"/>
            <w:tcMar>
              <w:top w:w="40" w:type="dxa"/>
              <w:left w:w="40" w:type="dxa"/>
              <w:bottom w:w="40" w:type="dxa"/>
              <w:right w:w="40" w:type="dxa"/>
            </w:tcMar>
            <w:vAlign w:val="center"/>
          </w:tcPr>
          <w:p w14:paraId="42A11CBD" w14:textId="77777777" w:rsidR="00BB68E1" w:rsidRDefault="005D2D5E">
            <w:pPr>
              <w:textAlignment w:val="center"/>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1CB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2A11CBF"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1C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2A11CC1"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1C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2A11CC3"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2018</w:t>
            </w:r>
          </w:p>
        </w:tc>
      </w:tr>
      <w:tr w:rsidR="00BB68E1" w14:paraId="42A11CD2" w14:textId="77777777">
        <w:trPr>
          <w:jc w:val="center"/>
        </w:trPr>
        <w:tc>
          <w:tcPr>
            <w:tcW w:w="0" w:type="auto"/>
            <w:shd w:val="clear" w:color="auto" w:fill="CCEEFF"/>
            <w:tcMar>
              <w:top w:w="40" w:type="dxa"/>
              <w:left w:w="40" w:type="dxa"/>
              <w:bottom w:w="40" w:type="dxa"/>
              <w:right w:w="40" w:type="dxa"/>
            </w:tcMar>
            <w:vAlign w:val="center"/>
          </w:tcPr>
          <w:p w14:paraId="42A11CC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Net cash used in financing </w:t>
            </w:r>
            <w:r>
              <w:rPr>
                <w:rFonts w:ascii="Times New Roman" w:eastAsia="宋体" w:hAnsi="Times New Roman"/>
                <w:sz w:val="16"/>
                <w:szCs w:val="16"/>
              </w:rPr>
              <w:t>activities</w:t>
            </w:r>
          </w:p>
        </w:tc>
        <w:tc>
          <w:tcPr>
            <w:tcW w:w="0" w:type="auto"/>
            <w:shd w:val="clear" w:color="auto" w:fill="CCEEFF"/>
            <w:tcMar>
              <w:top w:w="40" w:type="dxa"/>
              <w:left w:w="40" w:type="dxa"/>
              <w:bottom w:w="40" w:type="dxa"/>
              <w:right w:w="40" w:type="dxa"/>
            </w:tcMar>
            <w:vAlign w:val="bottom"/>
          </w:tcPr>
          <w:p w14:paraId="42A11C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CC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CC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(14,299</w:t>
            </w:r>
          </w:p>
        </w:tc>
        <w:tc>
          <w:tcPr>
            <w:tcW w:w="0" w:type="auto"/>
            <w:shd w:val="clear" w:color="auto" w:fill="CCEEFF"/>
            <w:tcMar>
              <w:top w:w="40" w:type="dxa"/>
              <w:bottom w:w="40" w:type="dxa"/>
              <w:right w:w="40" w:type="dxa"/>
            </w:tcMar>
            <w:vAlign w:val="center"/>
          </w:tcPr>
          <w:p w14:paraId="42A11CC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CC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CC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CC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(2,537</w:t>
            </w:r>
          </w:p>
        </w:tc>
        <w:tc>
          <w:tcPr>
            <w:tcW w:w="0" w:type="auto"/>
            <w:shd w:val="clear" w:color="auto" w:fill="CCEEFF"/>
            <w:tcMar>
              <w:top w:w="40" w:type="dxa"/>
              <w:bottom w:w="40" w:type="dxa"/>
              <w:right w:w="40" w:type="dxa"/>
            </w:tcMar>
            <w:vAlign w:val="center"/>
          </w:tcPr>
          <w:p w14:paraId="42A11CC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CC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CC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CD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(19,875</w:t>
            </w:r>
          </w:p>
        </w:tc>
        <w:tc>
          <w:tcPr>
            <w:tcW w:w="0" w:type="auto"/>
            <w:shd w:val="clear" w:color="auto" w:fill="CCEEFF"/>
            <w:tcMar>
              <w:top w:w="40" w:type="dxa"/>
              <w:bottom w:w="40" w:type="dxa"/>
              <w:right w:w="40" w:type="dxa"/>
            </w:tcMar>
            <w:vAlign w:val="center"/>
          </w:tcPr>
          <w:p w14:paraId="42A11CD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bl>
    <w:p w14:paraId="42A11CD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Net cash used in financing activities generally consists of transactions related to our short-term and long-term debt, financing obligations, dividends paid and the repurchase of Company stock. </w:t>
      </w:r>
      <w:r>
        <w:rPr>
          <w:rFonts w:ascii="Times New Roman" w:eastAsia="宋体" w:hAnsi="Times New Roman"/>
          <w:sz w:val="20"/>
          <w:szCs w:val="20"/>
        </w:rPr>
        <w:t xml:space="preserve">Transactions with noncontrolling interest shareholders are also classified as cash flows from financing activities. Fiscal 2020 net cash used in financing activities increased $11.8 billion when compared to the same period in the previous fiscal year. The </w:t>
      </w:r>
      <w:r>
        <w:rPr>
          <w:rFonts w:ascii="Times New Roman" w:eastAsia="宋体" w:hAnsi="Times New Roman"/>
          <w:sz w:val="20"/>
          <w:szCs w:val="20"/>
        </w:rPr>
        <w:t>increase was primarily due to the $15.9 billion of net proceeds received in the prior year from the issuance of long-term debt to fund a portion of the purchase price for Flipkart partially offset by $5.5 billion of additional long-term debt in the current</w:t>
      </w:r>
      <w:r>
        <w:rPr>
          <w:rFonts w:ascii="Times New Roman" w:eastAsia="宋体" w:hAnsi="Times New Roman"/>
          <w:sz w:val="20"/>
          <w:szCs w:val="20"/>
        </w:rPr>
        <w:t xml:space="preserve"> year to fund general business operations. Fiscal 2019 net cash used in financing activities decreased $17.3 billion for fiscal 2019 when compared to the same period in the previous fiscal year. The decrease was primarily due to the $15.9 billion of net pr</w:t>
      </w:r>
      <w:r>
        <w:rPr>
          <w:rFonts w:ascii="Times New Roman" w:eastAsia="宋体" w:hAnsi="Times New Roman"/>
          <w:sz w:val="20"/>
          <w:szCs w:val="20"/>
        </w:rPr>
        <w:t>oceeds received from the issuance of long-term debt to fund a portion of the purchase price for Flipkart and for general corporate purposes, as well as a decrease in share repurchases due to the suspension of repurchases in anticipation of the Flipkart ann</w:t>
      </w:r>
      <w:r>
        <w:rPr>
          <w:rFonts w:ascii="Times New Roman" w:eastAsia="宋体" w:hAnsi="Times New Roman"/>
          <w:sz w:val="20"/>
          <w:szCs w:val="20"/>
        </w:rPr>
        <w:t>ouncement.</w:t>
      </w:r>
    </w:p>
    <w:p w14:paraId="42A11CD4"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Short-term Borrowings</w:t>
      </w:r>
    </w:p>
    <w:p w14:paraId="42A11CD5"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Net cash flows used in short-term borrowings increased in fiscal 2020 and were relatively flat in fiscal 2019. We generally utilize the liquidity provided by short-term borrowings to provide funding for our operations, divi</w:t>
      </w:r>
      <w:r>
        <w:rPr>
          <w:rFonts w:ascii="Times New Roman" w:eastAsia="宋体" w:hAnsi="Times New Roman"/>
          <w:sz w:val="20"/>
          <w:szCs w:val="20"/>
        </w:rPr>
        <w:t>dend payments, share repurchases, capital expenditures and other cash requirements. For fiscal 2020, the additional cash used in short-term borrowings was primarily due to long-term debt issuances being used to pay down short-term borrowings.</w:t>
      </w:r>
    </w:p>
    <w:p w14:paraId="42A11CD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w:t>
      </w:r>
      <w:r>
        <w:rPr>
          <w:rFonts w:ascii="Times New Roman" w:eastAsia="宋体" w:hAnsi="Times New Roman"/>
          <w:sz w:val="20"/>
          <w:szCs w:val="20"/>
        </w:rPr>
        <w:t>following table includes additional information related to the Company's short-term borrowings for fiscal 2020, 2019 and 2018:</w:t>
      </w:r>
    </w:p>
    <w:p w14:paraId="42A11CD7" w14:textId="77777777" w:rsidR="00BB68E1" w:rsidRDefault="00BB68E1">
      <w:pPr>
        <w:rPr>
          <w:rFonts w:ascii="Times New Roman" w:hAnsi="Times New Roman"/>
          <w:sz w:val="20"/>
          <w:szCs w:val="20"/>
        </w:rPr>
      </w:pPr>
    </w:p>
    <w:p w14:paraId="42A11CD8"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39</w:t>
      </w:r>
    </w:p>
    <w:p w14:paraId="42A11CD9" w14:textId="77777777" w:rsidR="00BB68E1" w:rsidRDefault="00BB68E1">
      <w:pPr>
        <w:spacing w:line="288" w:lineRule="auto"/>
        <w:jc w:val="center"/>
        <w:rPr>
          <w:rFonts w:ascii="Times New Roman" w:hAnsi="Times New Roman"/>
          <w:sz w:val="20"/>
          <w:szCs w:val="20"/>
        </w:rPr>
      </w:pPr>
    </w:p>
    <w:p w14:paraId="42A11CDA" w14:textId="77777777" w:rsidR="00BB68E1" w:rsidRDefault="005D2D5E">
      <w:r>
        <w:rPr>
          <w:rFonts w:ascii="Times New Roman" w:hAnsi="Times New Roman"/>
          <w:sz w:val="20"/>
          <w:szCs w:val="20"/>
        </w:rPr>
        <w:pict w14:anchorId="42A1429E">
          <v:rect id="_x0000_i1063" style="width:415.3pt;height:1.5pt" o:hralign="center" o:hrstd="t" o:hr="t" fillcolor="#a0a0a0" stroked="f"/>
        </w:pict>
      </w:r>
    </w:p>
    <w:p w14:paraId="42A11CDB" w14:textId="77777777" w:rsidR="00BB68E1" w:rsidRDefault="00BB68E1">
      <w:pPr>
        <w:spacing w:line="288" w:lineRule="auto"/>
        <w:rPr>
          <w:rFonts w:ascii="Times New Roman" w:hAnsi="Times New Roman"/>
          <w:sz w:val="20"/>
          <w:szCs w:val="20"/>
        </w:rPr>
      </w:pPr>
    </w:p>
    <w:p w14:paraId="42A11CDC" w14:textId="77777777" w:rsidR="00BB68E1" w:rsidRDefault="00BB68E1">
      <w:pPr>
        <w:rPr>
          <w:rFonts w:ascii="Times New Roman" w:hAnsi="Times New Roman"/>
          <w:sz w:val="20"/>
          <w:szCs w:val="20"/>
        </w:rPr>
      </w:pPr>
    </w:p>
    <w:tbl>
      <w:tblPr>
        <w:tblW w:w="4990" w:type="pct"/>
        <w:tblCellMar>
          <w:left w:w="0" w:type="dxa"/>
          <w:right w:w="0" w:type="dxa"/>
        </w:tblCellMar>
        <w:tblLook w:val="04A0" w:firstRow="1" w:lastRow="0" w:firstColumn="1" w:lastColumn="0" w:noHBand="0" w:noVBand="1"/>
      </w:tblPr>
      <w:tblGrid>
        <w:gridCol w:w="4676"/>
        <w:gridCol w:w="130"/>
        <w:gridCol w:w="120"/>
        <w:gridCol w:w="780"/>
        <w:gridCol w:w="174"/>
        <w:gridCol w:w="130"/>
        <w:gridCol w:w="120"/>
        <w:gridCol w:w="780"/>
        <w:gridCol w:w="174"/>
        <w:gridCol w:w="130"/>
        <w:gridCol w:w="120"/>
        <w:gridCol w:w="781"/>
        <w:gridCol w:w="174"/>
      </w:tblGrid>
      <w:tr w:rsidR="00BB68E1" w14:paraId="42A11CDE" w14:textId="77777777">
        <w:tc>
          <w:tcPr>
            <w:tcW w:w="0" w:type="auto"/>
            <w:gridSpan w:val="13"/>
            <w:shd w:val="clear" w:color="auto" w:fill="auto"/>
            <w:vAlign w:val="center"/>
          </w:tcPr>
          <w:p w14:paraId="42A11CDD" w14:textId="77777777" w:rsidR="00BB68E1" w:rsidRDefault="00BB68E1">
            <w:pPr>
              <w:rPr>
                <w:rFonts w:ascii="Times New Roman" w:hAnsi="Times New Roman"/>
                <w:sz w:val="20"/>
                <w:szCs w:val="20"/>
              </w:rPr>
            </w:pPr>
          </w:p>
        </w:tc>
      </w:tr>
      <w:tr w:rsidR="00BB68E1" w14:paraId="42A11CEC" w14:textId="77777777">
        <w:tc>
          <w:tcPr>
            <w:tcW w:w="2900" w:type="pct"/>
            <w:shd w:val="clear" w:color="auto" w:fill="auto"/>
            <w:vAlign w:val="center"/>
          </w:tcPr>
          <w:p w14:paraId="42A11CDF" w14:textId="77777777" w:rsidR="00BB68E1" w:rsidRDefault="00BB68E1">
            <w:pPr>
              <w:rPr>
                <w:rFonts w:ascii="Times New Roman" w:hAnsi="Times New Roman"/>
                <w:sz w:val="20"/>
                <w:szCs w:val="20"/>
              </w:rPr>
            </w:pPr>
          </w:p>
        </w:tc>
        <w:tc>
          <w:tcPr>
            <w:tcW w:w="50" w:type="pct"/>
            <w:shd w:val="clear" w:color="auto" w:fill="auto"/>
            <w:vAlign w:val="center"/>
          </w:tcPr>
          <w:p w14:paraId="42A11CE0" w14:textId="77777777" w:rsidR="00BB68E1" w:rsidRDefault="00BB68E1">
            <w:pPr>
              <w:rPr>
                <w:rFonts w:ascii="Times New Roman" w:hAnsi="Times New Roman"/>
                <w:sz w:val="20"/>
                <w:szCs w:val="20"/>
              </w:rPr>
            </w:pPr>
          </w:p>
        </w:tc>
        <w:tc>
          <w:tcPr>
            <w:tcW w:w="50" w:type="pct"/>
            <w:shd w:val="clear" w:color="auto" w:fill="auto"/>
            <w:vAlign w:val="center"/>
          </w:tcPr>
          <w:p w14:paraId="42A11CE1" w14:textId="77777777" w:rsidR="00BB68E1" w:rsidRDefault="00BB68E1">
            <w:pPr>
              <w:rPr>
                <w:rFonts w:ascii="Times New Roman" w:hAnsi="Times New Roman"/>
                <w:sz w:val="20"/>
                <w:szCs w:val="20"/>
              </w:rPr>
            </w:pPr>
          </w:p>
        </w:tc>
        <w:tc>
          <w:tcPr>
            <w:tcW w:w="550" w:type="pct"/>
            <w:shd w:val="clear" w:color="auto" w:fill="auto"/>
            <w:vAlign w:val="center"/>
          </w:tcPr>
          <w:p w14:paraId="42A11CE2" w14:textId="77777777" w:rsidR="00BB68E1" w:rsidRDefault="00BB68E1">
            <w:pPr>
              <w:rPr>
                <w:rFonts w:ascii="Times New Roman" w:hAnsi="Times New Roman"/>
                <w:sz w:val="20"/>
                <w:szCs w:val="20"/>
              </w:rPr>
            </w:pPr>
          </w:p>
        </w:tc>
        <w:tc>
          <w:tcPr>
            <w:tcW w:w="50" w:type="pct"/>
            <w:shd w:val="clear" w:color="auto" w:fill="auto"/>
            <w:vAlign w:val="center"/>
          </w:tcPr>
          <w:p w14:paraId="42A11CE3" w14:textId="77777777" w:rsidR="00BB68E1" w:rsidRDefault="00BB68E1">
            <w:pPr>
              <w:rPr>
                <w:rFonts w:ascii="Times New Roman" w:hAnsi="Times New Roman"/>
                <w:sz w:val="20"/>
                <w:szCs w:val="20"/>
              </w:rPr>
            </w:pPr>
          </w:p>
        </w:tc>
        <w:tc>
          <w:tcPr>
            <w:tcW w:w="50" w:type="pct"/>
            <w:shd w:val="clear" w:color="auto" w:fill="auto"/>
            <w:vAlign w:val="center"/>
          </w:tcPr>
          <w:p w14:paraId="42A11CE4" w14:textId="77777777" w:rsidR="00BB68E1" w:rsidRDefault="00BB68E1">
            <w:pPr>
              <w:rPr>
                <w:rFonts w:ascii="Times New Roman" w:hAnsi="Times New Roman"/>
                <w:sz w:val="20"/>
                <w:szCs w:val="20"/>
              </w:rPr>
            </w:pPr>
          </w:p>
        </w:tc>
        <w:tc>
          <w:tcPr>
            <w:tcW w:w="50" w:type="pct"/>
            <w:shd w:val="clear" w:color="auto" w:fill="auto"/>
            <w:vAlign w:val="center"/>
          </w:tcPr>
          <w:p w14:paraId="42A11CE5" w14:textId="77777777" w:rsidR="00BB68E1" w:rsidRDefault="00BB68E1">
            <w:pPr>
              <w:rPr>
                <w:rFonts w:ascii="Times New Roman" w:hAnsi="Times New Roman"/>
                <w:sz w:val="20"/>
                <w:szCs w:val="20"/>
              </w:rPr>
            </w:pPr>
          </w:p>
        </w:tc>
        <w:tc>
          <w:tcPr>
            <w:tcW w:w="550" w:type="pct"/>
            <w:shd w:val="clear" w:color="auto" w:fill="auto"/>
            <w:vAlign w:val="center"/>
          </w:tcPr>
          <w:p w14:paraId="42A11CE6" w14:textId="77777777" w:rsidR="00BB68E1" w:rsidRDefault="00BB68E1">
            <w:pPr>
              <w:rPr>
                <w:rFonts w:ascii="Times New Roman" w:hAnsi="Times New Roman"/>
                <w:sz w:val="20"/>
                <w:szCs w:val="20"/>
              </w:rPr>
            </w:pPr>
          </w:p>
        </w:tc>
        <w:tc>
          <w:tcPr>
            <w:tcW w:w="50" w:type="pct"/>
            <w:shd w:val="clear" w:color="auto" w:fill="auto"/>
            <w:vAlign w:val="center"/>
          </w:tcPr>
          <w:p w14:paraId="42A11CE7" w14:textId="77777777" w:rsidR="00BB68E1" w:rsidRDefault="00BB68E1">
            <w:pPr>
              <w:rPr>
                <w:rFonts w:ascii="Times New Roman" w:hAnsi="Times New Roman"/>
                <w:sz w:val="20"/>
                <w:szCs w:val="20"/>
              </w:rPr>
            </w:pPr>
          </w:p>
        </w:tc>
        <w:tc>
          <w:tcPr>
            <w:tcW w:w="50" w:type="pct"/>
            <w:shd w:val="clear" w:color="auto" w:fill="auto"/>
            <w:vAlign w:val="center"/>
          </w:tcPr>
          <w:p w14:paraId="42A11CE8" w14:textId="77777777" w:rsidR="00BB68E1" w:rsidRDefault="00BB68E1">
            <w:pPr>
              <w:rPr>
                <w:rFonts w:ascii="Times New Roman" w:hAnsi="Times New Roman"/>
                <w:sz w:val="20"/>
                <w:szCs w:val="20"/>
              </w:rPr>
            </w:pPr>
          </w:p>
        </w:tc>
        <w:tc>
          <w:tcPr>
            <w:tcW w:w="50" w:type="pct"/>
            <w:shd w:val="clear" w:color="auto" w:fill="auto"/>
            <w:vAlign w:val="center"/>
          </w:tcPr>
          <w:p w14:paraId="42A11CE9" w14:textId="77777777" w:rsidR="00BB68E1" w:rsidRDefault="00BB68E1">
            <w:pPr>
              <w:rPr>
                <w:rFonts w:ascii="Times New Roman" w:hAnsi="Times New Roman"/>
                <w:sz w:val="20"/>
                <w:szCs w:val="20"/>
              </w:rPr>
            </w:pPr>
          </w:p>
        </w:tc>
        <w:tc>
          <w:tcPr>
            <w:tcW w:w="550" w:type="pct"/>
            <w:shd w:val="clear" w:color="auto" w:fill="auto"/>
            <w:vAlign w:val="center"/>
          </w:tcPr>
          <w:p w14:paraId="42A11CEA" w14:textId="77777777" w:rsidR="00BB68E1" w:rsidRDefault="00BB68E1">
            <w:pPr>
              <w:rPr>
                <w:rFonts w:ascii="Times New Roman" w:hAnsi="Times New Roman"/>
                <w:sz w:val="20"/>
                <w:szCs w:val="20"/>
              </w:rPr>
            </w:pPr>
          </w:p>
        </w:tc>
        <w:tc>
          <w:tcPr>
            <w:tcW w:w="50" w:type="pct"/>
            <w:shd w:val="clear" w:color="auto" w:fill="auto"/>
            <w:vAlign w:val="center"/>
          </w:tcPr>
          <w:p w14:paraId="42A11CEB" w14:textId="77777777" w:rsidR="00BB68E1" w:rsidRDefault="00BB68E1">
            <w:pPr>
              <w:rPr>
                <w:rFonts w:ascii="Times New Roman" w:hAnsi="Times New Roman"/>
                <w:sz w:val="20"/>
                <w:szCs w:val="20"/>
              </w:rPr>
            </w:pPr>
          </w:p>
        </w:tc>
      </w:tr>
      <w:tr w:rsidR="00BB68E1" w14:paraId="42A11CF0" w14:textId="77777777">
        <w:tc>
          <w:tcPr>
            <w:tcW w:w="0" w:type="auto"/>
            <w:shd w:val="clear" w:color="auto" w:fill="auto"/>
            <w:tcMar>
              <w:top w:w="40" w:type="dxa"/>
              <w:left w:w="40" w:type="dxa"/>
              <w:bottom w:w="40" w:type="dxa"/>
              <w:right w:w="40" w:type="dxa"/>
            </w:tcMar>
            <w:vAlign w:val="bottom"/>
          </w:tcPr>
          <w:p w14:paraId="42A11CED"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1CE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1CE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1CF8" w14:textId="77777777">
        <w:tc>
          <w:tcPr>
            <w:tcW w:w="0" w:type="auto"/>
            <w:shd w:val="clear" w:color="auto" w:fill="auto"/>
            <w:tcMar>
              <w:top w:w="40" w:type="dxa"/>
              <w:left w:w="40" w:type="dxa"/>
              <w:bottom w:w="40" w:type="dxa"/>
              <w:right w:w="40" w:type="dxa"/>
            </w:tcMar>
            <w:vAlign w:val="bottom"/>
          </w:tcPr>
          <w:p w14:paraId="42A11CF1"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1CF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CF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1CF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CF5"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1CF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CF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1D06" w14:textId="77777777">
        <w:tc>
          <w:tcPr>
            <w:tcW w:w="0" w:type="auto"/>
            <w:shd w:val="clear" w:color="auto" w:fill="CCEEFF"/>
            <w:tcMar>
              <w:top w:w="40" w:type="dxa"/>
              <w:left w:w="40" w:type="dxa"/>
              <w:bottom w:w="40" w:type="dxa"/>
              <w:right w:w="40" w:type="dxa"/>
            </w:tcMar>
            <w:vAlign w:val="center"/>
          </w:tcPr>
          <w:p w14:paraId="42A11CF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Maximum amount </w:t>
            </w:r>
            <w:r>
              <w:rPr>
                <w:rFonts w:ascii="Times New Roman" w:eastAsia="宋体" w:hAnsi="Times New Roman"/>
                <w:sz w:val="16"/>
                <w:szCs w:val="16"/>
              </w:rPr>
              <w:t>outstanding at any month-end</w:t>
            </w:r>
          </w:p>
        </w:tc>
        <w:tc>
          <w:tcPr>
            <w:tcW w:w="0" w:type="auto"/>
            <w:shd w:val="clear" w:color="auto" w:fill="CCEEFF"/>
            <w:tcMar>
              <w:top w:w="40" w:type="dxa"/>
              <w:left w:w="40" w:type="dxa"/>
              <w:bottom w:w="40" w:type="dxa"/>
              <w:right w:w="40" w:type="dxa"/>
            </w:tcMar>
            <w:vAlign w:val="bottom"/>
          </w:tcPr>
          <w:p w14:paraId="42A11CF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CF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CF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13,315</w:t>
            </w:r>
          </w:p>
        </w:tc>
        <w:tc>
          <w:tcPr>
            <w:tcW w:w="0" w:type="auto"/>
            <w:tcBorders>
              <w:top w:val="single" w:sz="8" w:space="0" w:color="000000"/>
            </w:tcBorders>
            <w:shd w:val="clear" w:color="auto" w:fill="CCEEFF"/>
            <w:vAlign w:val="bottom"/>
          </w:tcPr>
          <w:p w14:paraId="42A11CF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CF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CF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D0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13,389</w:t>
            </w:r>
          </w:p>
        </w:tc>
        <w:tc>
          <w:tcPr>
            <w:tcW w:w="0" w:type="auto"/>
            <w:tcBorders>
              <w:top w:val="single" w:sz="8" w:space="0" w:color="000000"/>
            </w:tcBorders>
            <w:shd w:val="clear" w:color="auto" w:fill="CCEEFF"/>
            <w:vAlign w:val="bottom"/>
          </w:tcPr>
          <w:p w14:paraId="42A11D0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D0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1D0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1D0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11,386</w:t>
            </w:r>
          </w:p>
        </w:tc>
        <w:tc>
          <w:tcPr>
            <w:tcW w:w="0" w:type="auto"/>
            <w:tcBorders>
              <w:top w:val="single" w:sz="8" w:space="0" w:color="000000"/>
            </w:tcBorders>
            <w:shd w:val="clear" w:color="auto" w:fill="CCEEFF"/>
            <w:vAlign w:val="bottom"/>
          </w:tcPr>
          <w:p w14:paraId="42A11D05" w14:textId="77777777" w:rsidR="00BB68E1" w:rsidRDefault="00BB68E1">
            <w:pPr>
              <w:textAlignment w:val="bottom"/>
              <w:rPr>
                <w:rFonts w:ascii="Times New Roman" w:hAnsi="Times New Roman"/>
                <w:sz w:val="20"/>
                <w:szCs w:val="20"/>
              </w:rPr>
            </w:pPr>
          </w:p>
        </w:tc>
      </w:tr>
      <w:tr w:rsidR="00BB68E1" w14:paraId="42A11D11" w14:textId="77777777">
        <w:tc>
          <w:tcPr>
            <w:tcW w:w="0" w:type="auto"/>
            <w:shd w:val="clear" w:color="auto" w:fill="auto"/>
            <w:tcMar>
              <w:top w:w="40" w:type="dxa"/>
              <w:left w:w="40" w:type="dxa"/>
              <w:bottom w:w="40" w:type="dxa"/>
              <w:right w:w="40" w:type="dxa"/>
            </w:tcMar>
            <w:vAlign w:val="center"/>
          </w:tcPr>
          <w:p w14:paraId="42A11D0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Average daily short-term borrowings</w:t>
            </w:r>
          </w:p>
        </w:tc>
        <w:tc>
          <w:tcPr>
            <w:tcW w:w="0" w:type="auto"/>
            <w:shd w:val="clear" w:color="auto" w:fill="auto"/>
            <w:tcMar>
              <w:top w:w="40" w:type="dxa"/>
              <w:left w:w="40" w:type="dxa"/>
              <w:bottom w:w="40" w:type="dxa"/>
              <w:right w:w="40" w:type="dxa"/>
            </w:tcMar>
            <w:vAlign w:val="bottom"/>
          </w:tcPr>
          <w:p w14:paraId="42A11D0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D0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7,120</w:t>
            </w:r>
          </w:p>
        </w:tc>
        <w:tc>
          <w:tcPr>
            <w:tcW w:w="0" w:type="auto"/>
            <w:shd w:val="clear" w:color="auto" w:fill="auto"/>
            <w:vAlign w:val="bottom"/>
          </w:tcPr>
          <w:p w14:paraId="42A11D0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D0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D0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10,625</w:t>
            </w:r>
          </w:p>
        </w:tc>
        <w:tc>
          <w:tcPr>
            <w:tcW w:w="0" w:type="auto"/>
            <w:shd w:val="clear" w:color="auto" w:fill="auto"/>
            <w:vAlign w:val="bottom"/>
          </w:tcPr>
          <w:p w14:paraId="42A11D0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D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D0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8,131</w:t>
            </w:r>
          </w:p>
        </w:tc>
        <w:tc>
          <w:tcPr>
            <w:tcW w:w="0" w:type="auto"/>
            <w:shd w:val="clear" w:color="auto" w:fill="auto"/>
            <w:vAlign w:val="bottom"/>
          </w:tcPr>
          <w:p w14:paraId="42A11D10" w14:textId="77777777" w:rsidR="00BB68E1" w:rsidRDefault="00BB68E1">
            <w:pPr>
              <w:textAlignment w:val="bottom"/>
              <w:rPr>
                <w:rFonts w:ascii="Times New Roman" w:hAnsi="Times New Roman"/>
                <w:sz w:val="20"/>
                <w:szCs w:val="20"/>
              </w:rPr>
            </w:pPr>
          </w:p>
        </w:tc>
      </w:tr>
      <w:tr w:rsidR="00BB68E1" w14:paraId="42A11D1C" w14:textId="77777777">
        <w:tc>
          <w:tcPr>
            <w:tcW w:w="0" w:type="auto"/>
            <w:shd w:val="clear" w:color="auto" w:fill="CCEEFF"/>
            <w:tcMar>
              <w:top w:w="40" w:type="dxa"/>
              <w:left w:w="40" w:type="dxa"/>
              <w:bottom w:w="40" w:type="dxa"/>
              <w:right w:w="40" w:type="dxa"/>
            </w:tcMar>
            <w:vAlign w:val="center"/>
          </w:tcPr>
          <w:p w14:paraId="42A11D1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Annual weighted-average interest rate</w:t>
            </w:r>
          </w:p>
        </w:tc>
        <w:tc>
          <w:tcPr>
            <w:tcW w:w="0" w:type="auto"/>
            <w:shd w:val="clear" w:color="auto" w:fill="CCEEFF"/>
            <w:tcMar>
              <w:top w:w="40" w:type="dxa"/>
              <w:left w:w="40" w:type="dxa"/>
              <w:bottom w:w="40" w:type="dxa"/>
              <w:right w:w="40" w:type="dxa"/>
            </w:tcMar>
            <w:vAlign w:val="bottom"/>
          </w:tcPr>
          <w:p w14:paraId="42A11D1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D1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w:t>
            </w:r>
          </w:p>
        </w:tc>
        <w:tc>
          <w:tcPr>
            <w:tcW w:w="0" w:type="auto"/>
            <w:shd w:val="clear" w:color="auto" w:fill="CCEEFF"/>
            <w:tcMar>
              <w:top w:w="40" w:type="dxa"/>
              <w:bottom w:w="40" w:type="dxa"/>
              <w:right w:w="40" w:type="dxa"/>
            </w:tcMar>
            <w:vAlign w:val="center"/>
          </w:tcPr>
          <w:p w14:paraId="42A11D1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D1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D1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w:t>
            </w:r>
          </w:p>
        </w:tc>
        <w:tc>
          <w:tcPr>
            <w:tcW w:w="0" w:type="auto"/>
            <w:shd w:val="clear" w:color="auto" w:fill="CCEEFF"/>
            <w:tcMar>
              <w:top w:w="40" w:type="dxa"/>
              <w:bottom w:w="40" w:type="dxa"/>
              <w:right w:w="40" w:type="dxa"/>
            </w:tcMar>
            <w:vAlign w:val="center"/>
          </w:tcPr>
          <w:p w14:paraId="42A11D1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D1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D1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w:t>
            </w:r>
          </w:p>
        </w:tc>
        <w:tc>
          <w:tcPr>
            <w:tcW w:w="0" w:type="auto"/>
            <w:shd w:val="clear" w:color="auto" w:fill="CCEEFF"/>
            <w:tcMar>
              <w:top w:w="40" w:type="dxa"/>
              <w:bottom w:w="40" w:type="dxa"/>
              <w:right w:w="40" w:type="dxa"/>
            </w:tcMar>
            <w:vAlign w:val="center"/>
          </w:tcPr>
          <w:p w14:paraId="42A11D1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bl>
    <w:p w14:paraId="42A11D1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In addition to our short-term borrowings, we have $15.0 </w:t>
      </w:r>
      <w:r>
        <w:rPr>
          <w:rFonts w:ascii="Times New Roman" w:eastAsia="宋体" w:hAnsi="Times New Roman"/>
          <w:sz w:val="20"/>
          <w:szCs w:val="20"/>
        </w:rPr>
        <w:t>billion of various undrawn committed lines of credit in the U.S. and approximately $2.9 billion of various undrawn committed lines of credit outside of the U.S., as of January 31, 2020, that provide additional liquidity, if needed.</w:t>
      </w:r>
    </w:p>
    <w:p w14:paraId="42A11D1E"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Long-term Debt</w:t>
      </w:r>
    </w:p>
    <w:p w14:paraId="42A11D1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follo</w:t>
      </w:r>
      <w:r>
        <w:rPr>
          <w:rFonts w:ascii="Times New Roman" w:eastAsia="宋体" w:hAnsi="Times New Roman"/>
          <w:sz w:val="20"/>
          <w:szCs w:val="20"/>
        </w:rPr>
        <w:t xml:space="preserve">wing table provides the changes in our long-term debt for fiscal 2020: </w:t>
      </w:r>
    </w:p>
    <w:tbl>
      <w:tblPr>
        <w:tblW w:w="5000" w:type="pct"/>
        <w:tblCellMar>
          <w:left w:w="0" w:type="dxa"/>
          <w:right w:w="0" w:type="dxa"/>
        </w:tblCellMar>
        <w:tblLook w:val="04A0" w:firstRow="1" w:lastRow="0" w:firstColumn="1" w:lastColumn="0" w:noHBand="0" w:noVBand="1"/>
      </w:tblPr>
      <w:tblGrid>
        <w:gridCol w:w="4049"/>
        <w:gridCol w:w="145"/>
        <w:gridCol w:w="121"/>
        <w:gridCol w:w="1059"/>
        <w:gridCol w:w="94"/>
        <w:gridCol w:w="145"/>
        <w:gridCol w:w="121"/>
        <w:gridCol w:w="1059"/>
        <w:gridCol w:w="94"/>
        <w:gridCol w:w="145"/>
        <w:gridCol w:w="120"/>
        <w:gridCol w:w="1060"/>
        <w:gridCol w:w="94"/>
      </w:tblGrid>
      <w:tr w:rsidR="00BB68E1" w14:paraId="42A11D21" w14:textId="77777777">
        <w:tc>
          <w:tcPr>
            <w:tcW w:w="0" w:type="auto"/>
            <w:gridSpan w:val="13"/>
            <w:shd w:val="clear" w:color="auto" w:fill="auto"/>
            <w:vAlign w:val="center"/>
          </w:tcPr>
          <w:p w14:paraId="42A11D20" w14:textId="77777777" w:rsidR="00BB68E1" w:rsidRDefault="00BB68E1">
            <w:pPr>
              <w:rPr>
                <w:rFonts w:ascii="Times New Roman" w:hAnsi="Times New Roman"/>
                <w:sz w:val="20"/>
                <w:szCs w:val="20"/>
              </w:rPr>
            </w:pPr>
          </w:p>
        </w:tc>
      </w:tr>
      <w:tr w:rsidR="00BB68E1" w14:paraId="42A11D2F" w14:textId="77777777">
        <w:tc>
          <w:tcPr>
            <w:tcW w:w="2450" w:type="pct"/>
            <w:shd w:val="clear" w:color="auto" w:fill="auto"/>
            <w:vAlign w:val="center"/>
          </w:tcPr>
          <w:p w14:paraId="42A11D22" w14:textId="77777777" w:rsidR="00BB68E1" w:rsidRDefault="00BB68E1">
            <w:pPr>
              <w:rPr>
                <w:rFonts w:ascii="Times New Roman" w:hAnsi="Times New Roman"/>
                <w:sz w:val="20"/>
                <w:szCs w:val="20"/>
              </w:rPr>
            </w:pPr>
          </w:p>
        </w:tc>
        <w:tc>
          <w:tcPr>
            <w:tcW w:w="100" w:type="pct"/>
            <w:shd w:val="clear" w:color="auto" w:fill="auto"/>
            <w:vAlign w:val="center"/>
          </w:tcPr>
          <w:p w14:paraId="42A11D23" w14:textId="77777777" w:rsidR="00BB68E1" w:rsidRDefault="00BB68E1">
            <w:pPr>
              <w:rPr>
                <w:rFonts w:ascii="Times New Roman" w:hAnsi="Times New Roman"/>
                <w:sz w:val="20"/>
                <w:szCs w:val="20"/>
              </w:rPr>
            </w:pPr>
          </w:p>
        </w:tc>
        <w:tc>
          <w:tcPr>
            <w:tcW w:w="50" w:type="pct"/>
            <w:shd w:val="clear" w:color="auto" w:fill="auto"/>
            <w:vAlign w:val="center"/>
          </w:tcPr>
          <w:p w14:paraId="42A11D24" w14:textId="77777777" w:rsidR="00BB68E1" w:rsidRDefault="00BB68E1">
            <w:pPr>
              <w:rPr>
                <w:rFonts w:ascii="Times New Roman" w:hAnsi="Times New Roman"/>
                <w:sz w:val="20"/>
                <w:szCs w:val="20"/>
              </w:rPr>
            </w:pPr>
          </w:p>
        </w:tc>
        <w:tc>
          <w:tcPr>
            <w:tcW w:w="650" w:type="pct"/>
            <w:shd w:val="clear" w:color="auto" w:fill="auto"/>
            <w:vAlign w:val="center"/>
          </w:tcPr>
          <w:p w14:paraId="42A11D25" w14:textId="77777777" w:rsidR="00BB68E1" w:rsidRDefault="00BB68E1">
            <w:pPr>
              <w:rPr>
                <w:rFonts w:ascii="Times New Roman" w:hAnsi="Times New Roman"/>
                <w:sz w:val="20"/>
                <w:szCs w:val="20"/>
              </w:rPr>
            </w:pPr>
          </w:p>
        </w:tc>
        <w:tc>
          <w:tcPr>
            <w:tcW w:w="50" w:type="pct"/>
            <w:shd w:val="clear" w:color="auto" w:fill="auto"/>
            <w:vAlign w:val="center"/>
          </w:tcPr>
          <w:p w14:paraId="42A11D26" w14:textId="77777777" w:rsidR="00BB68E1" w:rsidRDefault="00BB68E1">
            <w:pPr>
              <w:rPr>
                <w:rFonts w:ascii="Times New Roman" w:hAnsi="Times New Roman"/>
                <w:sz w:val="20"/>
                <w:szCs w:val="20"/>
              </w:rPr>
            </w:pPr>
          </w:p>
        </w:tc>
        <w:tc>
          <w:tcPr>
            <w:tcW w:w="100" w:type="pct"/>
            <w:shd w:val="clear" w:color="auto" w:fill="auto"/>
            <w:vAlign w:val="center"/>
          </w:tcPr>
          <w:p w14:paraId="42A11D27" w14:textId="77777777" w:rsidR="00BB68E1" w:rsidRDefault="00BB68E1">
            <w:pPr>
              <w:rPr>
                <w:rFonts w:ascii="Times New Roman" w:hAnsi="Times New Roman"/>
                <w:sz w:val="20"/>
                <w:szCs w:val="20"/>
              </w:rPr>
            </w:pPr>
          </w:p>
        </w:tc>
        <w:tc>
          <w:tcPr>
            <w:tcW w:w="50" w:type="pct"/>
            <w:shd w:val="clear" w:color="auto" w:fill="auto"/>
            <w:vAlign w:val="center"/>
          </w:tcPr>
          <w:p w14:paraId="42A11D28" w14:textId="77777777" w:rsidR="00BB68E1" w:rsidRDefault="00BB68E1">
            <w:pPr>
              <w:rPr>
                <w:rFonts w:ascii="Times New Roman" w:hAnsi="Times New Roman"/>
                <w:sz w:val="20"/>
                <w:szCs w:val="20"/>
              </w:rPr>
            </w:pPr>
          </w:p>
        </w:tc>
        <w:tc>
          <w:tcPr>
            <w:tcW w:w="650" w:type="pct"/>
            <w:shd w:val="clear" w:color="auto" w:fill="auto"/>
            <w:vAlign w:val="center"/>
          </w:tcPr>
          <w:p w14:paraId="42A11D29" w14:textId="77777777" w:rsidR="00BB68E1" w:rsidRDefault="00BB68E1">
            <w:pPr>
              <w:rPr>
                <w:rFonts w:ascii="Times New Roman" w:hAnsi="Times New Roman"/>
                <w:sz w:val="20"/>
                <w:szCs w:val="20"/>
              </w:rPr>
            </w:pPr>
          </w:p>
        </w:tc>
        <w:tc>
          <w:tcPr>
            <w:tcW w:w="50" w:type="pct"/>
            <w:shd w:val="clear" w:color="auto" w:fill="auto"/>
            <w:vAlign w:val="center"/>
          </w:tcPr>
          <w:p w14:paraId="42A11D2A" w14:textId="77777777" w:rsidR="00BB68E1" w:rsidRDefault="00BB68E1">
            <w:pPr>
              <w:rPr>
                <w:rFonts w:ascii="Times New Roman" w:hAnsi="Times New Roman"/>
                <w:sz w:val="20"/>
                <w:szCs w:val="20"/>
              </w:rPr>
            </w:pPr>
          </w:p>
        </w:tc>
        <w:tc>
          <w:tcPr>
            <w:tcW w:w="100" w:type="pct"/>
            <w:shd w:val="clear" w:color="auto" w:fill="auto"/>
            <w:vAlign w:val="center"/>
          </w:tcPr>
          <w:p w14:paraId="42A11D2B" w14:textId="77777777" w:rsidR="00BB68E1" w:rsidRDefault="00BB68E1">
            <w:pPr>
              <w:rPr>
                <w:rFonts w:ascii="Times New Roman" w:hAnsi="Times New Roman"/>
                <w:sz w:val="20"/>
                <w:szCs w:val="20"/>
              </w:rPr>
            </w:pPr>
          </w:p>
        </w:tc>
        <w:tc>
          <w:tcPr>
            <w:tcW w:w="50" w:type="pct"/>
            <w:shd w:val="clear" w:color="auto" w:fill="auto"/>
            <w:vAlign w:val="center"/>
          </w:tcPr>
          <w:p w14:paraId="42A11D2C" w14:textId="77777777" w:rsidR="00BB68E1" w:rsidRDefault="00BB68E1">
            <w:pPr>
              <w:rPr>
                <w:rFonts w:ascii="Times New Roman" w:hAnsi="Times New Roman"/>
                <w:sz w:val="20"/>
                <w:szCs w:val="20"/>
              </w:rPr>
            </w:pPr>
          </w:p>
        </w:tc>
        <w:tc>
          <w:tcPr>
            <w:tcW w:w="650" w:type="pct"/>
            <w:shd w:val="clear" w:color="auto" w:fill="auto"/>
            <w:vAlign w:val="center"/>
          </w:tcPr>
          <w:p w14:paraId="42A11D2D" w14:textId="77777777" w:rsidR="00BB68E1" w:rsidRDefault="00BB68E1">
            <w:pPr>
              <w:rPr>
                <w:rFonts w:ascii="Times New Roman" w:hAnsi="Times New Roman"/>
                <w:sz w:val="20"/>
                <w:szCs w:val="20"/>
              </w:rPr>
            </w:pPr>
          </w:p>
        </w:tc>
        <w:tc>
          <w:tcPr>
            <w:tcW w:w="50" w:type="pct"/>
            <w:shd w:val="clear" w:color="auto" w:fill="auto"/>
            <w:vAlign w:val="center"/>
          </w:tcPr>
          <w:p w14:paraId="42A11D2E" w14:textId="77777777" w:rsidR="00BB68E1" w:rsidRDefault="00BB68E1">
            <w:pPr>
              <w:rPr>
                <w:rFonts w:ascii="Times New Roman" w:hAnsi="Times New Roman"/>
                <w:sz w:val="20"/>
                <w:szCs w:val="20"/>
              </w:rPr>
            </w:pPr>
          </w:p>
        </w:tc>
      </w:tr>
      <w:tr w:rsidR="00BB68E1" w14:paraId="42A11D37" w14:textId="77777777">
        <w:tc>
          <w:tcPr>
            <w:tcW w:w="0" w:type="auto"/>
            <w:shd w:val="clear" w:color="auto" w:fill="auto"/>
            <w:tcMar>
              <w:top w:w="40" w:type="dxa"/>
              <w:left w:w="40" w:type="dxa"/>
              <w:bottom w:w="40" w:type="dxa"/>
              <w:right w:w="40" w:type="dxa"/>
            </w:tcMar>
            <w:vAlign w:val="bottom"/>
          </w:tcPr>
          <w:p w14:paraId="42A11D30"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1D3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D3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 xml:space="preserve">Long-term debt </w:t>
            </w:r>
            <w:r>
              <w:rPr>
                <w:rFonts w:ascii="Times New Roman" w:eastAsia="宋体" w:hAnsi="Times New Roman"/>
                <w:b/>
                <w:bCs/>
                <w:sz w:val="16"/>
                <w:szCs w:val="16"/>
              </w:rPr>
              <w:lastRenderedPageBreak/>
              <w:t>due within one year</w:t>
            </w:r>
          </w:p>
        </w:tc>
        <w:tc>
          <w:tcPr>
            <w:tcW w:w="0" w:type="auto"/>
            <w:shd w:val="clear" w:color="auto" w:fill="auto"/>
            <w:tcMar>
              <w:top w:w="40" w:type="dxa"/>
              <w:left w:w="40" w:type="dxa"/>
              <w:bottom w:w="40" w:type="dxa"/>
              <w:right w:w="40" w:type="dxa"/>
            </w:tcMar>
            <w:vAlign w:val="bottom"/>
          </w:tcPr>
          <w:p w14:paraId="42A11D3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D34"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Long-term debt</w:t>
            </w:r>
          </w:p>
        </w:tc>
        <w:tc>
          <w:tcPr>
            <w:tcW w:w="0" w:type="auto"/>
            <w:shd w:val="clear" w:color="auto" w:fill="auto"/>
            <w:tcMar>
              <w:top w:w="40" w:type="dxa"/>
              <w:left w:w="40" w:type="dxa"/>
              <w:bottom w:w="40" w:type="dxa"/>
              <w:right w:w="40" w:type="dxa"/>
            </w:tcMar>
            <w:vAlign w:val="bottom"/>
          </w:tcPr>
          <w:p w14:paraId="42A11D3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D36"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BB68E1" w14:paraId="42A11D45" w14:textId="77777777">
        <w:tc>
          <w:tcPr>
            <w:tcW w:w="0" w:type="auto"/>
            <w:shd w:val="clear" w:color="auto" w:fill="CCEEFF"/>
            <w:tcMar>
              <w:top w:w="40" w:type="dxa"/>
              <w:left w:w="40" w:type="dxa"/>
              <w:bottom w:w="40" w:type="dxa"/>
              <w:right w:w="40" w:type="dxa"/>
            </w:tcMar>
            <w:vAlign w:val="center"/>
          </w:tcPr>
          <w:p w14:paraId="42A11D38"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Balances as of February 1, 2019</w:t>
            </w:r>
          </w:p>
        </w:tc>
        <w:tc>
          <w:tcPr>
            <w:tcW w:w="0" w:type="auto"/>
            <w:shd w:val="clear" w:color="auto" w:fill="CCEEFF"/>
            <w:tcMar>
              <w:top w:w="40" w:type="dxa"/>
              <w:left w:w="40" w:type="dxa"/>
              <w:bottom w:w="40" w:type="dxa"/>
              <w:right w:w="40" w:type="dxa"/>
            </w:tcMar>
            <w:vAlign w:val="bottom"/>
          </w:tcPr>
          <w:p w14:paraId="42A11D3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D3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D3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1,876</w:t>
            </w:r>
          </w:p>
        </w:tc>
        <w:tc>
          <w:tcPr>
            <w:tcW w:w="0" w:type="auto"/>
            <w:shd w:val="clear" w:color="auto" w:fill="CCEEFF"/>
            <w:vAlign w:val="bottom"/>
          </w:tcPr>
          <w:p w14:paraId="42A11D3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D3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D3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D3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43,520</w:t>
            </w:r>
          </w:p>
        </w:tc>
        <w:tc>
          <w:tcPr>
            <w:tcW w:w="0" w:type="auto"/>
            <w:shd w:val="clear" w:color="auto" w:fill="CCEEFF"/>
            <w:vAlign w:val="bottom"/>
          </w:tcPr>
          <w:p w14:paraId="42A11D4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D4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D4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D4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45,396</w:t>
            </w:r>
          </w:p>
        </w:tc>
        <w:tc>
          <w:tcPr>
            <w:tcW w:w="0" w:type="auto"/>
            <w:shd w:val="clear" w:color="auto" w:fill="CCEEFF"/>
            <w:vAlign w:val="bottom"/>
          </w:tcPr>
          <w:p w14:paraId="42A11D44" w14:textId="77777777" w:rsidR="00BB68E1" w:rsidRDefault="00BB68E1">
            <w:pPr>
              <w:textAlignment w:val="bottom"/>
              <w:rPr>
                <w:rFonts w:ascii="Times New Roman" w:hAnsi="Times New Roman"/>
                <w:sz w:val="20"/>
                <w:szCs w:val="20"/>
              </w:rPr>
            </w:pPr>
          </w:p>
        </w:tc>
      </w:tr>
      <w:tr w:rsidR="00BB68E1" w14:paraId="42A11D50" w14:textId="77777777">
        <w:tc>
          <w:tcPr>
            <w:tcW w:w="0" w:type="auto"/>
            <w:shd w:val="clear" w:color="auto" w:fill="auto"/>
            <w:tcMar>
              <w:top w:w="40" w:type="dxa"/>
              <w:left w:w="40" w:type="dxa"/>
              <w:bottom w:w="40" w:type="dxa"/>
              <w:right w:w="40" w:type="dxa"/>
            </w:tcMar>
            <w:vAlign w:val="center"/>
          </w:tcPr>
          <w:p w14:paraId="42A11D4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Proceeds from issuance of long-term debt</w:t>
            </w:r>
          </w:p>
        </w:tc>
        <w:tc>
          <w:tcPr>
            <w:tcW w:w="0" w:type="auto"/>
            <w:shd w:val="clear" w:color="auto" w:fill="auto"/>
            <w:tcMar>
              <w:top w:w="40" w:type="dxa"/>
              <w:left w:w="40" w:type="dxa"/>
              <w:bottom w:w="40" w:type="dxa"/>
              <w:right w:w="40" w:type="dxa"/>
            </w:tcMar>
            <w:vAlign w:val="bottom"/>
          </w:tcPr>
          <w:p w14:paraId="42A11D4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D4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D4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D4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D4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5,492</w:t>
            </w:r>
          </w:p>
        </w:tc>
        <w:tc>
          <w:tcPr>
            <w:tcW w:w="0" w:type="auto"/>
            <w:shd w:val="clear" w:color="auto" w:fill="auto"/>
            <w:vAlign w:val="bottom"/>
          </w:tcPr>
          <w:p w14:paraId="42A11D4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D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D4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5,492</w:t>
            </w:r>
          </w:p>
        </w:tc>
        <w:tc>
          <w:tcPr>
            <w:tcW w:w="0" w:type="auto"/>
            <w:shd w:val="clear" w:color="auto" w:fill="auto"/>
            <w:vAlign w:val="bottom"/>
          </w:tcPr>
          <w:p w14:paraId="42A11D4F" w14:textId="77777777" w:rsidR="00BB68E1" w:rsidRDefault="00BB68E1">
            <w:pPr>
              <w:textAlignment w:val="bottom"/>
              <w:rPr>
                <w:rFonts w:ascii="Times New Roman" w:hAnsi="Times New Roman"/>
                <w:sz w:val="20"/>
                <w:szCs w:val="20"/>
              </w:rPr>
            </w:pPr>
          </w:p>
        </w:tc>
      </w:tr>
      <w:tr w:rsidR="00BB68E1" w14:paraId="42A11D5B" w14:textId="77777777">
        <w:tc>
          <w:tcPr>
            <w:tcW w:w="0" w:type="auto"/>
            <w:shd w:val="clear" w:color="auto" w:fill="CCEEFF"/>
            <w:tcMar>
              <w:top w:w="40" w:type="dxa"/>
              <w:left w:w="40" w:type="dxa"/>
              <w:bottom w:w="40" w:type="dxa"/>
              <w:right w:w="40" w:type="dxa"/>
            </w:tcMar>
            <w:vAlign w:val="center"/>
          </w:tcPr>
          <w:p w14:paraId="42A11D5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Payments of long-term debt</w:t>
            </w:r>
          </w:p>
        </w:tc>
        <w:tc>
          <w:tcPr>
            <w:tcW w:w="0" w:type="auto"/>
            <w:shd w:val="clear" w:color="auto" w:fill="CCEEFF"/>
            <w:tcMar>
              <w:top w:w="40" w:type="dxa"/>
              <w:left w:w="40" w:type="dxa"/>
              <w:bottom w:w="40" w:type="dxa"/>
              <w:right w:w="40" w:type="dxa"/>
            </w:tcMar>
            <w:vAlign w:val="bottom"/>
          </w:tcPr>
          <w:p w14:paraId="42A11D5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D5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(1,907</w:t>
            </w:r>
          </w:p>
        </w:tc>
        <w:tc>
          <w:tcPr>
            <w:tcW w:w="0" w:type="auto"/>
            <w:shd w:val="clear" w:color="auto" w:fill="CCEEFF"/>
            <w:tcMar>
              <w:top w:w="40" w:type="dxa"/>
              <w:bottom w:w="40" w:type="dxa"/>
              <w:right w:w="40" w:type="dxa"/>
            </w:tcMar>
            <w:vAlign w:val="center"/>
          </w:tcPr>
          <w:p w14:paraId="42A11D5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D5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D5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D5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D5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D5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(1,907</w:t>
            </w:r>
          </w:p>
        </w:tc>
        <w:tc>
          <w:tcPr>
            <w:tcW w:w="0" w:type="auto"/>
            <w:shd w:val="clear" w:color="auto" w:fill="CCEEFF"/>
            <w:tcMar>
              <w:top w:w="40" w:type="dxa"/>
              <w:bottom w:w="40" w:type="dxa"/>
              <w:right w:w="40" w:type="dxa"/>
            </w:tcMar>
            <w:vAlign w:val="center"/>
          </w:tcPr>
          <w:p w14:paraId="42A11D5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D66" w14:textId="77777777">
        <w:tc>
          <w:tcPr>
            <w:tcW w:w="0" w:type="auto"/>
            <w:shd w:val="clear" w:color="auto" w:fill="auto"/>
            <w:tcMar>
              <w:top w:w="40" w:type="dxa"/>
              <w:left w:w="40" w:type="dxa"/>
              <w:bottom w:w="40" w:type="dxa"/>
              <w:right w:w="40" w:type="dxa"/>
            </w:tcMar>
            <w:vAlign w:val="center"/>
          </w:tcPr>
          <w:p w14:paraId="42A11D5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Reclassifications of long-term debt</w:t>
            </w:r>
          </w:p>
        </w:tc>
        <w:tc>
          <w:tcPr>
            <w:tcW w:w="0" w:type="auto"/>
            <w:shd w:val="clear" w:color="auto" w:fill="auto"/>
            <w:tcMar>
              <w:top w:w="40" w:type="dxa"/>
              <w:left w:w="40" w:type="dxa"/>
              <w:bottom w:w="40" w:type="dxa"/>
              <w:right w:w="40" w:type="dxa"/>
            </w:tcMar>
            <w:vAlign w:val="bottom"/>
          </w:tcPr>
          <w:p w14:paraId="42A11D5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D5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5,378</w:t>
            </w:r>
          </w:p>
        </w:tc>
        <w:tc>
          <w:tcPr>
            <w:tcW w:w="0" w:type="auto"/>
            <w:shd w:val="clear" w:color="auto" w:fill="auto"/>
            <w:vAlign w:val="bottom"/>
          </w:tcPr>
          <w:p w14:paraId="42A11D5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D6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D6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(5,378</w:t>
            </w:r>
          </w:p>
        </w:tc>
        <w:tc>
          <w:tcPr>
            <w:tcW w:w="0" w:type="auto"/>
            <w:shd w:val="clear" w:color="auto" w:fill="auto"/>
            <w:tcMar>
              <w:top w:w="40" w:type="dxa"/>
              <w:bottom w:w="40" w:type="dxa"/>
              <w:right w:w="40" w:type="dxa"/>
            </w:tcMar>
            <w:vAlign w:val="center"/>
          </w:tcPr>
          <w:p w14:paraId="42A11D6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D6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D6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D65" w14:textId="77777777" w:rsidR="00BB68E1" w:rsidRDefault="00BB68E1">
            <w:pPr>
              <w:textAlignment w:val="bottom"/>
              <w:rPr>
                <w:rFonts w:ascii="Times New Roman" w:hAnsi="Times New Roman"/>
                <w:sz w:val="20"/>
                <w:szCs w:val="20"/>
              </w:rPr>
            </w:pPr>
          </w:p>
        </w:tc>
      </w:tr>
      <w:tr w:rsidR="00BB68E1" w14:paraId="42A11D71" w14:textId="77777777">
        <w:tc>
          <w:tcPr>
            <w:tcW w:w="0" w:type="auto"/>
            <w:shd w:val="clear" w:color="auto" w:fill="CCEEFF"/>
            <w:tcMar>
              <w:top w:w="40" w:type="dxa"/>
              <w:left w:w="40" w:type="dxa"/>
              <w:bottom w:w="40" w:type="dxa"/>
              <w:right w:w="40" w:type="dxa"/>
            </w:tcMar>
            <w:vAlign w:val="bottom"/>
          </w:tcPr>
          <w:p w14:paraId="42A11D6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Other</w:t>
            </w:r>
          </w:p>
        </w:tc>
        <w:tc>
          <w:tcPr>
            <w:tcW w:w="0" w:type="auto"/>
            <w:shd w:val="clear" w:color="auto" w:fill="CCEEFF"/>
            <w:tcMar>
              <w:top w:w="40" w:type="dxa"/>
              <w:left w:w="40" w:type="dxa"/>
              <w:bottom w:w="40" w:type="dxa"/>
              <w:right w:w="40" w:type="dxa"/>
            </w:tcMar>
            <w:vAlign w:val="bottom"/>
          </w:tcPr>
          <w:p w14:paraId="42A11D6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1D6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tcBorders>
              <w:bottom w:val="single" w:sz="8" w:space="0" w:color="000000"/>
            </w:tcBorders>
            <w:shd w:val="clear" w:color="auto" w:fill="CCEEFF"/>
            <w:vAlign w:val="bottom"/>
          </w:tcPr>
          <w:p w14:paraId="42A11D6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D6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2A11D6C"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80</w:t>
            </w:r>
          </w:p>
        </w:tc>
        <w:tc>
          <w:tcPr>
            <w:tcW w:w="0" w:type="auto"/>
            <w:tcBorders>
              <w:bottom w:val="single" w:sz="8" w:space="0" w:color="000000"/>
            </w:tcBorders>
            <w:shd w:val="clear" w:color="auto" w:fill="CCEEFF"/>
            <w:vAlign w:val="bottom"/>
          </w:tcPr>
          <w:p w14:paraId="42A11D6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D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2A11D6F"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95</w:t>
            </w:r>
          </w:p>
        </w:tc>
        <w:tc>
          <w:tcPr>
            <w:tcW w:w="0" w:type="auto"/>
            <w:tcBorders>
              <w:bottom w:val="single" w:sz="8" w:space="0" w:color="000000"/>
            </w:tcBorders>
            <w:shd w:val="clear" w:color="auto" w:fill="CCEEFF"/>
            <w:vAlign w:val="bottom"/>
          </w:tcPr>
          <w:p w14:paraId="42A11D70" w14:textId="77777777" w:rsidR="00BB68E1" w:rsidRDefault="00BB68E1">
            <w:pPr>
              <w:textAlignment w:val="bottom"/>
              <w:rPr>
                <w:rFonts w:ascii="Times New Roman" w:hAnsi="Times New Roman"/>
                <w:sz w:val="20"/>
                <w:szCs w:val="20"/>
              </w:rPr>
            </w:pPr>
          </w:p>
        </w:tc>
      </w:tr>
      <w:tr w:rsidR="00BB68E1" w14:paraId="42A11D7F" w14:textId="77777777">
        <w:tc>
          <w:tcPr>
            <w:tcW w:w="0" w:type="auto"/>
            <w:shd w:val="clear" w:color="auto" w:fill="auto"/>
            <w:tcMar>
              <w:top w:w="40" w:type="dxa"/>
              <w:left w:w="40" w:type="dxa"/>
              <w:bottom w:w="40" w:type="dxa"/>
              <w:right w:w="40" w:type="dxa"/>
            </w:tcMar>
            <w:vAlign w:val="center"/>
          </w:tcPr>
          <w:p w14:paraId="42A11D72"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Balances as of January 31, 2020</w:t>
            </w:r>
          </w:p>
        </w:tc>
        <w:tc>
          <w:tcPr>
            <w:tcW w:w="0" w:type="auto"/>
            <w:shd w:val="clear" w:color="auto" w:fill="auto"/>
            <w:tcMar>
              <w:top w:w="40" w:type="dxa"/>
              <w:left w:w="40" w:type="dxa"/>
              <w:bottom w:w="40" w:type="dxa"/>
              <w:right w:w="40" w:type="dxa"/>
            </w:tcMar>
            <w:vAlign w:val="bottom"/>
          </w:tcPr>
          <w:p w14:paraId="42A11D7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1D7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1D7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5,362</w:t>
            </w:r>
          </w:p>
        </w:tc>
        <w:tc>
          <w:tcPr>
            <w:tcW w:w="0" w:type="auto"/>
            <w:tcBorders>
              <w:top w:val="single" w:sz="8" w:space="0" w:color="000000"/>
              <w:bottom w:val="double" w:sz="6" w:space="0" w:color="000000"/>
            </w:tcBorders>
            <w:shd w:val="clear" w:color="auto" w:fill="auto"/>
            <w:vAlign w:val="bottom"/>
          </w:tcPr>
          <w:p w14:paraId="42A11D7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D7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1D7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1D7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43,714</w:t>
            </w:r>
          </w:p>
        </w:tc>
        <w:tc>
          <w:tcPr>
            <w:tcW w:w="0" w:type="auto"/>
            <w:tcBorders>
              <w:top w:val="single" w:sz="8" w:space="0" w:color="000000"/>
              <w:bottom w:val="double" w:sz="6" w:space="0" w:color="000000"/>
            </w:tcBorders>
            <w:shd w:val="clear" w:color="auto" w:fill="auto"/>
            <w:vAlign w:val="bottom"/>
          </w:tcPr>
          <w:p w14:paraId="42A11D7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D7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1D7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1D7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49,076</w:t>
            </w:r>
          </w:p>
        </w:tc>
        <w:tc>
          <w:tcPr>
            <w:tcW w:w="0" w:type="auto"/>
            <w:tcBorders>
              <w:top w:val="single" w:sz="8" w:space="0" w:color="000000"/>
              <w:bottom w:val="double" w:sz="6" w:space="0" w:color="000000"/>
            </w:tcBorders>
            <w:shd w:val="clear" w:color="auto" w:fill="auto"/>
            <w:vAlign w:val="bottom"/>
          </w:tcPr>
          <w:p w14:paraId="42A11D7E" w14:textId="77777777" w:rsidR="00BB68E1" w:rsidRDefault="00BB68E1">
            <w:pPr>
              <w:textAlignment w:val="bottom"/>
              <w:rPr>
                <w:rFonts w:ascii="Times New Roman" w:hAnsi="Times New Roman"/>
                <w:sz w:val="20"/>
                <w:szCs w:val="20"/>
              </w:rPr>
            </w:pPr>
          </w:p>
        </w:tc>
      </w:tr>
    </w:tbl>
    <w:p w14:paraId="42A11D8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Our total long-term debt increased $3.7 billion for fiscal 2020, primarily due to the net proceeds from issuance of long-term debt in both April 2019 and September 2019 to fund general business operations, partially offset by </w:t>
      </w:r>
      <w:r>
        <w:rPr>
          <w:rFonts w:ascii="Times New Roman" w:eastAsia="宋体" w:hAnsi="Times New Roman"/>
          <w:sz w:val="20"/>
          <w:szCs w:val="20"/>
        </w:rPr>
        <w:t>repayments of long-term debt.</w:t>
      </w:r>
    </w:p>
    <w:p w14:paraId="42A11D81"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Dividends</w:t>
      </w:r>
    </w:p>
    <w:p w14:paraId="42A11D8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Our total dividend payments were $6.0 billion, $6.1 billion and $6.1 billion for fiscal 2020, 2019 and 2018, respectively. The Board of Directors approved, effective February 18, 2020, the fiscal 2021 annual dividend</w:t>
      </w:r>
      <w:r>
        <w:rPr>
          <w:rFonts w:ascii="Times New Roman" w:eastAsia="宋体" w:hAnsi="Times New Roman"/>
          <w:sz w:val="20"/>
          <w:szCs w:val="20"/>
        </w:rPr>
        <w:t xml:space="preserve"> of $2.16 per share, an increase over the fiscal 2020 annual dividend of $2.12 per share. For fiscal 2021, the annual dividend will be paid in four quarterly installments of $0.54 per share, according to the following record and payable dates:</w:t>
      </w:r>
    </w:p>
    <w:tbl>
      <w:tblPr>
        <w:tblW w:w="5000" w:type="pct"/>
        <w:tblCellMar>
          <w:left w:w="0" w:type="dxa"/>
          <w:right w:w="0" w:type="dxa"/>
        </w:tblCellMar>
        <w:tblLook w:val="04A0" w:firstRow="1" w:lastRow="0" w:firstColumn="1" w:lastColumn="0" w:noHBand="0" w:noVBand="1"/>
      </w:tblPr>
      <w:tblGrid>
        <w:gridCol w:w="4031"/>
        <w:gridCol w:w="160"/>
        <w:gridCol w:w="4115"/>
      </w:tblGrid>
      <w:tr w:rsidR="00BB68E1" w14:paraId="42A11D84" w14:textId="77777777">
        <w:tc>
          <w:tcPr>
            <w:tcW w:w="0" w:type="auto"/>
            <w:gridSpan w:val="3"/>
            <w:shd w:val="clear" w:color="auto" w:fill="auto"/>
            <w:vAlign w:val="center"/>
          </w:tcPr>
          <w:p w14:paraId="42A11D83" w14:textId="77777777" w:rsidR="00BB68E1" w:rsidRDefault="00BB68E1">
            <w:pPr>
              <w:rPr>
                <w:rFonts w:ascii="Times New Roman" w:hAnsi="Times New Roman"/>
                <w:sz w:val="20"/>
                <w:szCs w:val="20"/>
              </w:rPr>
            </w:pPr>
          </w:p>
        </w:tc>
      </w:tr>
      <w:tr w:rsidR="00BB68E1" w14:paraId="42A11D88" w14:textId="77777777">
        <w:tc>
          <w:tcPr>
            <w:tcW w:w="2450" w:type="pct"/>
            <w:shd w:val="clear" w:color="auto" w:fill="auto"/>
            <w:vAlign w:val="center"/>
          </w:tcPr>
          <w:p w14:paraId="42A11D85" w14:textId="77777777" w:rsidR="00BB68E1" w:rsidRDefault="00BB68E1">
            <w:pPr>
              <w:rPr>
                <w:rFonts w:ascii="Times New Roman" w:hAnsi="Times New Roman"/>
                <w:sz w:val="20"/>
                <w:szCs w:val="20"/>
              </w:rPr>
            </w:pPr>
          </w:p>
        </w:tc>
        <w:tc>
          <w:tcPr>
            <w:tcW w:w="50" w:type="pct"/>
            <w:shd w:val="clear" w:color="auto" w:fill="auto"/>
            <w:vAlign w:val="center"/>
          </w:tcPr>
          <w:p w14:paraId="42A11D86" w14:textId="77777777" w:rsidR="00BB68E1" w:rsidRDefault="00BB68E1">
            <w:pPr>
              <w:rPr>
                <w:rFonts w:ascii="Times New Roman" w:hAnsi="Times New Roman"/>
                <w:sz w:val="20"/>
                <w:szCs w:val="20"/>
              </w:rPr>
            </w:pPr>
          </w:p>
        </w:tc>
        <w:tc>
          <w:tcPr>
            <w:tcW w:w="2500" w:type="pct"/>
            <w:shd w:val="clear" w:color="auto" w:fill="auto"/>
            <w:vAlign w:val="center"/>
          </w:tcPr>
          <w:p w14:paraId="42A11D87" w14:textId="77777777" w:rsidR="00BB68E1" w:rsidRDefault="00BB68E1">
            <w:pPr>
              <w:rPr>
                <w:rFonts w:ascii="Times New Roman" w:hAnsi="Times New Roman"/>
                <w:sz w:val="20"/>
                <w:szCs w:val="20"/>
              </w:rPr>
            </w:pPr>
          </w:p>
        </w:tc>
      </w:tr>
      <w:tr w:rsidR="00BB68E1" w14:paraId="42A11D8C"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42A11D89"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Record</w:t>
            </w:r>
            <w:r>
              <w:rPr>
                <w:rFonts w:ascii="Times New Roman" w:eastAsia="宋体" w:hAnsi="Times New Roman"/>
                <w:b/>
                <w:bCs/>
                <w:sz w:val="16"/>
                <w:szCs w:val="16"/>
              </w:rPr>
              <w:t xml:space="preserve"> Date</w:t>
            </w:r>
          </w:p>
        </w:tc>
        <w:tc>
          <w:tcPr>
            <w:tcW w:w="0" w:type="auto"/>
            <w:shd w:val="clear" w:color="auto" w:fill="auto"/>
            <w:tcMar>
              <w:top w:w="40" w:type="dxa"/>
              <w:left w:w="40" w:type="dxa"/>
              <w:bottom w:w="40" w:type="dxa"/>
              <w:right w:w="40" w:type="dxa"/>
            </w:tcMar>
            <w:vAlign w:val="bottom"/>
          </w:tcPr>
          <w:p w14:paraId="42A11D8A"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1D8B"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Payable Date</w:t>
            </w:r>
          </w:p>
        </w:tc>
      </w:tr>
      <w:tr w:rsidR="00BB68E1" w14:paraId="42A11D90" w14:textId="77777777">
        <w:tc>
          <w:tcPr>
            <w:tcW w:w="0" w:type="auto"/>
            <w:shd w:val="clear" w:color="auto" w:fill="CCEEFF"/>
            <w:tcMar>
              <w:top w:w="40" w:type="dxa"/>
              <w:left w:w="40" w:type="dxa"/>
              <w:bottom w:w="40" w:type="dxa"/>
              <w:right w:w="40" w:type="dxa"/>
            </w:tcMar>
            <w:vAlign w:val="bottom"/>
          </w:tcPr>
          <w:p w14:paraId="42A11D8D"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March 20, 2020</w:t>
            </w:r>
          </w:p>
        </w:tc>
        <w:tc>
          <w:tcPr>
            <w:tcW w:w="0" w:type="auto"/>
            <w:shd w:val="clear" w:color="auto" w:fill="CCEEFF"/>
            <w:tcMar>
              <w:top w:w="40" w:type="dxa"/>
              <w:left w:w="40" w:type="dxa"/>
              <w:bottom w:w="40" w:type="dxa"/>
              <w:right w:w="40" w:type="dxa"/>
            </w:tcMar>
            <w:vAlign w:val="bottom"/>
          </w:tcPr>
          <w:p w14:paraId="42A11D8E"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bottom"/>
          </w:tcPr>
          <w:p w14:paraId="42A11D8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April 6, 2020</w:t>
            </w:r>
          </w:p>
        </w:tc>
      </w:tr>
      <w:tr w:rsidR="00BB68E1" w14:paraId="42A11D94" w14:textId="77777777">
        <w:tc>
          <w:tcPr>
            <w:tcW w:w="0" w:type="auto"/>
            <w:shd w:val="clear" w:color="auto" w:fill="auto"/>
            <w:tcMar>
              <w:top w:w="40" w:type="dxa"/>
              <w:left w:w="40" w:type="dxa"/>
              <w:bottom w:w="40" w:type="dxa"/>
              <w:right w:w="40" w:type="dxa"/>
            </w:tcMar>
            <w:vAlign w:val="center"/>
          </w:tcPr>
          <w:p w14:paraId="42A11D9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May 8, 2020</w:t>
            </w:r>
          </w:p>
        </w:tc>
        <w:tc>
          <w:tcPr>
            <w:tcW w:w="0" w:type="auto"/>
            <w:shd w:val="clear" w:color="auto" w:fill="auto"/>
            <w:tcMar>
              <w:top w:w="40" w:type="dxa"/>
              <w:left w:w="40" w:type="dxa"/>
              <w:bottom w:w="40" w:type="dxa"/>
              <w:right w:w="40" w:type="dxa"/>
            </w:tcMar>
            <w:vAlign w:val="center"/>
          </w:tcPr>
          <w:p w14:paraId="42A11D9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42A11D9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June 1, 2020</w:t>
            </w:r>
          </w:p>
        </w:tc>
      </w:tr>
      <w:tr w:rsidR="00BB68E1" w14:paraId="42A11D98" w14:textId="77777777">
        <w:tc>
          <w:tcPr>
            <w:tcW w:w="0" w:type="auto"/>
            <w:shd w:val="clear" w:color="auto" w:fill="CCEEFF"/>
            <w:tcMar>
              <w:top w:w="40" w:type="dxa"/>
              <w:left w:w="40" w:type="dxa"/>
              <w:bottom w:w="40" w:type="dxa"/>
              <w:right w:w="40" w:type="dxa"/>
            </w:tcMar>
            <w:vAlign w:val="bottom"/>
          </w:tcPr>
          <w:p w14:paraId="42A11D95"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August 14, 2020</w:t>
            </w:r>
          </w:p>
        </w:tc>
        <w:tc>
          <w:tcPr>
            <w:tcW w:w="0" w:type="auto"/>
            <w:shd w:val="clear" w:color="auto" w:fill="CCEEFF"/>
            <w:tcMar>
              <w:top w:w="40" w:type="dxa"/>
              <w:left w:w="40" w:type="dxa"/>
              <w:bottom w:w="40" w:type="dxa"/>
              <w:right w:w="40" w:type="dxa"/>
            </w:tcMar>
            <w:vAlign w:val="bottom"/>
          </w:tcPr>
          <w:p w14:paraId="42A11D96"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bottom"/>
          </w:tcPr>
          <w:p w14:paraId="42A11D9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September 8, 2020</w:t>
            </w:r>
          </w:p>
        </w:tc>
      </w:tr>
      <w:tr w:rsidR="00BB68E1" w14:paraId="42A11D9C" w14:textId="77777777">
        <w:tc>
          <w:tcPr>
            <w:tcW w:w="0" w:type="auto"/>
            <w:shd w:val="clear" w:color="auto" w:fill="auto"/>
            <w:tcMar>
              <w:top w:w="40" w:type="dxa"/>
              <w:left w:w="40" w:type="dxa"/>
              <w:bottom w:w="40" w:type="dxa"/>
              <w:right w:w="40" w:type="dxa"/>
            </w:tcMar>
            <w:vAlign w:val="center"/>
          </w:tcPr>
          <w:p w14:paraId="42A11D9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December 11, 2020</w:t>
            </w:r>
          </w:p>
        </w:tc>
        <w:tc>
          <w:tcPr>
            <w:tcW w:w="0" w:type="auto"/>
            <w:shd w:val="clear" w:color="auto" w:fill="auto"/>
            <w:tcMar>
              <w:top w:w="40" w:type="dxa"/>
              <w:left w:w="40" w:type="dxa"/>
              <w:bottom w:w="40" w:type="dxa"/>
              <w:right w:w="40" w:type="dxa"/>
            </w:tcMar>
            <w:vAlign w:val="center"/>
          </w:tcPr>
          <w:p w14:paraId="42A11D9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42A11D9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January 4, 2021</w:t>
            </w:r>
          </w:p>
        </w:tc>
      </w:tr>
    </w:tbl>
    <w:p w14:paraId="42A11D9D"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 xml:space="preserve">Company Share Repurchase Program </w:t>
      </w:r>
    </w:p>
    <w:p w14:paraId="42A11D9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From time to time, the Company repurchases shares of its common stock under share repurchase programs authorized by the Company's Board of Directors. All repurchases made during fiscal 2020 were made under the current $20 billion share repurchase program a</w:t>
      </w:r>
      <w:r>
        <w:rPr>
          <w:rFonts w:ascii="Times New Roman" w:eastAsia="宋体" w:hAnsi="Times New Roman"/>
          <w:sz w:val="20"/>
          <w:szCs w:val="20"/>
        </w:rPr>
        <w:t>pproved in October 2017, which has no expiration date or other restrictions limiting the period over which the Company can make share repurchases. As of January 31, 2020, authorization for $5.7 billion of share repurchases remained under the share repurcha</w:t>
      </w:r>
      <w:r>
        <w:rPr>
          <w:rFonts w:ascii="Times New Roman" w:eastAsia="宋体" w:hAnsi="Times New Roman"/>
          <w:sz w:val="20"/>
          <w:szCs w:val="20"/>
        </w:rPr>
        <w:t xml:space="preserve">se program. Any repurchased shares are constructively retired and returned to an unissued status. </w:t>
      </w:r>
    </w:p>
    <w:p w14:paraId="42A11D9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regularly review share repurchase activity and consider several factors in determining when to execute share repurchases, including, among other things, current cash needs, capacity for leverage, cost of borrowings, our results of operations and the mar</w:t>
      </w:r>
      <w:r>
        <w:rPr>
          <w:rFonts w:ascii="Times New Roman" w:eastAsia="宋体" w:hAnsi="Times New Roman"/>
          <w:sz w:val="20"/>
          <w:szCs w:val="20"/>
        </w:rPr>
        <w:t>ket price of our common stock. We anticipate that a majority of the ongoing share repurchase program will be funded through the Company's free cash flow. The following table provides, on a settlement date basis, the number of shares repurchased, average pr</w:t>
      </w:r>
      <w:r>
        <w:rPr>
          <w:rFonts w:ascii="Times New Roman" w:eastAsia="宋体" w:hAnsi="Times New Roman"/>
          <w:sz w:val="20"/>
          <w:szCs w:val="20"/>
        </w:rPr>
        <w:t xml:space="preserve">ice paid per share and total amount paid for share repurchases for fiscal 2020, 2019 and 2018: </w:t>
      </w:r>
    </w:p>
    <w:tbl>
      <w:tblPr>
        <w:tblW w:w="4971" w:type="pct"/>
        <w:tblCellMar>
          <w:left w:w="0" w:type="dxa"/>
          <w:right w:w="0" w:type="dxa"/>
        </w:tblCellMar>
        <w:tblLook w:val="04A0" w:firstRow="1" w:lastRow="0" w:firstColumn="1" w:lastColumn="0" w:noHBand="0" w:noVBand="1"/>
      </w:tblPr>
      <w:tblGrid>
        <w:gridCol w:w="5248"/>
        <w:gridCol w:w="130"/>
        <w:gridCol w:w="120"/>
        <w:gridCol w:w="706"/>
        <w:gridCol w:w="46"/>
        <w:gridCol w:w="130"/>
        <w:gridCol w:w="120"/>
        <w:gridCol w:w="707"/>
        <w:gridCol w:w="47"/>
        <w:gridCol w:w="130"/>
        <w:gridCol w:w="120"/>
        <w:gridCol w:w="707"/>
        <w:gridCol w:w="47"/>
      </w:tblGrid>
      <w:tr w:rsidR="00BB68E1" w14:paraId="42A11DA1" w14:textId="77777777">
        <w:tc>
          <w:tcPr>
            <w:tcW w:w="0" w:type="auto"/>
            <w:gridSpan w:val="13"/>
            <w:shd w:val="clear" w:color="auto" w:fill="auto"/>
            <w:vAlign w:val="center"/>
          </w:tcPr>
          <w:p w14:paraId="42A11DA0" w14:textId="77777777" w:rsidR="00BB68E1" w:rsidRDefault="00BB68E1">
            <w:pPr>
              <w:rPr>
                <w:rFonts w:ascii="Times New Roman" w:hAnsi="Times New Roman"/>
                <w:sz w:val="20"/>
                <w:szCs w:val="20"/>
              </w:rPr>
            </w:pPr>
          </w:p>
        </w:tc>
      </w:tr>
      <w:tr w:rsidR="00BB68E1" w14:paraId="42A11DAF" w14:textId="77777777">
        <w:tc>
          <w:tcPr>
            <w:tcW w:w="3200" w:type="pct"/>
            <w:shd w:val="clear" w:color="auto" w:fill="auto"/>
            <w:vAlign w:val="center"/>
          </w:tcPr>
          <w:p w14:paraId="42A11DA2" w14:textId="77777777" w:rsidR="00BB68E1" w:rsidRDefault="00BB68E1">
            <w:pPr>
              <w:rPr>
                <w:rFonts w:ascii="Times New Roman" w:hAnsi="Times New Roman"/>
                <w:sz w:val="20"/>
                <w:szCs w:val="20"/>
              </w:rPr>
            </w:pPr>
          </w:p>
        </w:tc>
        <w:tc>
          <w:tcPr>
            <w:tcW w:w="50" w:type="pct"/>
            <w:shd w:val="clear" w:color="auto" w:fill="auto"/>
            <w:vAlign w:val="center"/>
          </w:tcPr>
          <w:p w14:paraId="42A11DA3" w14:textId="77777777" w:rsidR="00BB68E1" w:rsidRDefault="00BB68E1">
            <w:pPr>
              <w:rPr>
                <w:rFonts w:ascii="Times New Roman" w:hAnsi="Times New Roman"/>
                <w:sz w:val="20"/>
                <w:szCs w:val="20"/>
              </w:rPr>
            </w:pPr>
          </w:p>
        </w:tc>
        <w:tc>
          <w:tcPr>
            <w:tcW w:w="50" w:type="pct"/>
            <w:shd w:val="clear" w:color="auto" w:fill="auto"/>
            <w:vAlign w:val="center"/>
          </w:tcPr>
          <w:p w14:paraId="42A11DA4" w14:textId="77777777" w:rsidR="00BB68E1" w:rsidRDefault="00BB68E1">
            <w:pPr>
              <w:rPr>
                <w:rFonts w:ascii="Times New Roman" w:hAnsi="Times New Roman"/>
                <w:sz w:val="20"/>
                <w:szCs w:val="20"/>
              </w:rPr>
            </w:pPr>
          </w:p>
        </w:tc>
        <w:tc>
          <w:tcPr>
            <w:tcW w:w="450" w:type="pct"/>
            <w:shd w:val="clear" w:color="auto" w:fill="auto"/>
            <w:vAlign w:val="center"/>
          </w:tcPr>
          <w:p w14:paraId="42A11DA5" w14:textId="77777777" w:rsidR="00BB68E1" w:rsidRDefault="00BB68E1">
            <w:pPr>
              <w:rPr>
                <w:rFonts w:ascii="Times New Roman" w:hAnsi="Times New Roman"/>
                <w:sz w:val="20"/>
                <w:szCs w:val="20"/>
              </w:rPr>
            </w:pPr>
          </w:p>
        </w:tc>
        <w:tc>
          <w:tcPr>
            <w:tcW w:w="50" w:type="pct"/>
            <w:shd w:val="clear" w:color="auto" w:fill="auto"/>
            <w:vAlign w:val="center"/>
          </w:tcPr>
          <w:p w14:paraId="42A11DA6" w14:textId="77777777" w:rsidR="00BB68E1" w:rsidRDefault="00BB68E1">
            <w:pPr>
              <w:rPr>
                <w:rFonts w:ascii="Times New Roman" w:hAnsi="Times New Roman"/>
                <w:sz w:val="20"/>
                <w:szCs w:val="20"/>
              </w:rPr>
            </w:pPr>
          </w:p>
        </w:tc>
        <w:tc>
          <w:tcPr>
            <w:tcW w:w="50" w:type="pct"/>
            <w:shd w:val="clear" w:color="auto" w:fill="auto"/>
            <w:vAlign w:val="center"/>
          </w:tcPr>
          <w:p w14:paraId="42A11DA7" w14:textId="77777777" w:rsidR="00BB68E1" w:rsidRDefault="00BB68E1">
            <w:pPr>
              <w:rPr>
                <w:rFonts w:ascii="Times New Roman" w:hAnsi="Times New Roman"/>
                <w:sz w:val="20"/>
                <w:szCs w:val="20"/>
              </w:rPr>
            </w:pPr>
          </w:p>
        </w:tc>
        <w:tc>
          <w:tcPr>
            <w:tcW w:w="50" w:type="pct"/>
            <w:shd w:val="clear" w:color="auto" w:fill="auto"/>
            <w:vAlign w:val="center"/>
          </w:tcPr>
          <w:p w14:paraId="42A11DA8" w14:textId="77777777" w:rsidR="00BB68E1" w:rsidRDefault="00BB68E1">
            <w:pPr>
              <w:rPr>
                <w:rFonts w:ascii="Times New Roman" w:hAnsi="Times New Roman"/>
                <w:sz w:val="20"/>
                <w:szCs w:val="20"/>
              </w:rPr>
            </w:pPr>
          </w:p>
        </w:tc>
        <w:tc>
          <w:tcPr>
            <w:tcW w:w="450" w:type="pct"/>
            <w:shd w:val="clear" w:color="auto" w:fill="auto"/>
            <w:vAlign w:val="center"/>
          </w:tcPr>
          <w:p w14:paraId="42A11DA9" w14:textId="77777777" w:rsidR="00BB68E1" w:rsidRDefault="00BB68E1">
            <w:pPr>
              <w:rPr>
                <w:rFonts w:ascii="Times New Roman" w:hAnsi="Times New Roman"/>
                <w:sz w:val="20"/>
                <w:szCs w:val="20"/>
              </w:rPr>
            </w:pPr>
          </w:p>
        </w:tc>
        <w:tc>
          <w:tcPr>
            <w:tcW w:w="50" w:type="pct"/>
            <w:shd w:val="clear" w:color="auto" w:fill="auto"/>
            <w:vAlign w:val="center"/>
          </w:tcPr>
          <w:p w14:paraId="42A11DAA" w14:textId="77777777" w:rsidR="00BB68E1" w:rsidRDefault="00BB68E1">
            <w:pPr>
              <w:rPr>
                <w:rFonts w:ascii="Times New Roman" w:hAnsi="Times New Roman"/>
                <w:sz w:val="20"/>
                <w:szCs w:val="20"/>
              </w:rPr>
            </w:pPr>
          </w:p>
        </w:tc>
        <w:tc>
          <w:tcPr>
            <w:tcW w:w="50" w:type="pct"/>
            <w:shd w:val="clear" w:color="auto" w:fill="auto"/>
            <w:vAlign w:val="center"/>
          </w:tcPr>
          <w:p w14:paraId="42A11DAB" w14:textId="77777777" w:rsidR="00BB68E1" w:rsidRDefault="00BB68E1">
            <w:pPr>
              <w:rPr>
                <w:rFonts w:ascii="Times New Roman" w:hAnsi="Times New Roman"/>
                <w:sz w:val="20"/>
                <w:szCs w:val="20"/>
              </w:rPr>
            </w:pPr>
          </w:p>
        </w:tc>
        <w:tc>
          <w:tcPr>
            <w:tcW w:w="50" w:type="pct"/>
            <w:shd w:val="clear" w:color="auto" w:fill="auto"/>
            <w:vAlign w:val="center"/>
          </w:tcPr>
          <w:p w14:paraId="42A11DAC" w14:textId="77777777" w:rsidR="00BB68E1" w:rsidRDefault="00BB68E1">
            <w:pPr>
              <w:rPr>
                <w:rFonts w:ascii="Times New Roman" w:hAnsi="Times New Roman"/>
                <w:sz w:val="20"/>
                <w:szCs w:val="20"/>
              </w:rPr>
            </w:pPr>
          </w:p>
        </w:tc>
        <w:tc>
          <w:tcPr>
            <w:tcW w:w="450" w:type="pct"/>
            <w:shd w:val="clear" w:color="auto" w:fill="auto"/>
            <w:vAlign w:val="center"/>
          </w:tcPr>
          <w:p w14:paraId="42A11DAD" w14:textId="77777777" w:rsidR="00BB68E1" w:rsidRDefault="00BB68E1">
            <w:pPr>
              <w:rPr>
                <w:rFonts w:ascii="Times New Roman" w:hAnsi="Times New Roman"/>
                <w:sz w:val="20"/>
                <w:szCs w:val="20"/>
              </w:rPr>
            </w:pPr>
          </w:p>
        </w:tc>
        <w:tc>
          <w:tcPr>
            <w:tcW w:w="50" w:type="pct"/>
            <w:shd w:val="clear" w:color="auto" w:fill="auto"/>
            <w:vAlign w:val="center"/>
          </w:tcPr>
          <w:p w14:paraId="42A11DAE" w14:textId="77777777" w:rsidR="00BB68E1" w:rsidRDefault="00BB68E1">
            <w:pPr>
              <w:rPr>
                <w:rFonts w:ascii="Times New Roman" w:hAnsi="Times New Roman"/>
                <w:sz w:val="20"/>
                <w:szCs w:val="20"/>
              </w:rPr>
            </w:pPr>
          </w:p>
        </w:tc>
      </w:tr>
      <w:tr w:rsidR="00BB68E1" w14:paraId="42A11DB3" w14:textId="77777777">
        <w:tc>
          <w:tcPr>
            <w:tcW w:w="0" w:type="auto"/>
            <w:shd w:val="clear" w:color="auto" w:fill="auto"/>
            <w:tcMar>
              <w:top w:w="40" w:type="dxa"/>
              <w:left w:w="40" w:type="dxa"/>
              <w:bottom w:w="40" w:type="dxa"/>
              <w:right w:w="40" w:type="dxa"/>
            </w:tcMar>
            <w:vAlign w:val="bottom"/>
          </w:tcPr>
          <w:p w14:paraId="42A11DB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DB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1DB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1DBB" w14:textId="77777777">
        <w:tc>
          <w:tcPr>
            <w:tcW w:w="0" w:type="auto"/>
            <w:shd w:val="clear" w:color="auto" w:fill="auto"/>
            <w:tcMar>
              <w:top w:w="40" w:type="dxa"/>
              <w:left w:w="40" w:type="dxa"/>
              <w:bottom w:w="40" w:type="dxa"/>
              <w:right w:w="40" w:type="dxa"/>
            </w:tcMar>
            <w:vAlign w:val="bottom"/>
          </w:tcPr>
          <w:p w14:paraId="42A11DB4"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 except per share data)</w:t>
            </w:r>
          </w:p>
        </w:tc>
        <w:tc>
          <w:tcPr>
            <w:tcW w:w="0" w:type="auto"/>
            <w:shd w:val="clear" w:color="auto" w:fill="auto"/>
            <w:tcMar>
              <w:top w:w="40" w:type="dxa"/>
              <w:left w:w="40" w:type="dxa"/>
              <w:bottom w:w="40" w:type="dxa"/>
              <w:right w:w="40" w:type="dxa"/>
            </w:tcMar>
            <w:vAlign w:val="bottom"/>
          </w:tcPr>
          <w:p w14:paraId="42A11DB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DB6"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1DB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DB8"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1DB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DBA"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1DC6" w14:textId="77777777">
        <w:tc>
          <w:tcPr>
            <w:tcW w:w="0" w:type="auto"/>
            <w:shd w:val="clear" w:color="auto" w:fill="CCEEFF"/>
            <w:tcMar>
              <w:top w:w="40" w:type="dxa"/>
              <w:left w:w="40" w:type="dxa"/>
              <w:bottom w:w="40" w:type="dxa"/>
              <w:right w:w="40" w:type="dxa"/>
            </w:tcMar>
            <w:vAlign w:val="center"/>
          </w:tcPr>
          <w:p w14:paraId="42A11DB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Total number of shares </w:t>
            </w:r>
            <w:r>
              <w:rPr>
                <w:rFonts w:ascii="Times New Roman" w:eastAsia="宋体" w:hAnsi="Times New Roman"/>
                <w:sz w:val="16"/>
                <w:szCs w:val="16"/>
              </w:rPr>
              <w:t>repurchased</w:t>
            </w:r>
          </w:p>
        </w:tc>
        <w:tc>
          <w:tcPr>
            <w:tcW w:w="0" w:type="auto"/>
            <w:shd w:val="clear" w:color="auto" w:fill="CCEEFF"/>
            <w:tcMar>
              <w:top w:w="40" w:type="dxa"/>
              <w:left w:w="40" w:type="dxa"/>
              <w:bottom w:w="40" w:type="dxa"/>
              <w:right w:w="40" w:type="dxa"/>
            </w:tcMar>
            <w:vAlign w:val="bottom"/>
          </w:tcPr>
          <w:p w14:paraId="42A11DB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2A11DB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53.9</w:t>
            </w:r>
          </w:p>
        </w:tc>
        <w:tc>
          <w:tcPr>
            <w:tcW w:w="0" w:type="auto"/>
            <w:tcBorders>
              <w:top w:val="single" w:sz="8" w:space="0" w:color="000000"/>
            </w:tcBorders>
            <w:shd w:val="clear" w:color="auto" w:fill="CCEEFF"/>
            <w:vAlign w:val="bottom"/>
          </w:tcPr>
          <w:p w14:paraId="42A11DB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D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2A11DC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79.5</w:t>
            </w:r>
          </w:p>
        </w:tc>
        <w:tc>
          <w:tcPr>
            <w:tcW w:w="0" w:type="auto"/>
            <w:tcBorders>
              <w:top w:val="single" w:sz="8" w:space="0" w:color="000000"/>
            </w:tcBorders>
            <w:shd w:val="clear" w:color="auto" w:fill="CCEEFF"/>
            <w:vAlign w:val="bottom"/>
          </w:tcPr>
          <w:p w14:paraId="42A11DC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DC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2A11DC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104.9</w:t>
            </w:r>
          </w:p>
        </w:tc>
        <w:tc>
          <w:tcPr>
            <w:tcW w:w="0" w:type="auto"/>
            <w:tcBorders>
              <w:top w:val="single" w:sz="8" w:space="0" w:color="000000"/>
            </w:tcBorders>
            <w:shd w:val="clear" w:color="auto" w:fill="CCEEFF"/>
            <w:vAlign w:val="bottom"/>
          </w:tcPr>
          <w:p w14:paraId="42A11DC5" w14:textId="77777777" w:rsidR="00BB68E1" w:rsidRDefault="00BB68E1">
            <w:pPr>
              <w:textAlignment w:val="bottom"/>
              <w:rPr>
                <w:rFonts w:ascii="Times New Roman" w:hAnsi="Times New Roman"/>
                <w:sz w:val="20"/>
                <w:szCs w:val="20"/>
              </w:rPr>
            </w:pPr>
          </w:p>
        </w:tc>
      </w:tr>
      <w:tr w:rsidR="00BB68E1" w14:paraId="42A11DD4" w14:textId="77777777">
        <w:tc>
          <w:tcPr>
            <w:tcW w:w="0" w:type="auto"/>
            <w:shd w:val="clear" w:color="auto" w:fill="auto"/>
            <w:tcMar>
              <w:top w:w="40" w:type="dxa"/>
              <w:left w:w="40" w:type="dxa"/>
              <w:bottom w:w="40" w:type="dxa"/>
              <w:right w:w="40" w:type="dxa"/>
            </w:tcMar>
            <w:vAlign w:val="center"/>
          </w:tcPr>
          <w:p w14:paraId="42A11DC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Average price paid per share</w:t>
            </w:r>
          </w:p>
        </w:tc>
        <w:tc>
          <w:tcPr>
            <w:tcW w:w="0" w:type="auto"/>
            <w:shd w:val="clear" w:color="auto" w:fill="auto"/>
            <w:tcMar>
              <w:top w:w="40" w:type="dxa"/>
              <w:left w:w="40" w:type="dxa"/>
              <w:bottom w:w="40" w:type="dxa"/>
              <w:right w:w="40" w:type="dxa"/>
            </w:tcMar>
            <w:vAlign w:val="bottom"/>
          </w:tcPr>
          <w:p w14:paraId="42A11D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DC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DC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105.98</w:t>
            </w:r>
          </w:p>
        </w:tc>
        <w:tc>
          <w:tcPr>
            <w:tcW w:w="0" w:type="auto"/>
            <w:shd w:val="clear" w:color="auto" w:fill="auto"/>
            <w:vAlign w:val="bottom"/>
          </w:tcPr>
          <w:p w14:paraId="42A11DC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DC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DC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DC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93.18</w:t>
            </w:r>
          </w:p>
        </w:tc>
        <w:tc>
          <w:tcPr>
            <w:tcW w:w="0" w:type="auto"/>
            <w:shd w:val="clear" w:color="auto" w:fill="auto"/>
            <w:vAlign w:val="bottom"/>
          </w:tcPr>
          <w:p w14:paraId="42A11DC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DD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DD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DD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79.11</w:t>
            </w:r>
          </w:p>
        </w:tc>
        <w:tc>
          <w:tcPr>
            <w:tcW w:w="0" w:type="auto"/>
            <w:shd w:val="clear" w:color="auto" w:fill="auto"/>
            <w:vAlign w:val="bottom"/>
          </w:tcPr>
          <w:p w14:paraId="42A11DD3" w14:textId="77777777" w:rsidR="00BB68E1" w:rsidRDefault="00BB68E1">
            <w:pPr>
              <w:textAlignment w:val="bottom"/>
              <w:rPr>
                <w:rFonts w:ascii="Times New Roman" w:hAnsi="Times New Roman"/>
                <w:sz w:val="20"/>
                <w:szCs w:val="20"/>
              </w:rPr>
            </w:pPr>
          </w:p>
        </w:tc>
      </w:tr>
      <w:tr w:rsidR="00BB68E1" w14:paraId="42A11DE2" w14:textId="77777777">
        <w:tc>
          <w:tcPr>
            <w:tcW w:w="0" w:type="auto"/>
            <w:shd w:val="clear" w:color="auto" w:fill="CCEEFF"/>
            <w:tcMar>
              <w:top w:w="40" w:type="dxa"/>
              <w:left w:w="40" w:type="dxa"/>
              <w:bottom w:w="40" w:type="dxa"/>
              <w:right w:w="40" w:type="dxa"/>
            </w:tcMar>
            <w:vAlign w:val="center"/>
          </w:tcPr>
          <w:p w14:paraId="42A11DD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amount paid for share repurchases</w:t>
            </w:r>
          </w:p>
        </w:tc>
        <w:tc>
          <w:tcPr>
            <w:tcW w:w="0" w:type="auto"/>
            <w:shd w:val="clear" w:color="auto" w:fill="CCEEFF"/>
            <w:tcMar>
              <w:top w:w="40" w:type="dxa"/>
              <w:left w:w="40" w:type="dxa"/>
              <w:bottom w:w="40" w:type="dxa"/>
              <w:right w:w="40" w:type="dxa"/>
            </w:tcMar>
            <w:vAlign w:val="bottom"/>
          </w:tcPr>
          <w:p w14:paraId="42A11D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DD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DD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5,717</w:t>
            </w:r>
          </w:p>
        </w:tc>
        <w:tc>
          <w:tcPr>
            <w:tcW w:w="0" w:type="auto"/>
            <w:shd w:val="clear" w:color="auto" w:fill="CCEEFF"/>
            <w:vAlign w:val="bottom"/>
          </w:tcPr>
          <w:p w14:paraId="42A11DD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DD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DD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DD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7,410</w:t>
            </w:r>
          </w:p>
        </w:tc>
        <w:tc>
          <w:tcPr>
            <w:tcW w:w="0" w:type="auto"/>
            <w:shd w:val="clear" w:color="auto" w:fill="CCEEFF"/>
            <w:vAlign w:val="bottom"/>
          </w:tcPr>
          <w:p w14:paraId="42A11DD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DD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DD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DE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8,296</w:t>
            </w:r>
          </w:p>
        </w:tc>
        <w:tc>
          <w:tcPr>
            <w:tcW w:w="0" w:type="auto"/>
            <w:shd w:val="clear" w:color="auto" w:fill="CCEEFF"/>
            <w:vAlign w:val="bottom"/>
          </w:tcPr>
          <w:p w14:paraId="42A11DE1" w14:textId="77777777" w:rsidR="00BB68E1" w:rsidRDefault="00BB68E1">
            <w:pPr>
              <w:textAlignment w:val="bottom"/>
              <w:rPr>
                <w:rFonts w:ascii="Times New Roman" w:hAnsi="Times New Roman"/>
                <w:sz w:val="20"/>
                <w:szCs w:val="20"/>
              </w:rPr>
            </w:pPr>
          </w:p>
        </w:tc>
      </w:tr>
    </w:tbl>
    <w:p w14:paraId="42A11DE3"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u w:val="single"/>
        </w:rPr>
        <w:t>Capital Resources</w:t>
      </w:r>
    </w:p>
    <w:p w14:paraId="42A11DE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We believe cash flows from operations, our current cash </w:t>
      </w:r>
      <w:r>
        <w:rPr>
          <w:rFonts w:ascii="Times New Roman" w:eastAsia="宋体" w:hAnsi="Times New Roman"/>
          <w:sz w:val="20"/>
          <w:szCs w:val="20"/>
        </w:rPr>
        <w:t xml:space="preserve">position and access to capital markets will continue to be sufficient to meet our anticipated operating cash needs, which include funding seasonal </w:t>
      </w:r>
      <w:r>
        <w:rPr>
          <w:rFonts w:ascii="Times New Roman" w:eastAsia="宋体" w:hAnsi="Times New Roman"/>
          <w:sz w:val="20"/>
          <w:szCs w:val="20"/>
        </w:rPr>
        <w:lastRenderedPageBreak/>
        <w:t>buildups in merchandise inventories and funding our capital expenditures, acquisitions, dividend payments and</w:t>
      </w:r>
      <w:r>
        <w:rPr>
          <w:rFonts w:ascii="Times New Roman" w:eastAsia="宋体" w:hAnsi="Times New Roman"/>
          <w:sz w:val="20"/>
          <w:szCs w:val="20"/>
        </w:rPr>
        <w:t xml:space="preserve"> share repurchases.</w:t>
      </w:r>
    </w:p>
    <w:p w14:paraId="42A11DE5" w14:textId="77777777" w:rsidR="00BB68E1" w:rsidRDefault="00BB68E1">
      <w:pPr>
        <w:rPr>
          <w:rFonts w:ascii="Times New Roman" w:hAnsi="Times New Roman"/>
          <w:sz w:val="20"/>
          <w:szCs w:val="20"/>
        </w:rPr>
      </w:pPr>
    </w:p>
    <w:p w14:paraId="42A11DE6"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40</w:t>
      </w:r>
    </w:p>
    <w:p w14:paraId="42A11DE7" w14:textId="77777777" w:rsidR="00BB68E1" w:rsidRDefault="00BB68E1">
      <w:pPr>
        <w:spacing w:line="288" w:lineRule="auto"/>
        <w:jc w:val="center"/>
        <w:rPr>
          <w:rFonts w:ascii="Times New Roman" w:hAnsi="Times New Roman"/>
          <w:sz w:val="20"/>
          <w:szCs w:val="20"/>
        </w:rPr>
      </w:pPr>
    </w:p>
    <w:p w14:paraId="42A11DE8" w14:textId="77777777" w:rsidR="00BB68E1" w:rsidRDefault="005D2D5E">
      <w:r>
        <w:rPr>
          <w:rFonts w:ascii="Times New Roman" w:hAnsi="Times New Roman"/>
          <w:sz w:val="20"/>
          <w:szCs w:val="20"/>
        </w:rPr>
        <w:pict w14:anchorId="42A1429F">
          <v:rect id="_x0000_i1064" style="width:415.3pt;height:1.5pt" o:hralign="center" o:hrstd="t" o:hr="t" fillcolor="#a0a0a0" stroked="f"/>
        </w:pict>
      </w:r>
    </w:p>
    <w:p w14:paraId="42A11DE9" w14:textId="77777777" w:rsidR="00BB68E1" w:rsidRDefault="00BB68E1">
      <w:pPr>
        <w:spacing w:line="288" w:lineRule="auto"/>
        <w:rPr>
          <w:rFonts w:ascii="Times New Roman" w:hAnsi="Times New Roman"/>
          <w:sz w:val="20"/>
          <w:szCs w:val="20"/>
        </w:rPr>
      </w:pPr>
    </w:p>
    <w:p w14:paraId="42A11DEA" w14:textId="77777777" w:rsidR="00BB68E1" w:rsidRDefault="00BB68E1">
      <w:pPr>
        <w:rPr>
          <w:rFonts w:ascii="Times New Roman" w:hAnsi="Times New Roman"/>
          <w:sz w:val="20"/>
          <w:szCs w:val="20"/>
        </w:rPr>
      </w:pPr>
    </w:p>
    <w:p w14:paraId="42A11DEB"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We have strong commercial paper and long-term debt ratings that have enabled and should continue to enable us to refinance our debt as it becomes due at favorable rates in capital markets. As of January 31, 2020, the </w:t>
      </w:r>
      <w:r>
        <w:rPr>
          <w:rFonts w:ascii="Times New Roman" w:eastAsia="宋体" w:hAnsi="Times New Roman"/>
          <w:sz w:val="20"/>
          <w:szCs w:val="20"/>
        </w:rPr>
        <w:t>ratings assigned to our commercial paper and rated series of our outstanding long-term debt were as follows:</w:t>
      </w:r>
    </w:p>
    <w:tbl>
      <w:tblPr>
        <w:tblW w:w="4990" w:type="pct"/>
        <w:jc w:val="center"/>
        <w:tblCellMar>
          <w:left w:w="0" w:type="dxa"/>
          <w:right w:w="0" w:type="dxa"/>
        </w:tblCellMar>
        <w:tblLook w:val="04A0" w:firstRow="1" w:lastRow="0" w:firstColumn="1" w:lastColumn="0" w:noHBand="0" w:noVBand="1"/>
      </w:tblPr>
      <w:tblGrid>
        <w:gridCol w:w="3481"/>
        <w:gridCol w:w="166"/>
        <w:gridCol w:w="2238"/>
        <w:gridCol w:w="166"/>
        <w:gridCol w:w="2238"/>
      </w:tblGrid>
      <w:tr w:rsidR="00BB68E1" w14:paraId="42A11DED" w14:textId="77777777">
        <w:trPr>
          <w:jc w:val="center"/>
        </w:trPr>
        <w:tc>
          <w:tcPr>
            <w:tcW w:w="0" w:type="auto"/>
            <w:gridSpan w:val="5"/>
            <w:shd w:val="clear" w:color="auto" w:fill="auto"/>
            <w:vAlign w:val="center"/>
          </w:tcPr>
          <w:p w14:paraId="42A11DEC" w14:textId="77777777" w:rsidR="00BB68E1" w:rsidRDefault="00BB68E1">
            <w:pPr>
              <w:rPr>
                <w:rFonts w:ascii="Times New Roman" w:hAnsi="Times New Roman"/>
                <w:sz w:val="20"/>
                <w:szCs w:val="20"/>
              </w:rPr>
            </w:pPr>
          </w:p>
        </w:tc>
      </w:tr>
      <w:tr w:rsidR="00BB68E1" w14:paraId="42A11DF3" w14:textId="77777777">
        <w:trPr>
          <w:jc w:val="center"/>
        </w:trPr>
        <w:tc>
          <w:tcPr>
            <w:tcW w:w="2100" w:type="pct"/>
            <w:shd w:val="clear" w:color="auto" w:fill="auto"/>
            <w:vAlign w:val="center"/>
          </w:tcPr>
          <w:p w14:paraId="42A11DEE" w14:textId="77777777" w:rsidR="00BB68E1" w:rsidRDefault="00BB68E1">
            <w:pPr>
              <w:rPr>
                <w:rFonts w:ascii="Times New Roman" w:hAnsi="Times New Roman"/>
                <w:sz w:val="20"/>
                <w:szCs w:val="20"/>
              </w:rPr>
            </w:pPr>
          </w:p>
        </w:tc>
        <w:tc>
          <w:tcPr>
            <w:tcW w:w="100" w:type="pct"/>
            <w:shd w:val="clear" w:color="auto" w:fill="auto"/>
            <w:vAlign w:val="center"/>
          </w:tcPr>
          <w:p w14:paraId="42A11DEF" w14:textId="77777777" w:rsidR="00BB68E1" w:rsidRDefault="00BB68E1">
            <w:pPr>
              <w:rPr>
                <w:rFonts w:ascii="Times New Roman" w:hAnsi="Times New Roman"/>
                <w:sz w:val="20"/>
                <w:szCs w:val="20"/>
              </w:rPr>
            </w:pPr>
          </w:p>
        </w:tc>
        <w:tc>
          <w:tcPr>
            <w:tcW w:w="1350" w:type="pct"/>
            <w:shd w:val="clear" w:color="auto" w:fill="auto"/>
            <w:vAlign w:val="center"/>
          </w:tcPr>
          <w:p w14:paraId="42A11DF0" w14:textId="77777777" w:rsidR="00BB68E1" w:rsidRDefault="00BB68E1">
            <w:pPr>
              <w:rPr>
                <w:rFonts w:ascii="Times New Roman" w:hAnsi="Times New Roman"/>
                <w:sz w:val="20"/>
                <w:szCs w:val="20"/>
              </w:rPr>
            </w:pPr>
          </w:p>
        </w:tc>
        <w:tc>
          <w:tcPr>
            <w:tcW w:w="100" w:type="pct"/>
            <w:shd w:val="clear" w:color="auto" w:fill="auto"/>
            <w:vAlign w:val="center"/>
          </w:tcPr>
          <w:p w14:paraId="42A11DF1" w14:textId="77777777" w:rsidR="00BB68E1" w:rsidRDefault="00BB68E1">
            <w:pPr>
              <w:rPr>
                <w:rFonts w:ascii="Times New Roman" w:hAnsi="Times New Roman"/>
                <w:sz w:val="20"/>
                <w:szCs w:val="20"/>
              </w:rPr>
            </w:pPr>
          </w:p>
        </w:tc>
        <w:tc>
          <w:tcPr>
            <w:tcW w:w="1350" w:type="pct"/>
            <w:shd w:val="clear" w:color="auto" w:fill="auto"/>
            <w:vAlign w:val="center"/>
          </w:tcPr>
          <w:p w14:paraId="42A11DF2" w14:textId="77777777" w:rsidR="00BB68E1" w:rsidRDefault="00BB68E1">
            <w:pPr>
              <w:rPr>
                <w:rFonts w:ascii="Times New Roman" w:hAnsi="Times New Roman"/>
                <w:sz w:val="20"/>
                <w:szCs w:val="20"/>
              </w:rPr>
            </w:pPr>
          </w:p>
        </w:tc>
      </w:tr>
      <w:tr w:rsidR="00BB68E1" w14:paraId="42A11DF9"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42A11DF4"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Rating agency</w:t>
            </w:r>
          </w:p>
        </w:tc>
        <w:tc>
          <w:tcPr>
            <w:tcW w:w="0" w:type="auto"/>
            <w:shd w:val="clear" w:color="auto" w:fill="auto"/>
            <w:tcMar>
              <w:top w:w="40" w:type="dxa"/>
              <w:left w:w="40" w:type="dxa"/>
              <w:bottom w:w="40" w:type="dxa"/>
              <w:right w:w="40" w:type="dxa"/>
            </w:tcMar>
            <w:vAlign w:val="bottom"/>
          </w:tcPr>
          <w:p w14:paraId="42A11DF5"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1DF6"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Commercial paper</w:t>
            </w:r>
          </w:p>
        </w:tc>
        <w:tc>
          <w:tcPr>
            <w:tcW w:w="0" w:type="auto"/>
            <w:shd w:val="clear" w:color="auto" w:fill="auto"/>
            <w:tcMar>
              <w:top w:w="40" w:type="dxa"/>
              <w:left w:w="40" w:type="dxa"/>
              <w:bottom w:w="40" w:type="dxa"/>
              <w:right w:w="40" w:type="dxa"/>
            </w:tcMar>
            <w:vAlign w:val="bottom"/>
          </w:tcPr>
          <w:p w14:paraId="42A11DF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1DF8"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Long-term debt</w:t>
            </w:r>
          </w:p>
        </w:tc>
      </w:tr>
      <w:tr w:rsidR="00BB68E1" w14:paraId="42A11DFF" w14:textId="77777777">
        <w:trPr>
          <w:jc w:val="center"/>
        </w:trPr>
        <w:tc>
          <w:tcPr>
            <w:tcW w:w="0" w:type="auto"/>
            <w:shd w:val="clear" w:color="auto" w:fill="CCEEFF"/>
            <w:tcMar>
              <w:top w:w="40" w:type="dxa"/>
              <w:left w:w="40" w:type="dxa"/>
              <w:bottom w:w="40" w:type="dxa"/>
              <w:right w:w="40" w:type="dxa"/>
            </w:tcMar>
            <w:vAlign w:val="center"/>
          </w:tcPr>
          <w:p w14:paraId="42A11DF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Standard &amp; Poor's</w:t>
            </w:r>
          </w:p>
        </w:tc>
        <w:tc>
          <w:tcPr>
            <w:tcW w:w="0" w:type="auto"/>
            <w:shd w:val="clear" w:color="auto" w:fill="CCEEFF"/>
            <w:tcMar>
              <w:top w:w="40" w:type="dxa"/>
              <w:left w:w="40" w:type="dxa"/>
              <w:bottom w:w="40" w:type="dxa"/>
              <w:right w:w="40" w:type="dxa"/>
            </w:tcMar>
            <w:vAlign w:val="center"/>
          </w:tcPr>
          <w:p w14:paraId="42A11DF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center"/>
          </w:tcPr>
          <w:p w14:paraId="42A11DFC"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A-1+</w:t>
            </w:r>
          </w:p>
        </w:tc>
        <w:tc>
          <w:tcPr>
            <w:tcW w:w="0" w:type="auto"/>
            <w:shd w:val="clear" w:color="auto" w:fill="CCEEFF"/>
            <w:tcMar>
              <w:top w:w="40" w:type="dxa"/>
              <w:left w:w="40" w:type="dxa"/>
              <w:bottom w:w="40" w:type="dxa"/>
              <w:right w:w="40" w:type="dxa"/>
            </w:tcMar>
            <w:vAlign w:val="center"/>
          </w:tcPr>
          <w:p w14:paraId="42A11DF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center"/>
          </w:tcPr>
          <w:p w14:paraId="42A11DFE"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AA</w:t>
            </w:r>
          </w:p>
        </w:tc>
      </w:tr>
      <w:tr w:rsidR="00BB68E1" w14:paraId="42A11E05" w14:textId="77777777">
        <w:trPr>
          <w:jc w:val="center"/>
        </w:trPr>
        <w:tc>
          <w:tcPr>
            <w:tcW w:w="0" w:type="auto"/>
            <w:shd w:val="clear" w:color="auto" w:fill="auto"/>
            <w:tcMar>
              <w:top w:w="40" w:type="dxa"/>
              <w:left w:w="40" w:type="dxa"/>
              <w:bottom w:w="40" w:type="dxa"/>
              <w:right w:w="40" w:type="dxa"/>
            </w:tcMar>
            <w:vAlign w:val="center"/>
          </w:tcPr>
          <w:p w14:paraId="42A11E0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Moody's Investors Service</w:t>
            </w:r>
          </w:p>
        </w:tc>
        <w:tc>
          <w:tcPr>
            <w:tcW w:w="0" w:type="auto"/>
            <w:shd w:val="clear" w:color="auto" w:fill="auto"/>
            <w:tcMar>
              <w:top w:w="40" w:type="dxa"/>
              <w:left w:w="40" w:type="dxa"/>
              <w:bottom w:w="40" w:type="dxa"/>
              <w:right w:w="40" w:type="dxa"/>
            </w:tcMar>
            <w:vAlign w:val="center"/>
          </w:tcPr>
          <w:p w14:paraId="42A11E0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42A11E02"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P-1</w:t>
            </w:r>
          </w:p>
        </w:tc>
        <w:tc>
          <w:tcPr>
            <w:tcW w:w="0" w:type="auto"/>
            <w:shd w:val="clear" w:color="auto" w:fill="auto"/>
            <w:tcMar>
              <w:top w:w="40" w:type="dxa"/>
              <w:left w:w="40" w:type="dxa"/>
              <w:bottom w:w="40" w:type="dxa"/>
              <w:right w:w="40" w:type="dxa"/>
            </w:tcMar>
            <w:vAlign w:val="center"/>
          </w:tcPr>
          <w:p w14:paraId="42A11E0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42A11E04"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Aa2</w:t>
            </w:r>
          </w:p>
        </w:tc>
      </w:tr>
      <w:tr w:rsidR="00BB68E1" w14:paraId="42A11E0B" w14:textId="77777777">
        <w:trPr>
          <w:jc w:val="center"/>
        </w:trPr>
        <w:tc>
          <w:tcPr>
            <w:tcW w:w="0" w:type="auto"/>
            <w:shd w:val="clear" w:color="auto" w:fill="CCEEFF"/>
            <w:tcMar>
              <w:top w:w="40" w:type="dxa"/>
              <w:left w:w="40" w:type="dxa"/>
              <w:bottom w:w="40" w:type="dxa"/>
              <w:right w:w="40" w:type="dxa"/>
            </w:tcMar>
            <w:vAlign w:val="center"/>
          </w:tcPr>
          <w:p w14:paraId="42A11E0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Fitch </w:t>
            </w:r>
            <w:r>
              <w:rPr>
                <w:rFonts w:ascii="Times New Roman" w:eastAsia="宋体" w:hAnsi="Times New Roman"/>
                <w:sz w:val="16"/>
                <w:szCs w:val="16"/>
              </w:rPr>
              <w:t>Ratings</w:t>
            </w:r>
          </w:p>
        </w:tc>
        <w:tc>
          <w:tcPr>
            <w:tcW w:w="0" w:type="auto"/>
            <w:shd w:val="clear" w:color="auto" w:fill="CCEEFF"/>
            <w:tcMar>
              <w:top w:w="40" w:type="dxa"/>
              <w:left w:w="40" w:type="dxa"/>
              <w:bottom w:w="40" w:type="dxa"/>
              <w:right w:w="40" w:type="dxa"/>
            </w:tcMar>
            <w:vAlign w:val="center"/>
          </w:tcPr>
          <w:p w14:paraId="42A11E0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center"/>
          </w:tcPr>
          <w:p w14:paraId="42A11E08"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F1+</w:t>
            </w:r>
          </w:p>
        </w:tc>
        <w:tc>
          <w:tcPr>
            <w:tcW w:w="0" w:type="auto"/>
            <w:shd w:val="clear" w:color="auto" w:fill="CCEEFF"/>
            <w:tcMar>
              <w:top w:w="40" w:type="dxa"/>
              <w:left w:w="40" w:type="dxa"/>
              <w:bottom w:w="40" w:type="dxa"/>
              <w:right w:w="40" w:type="dxa"/>
            </w:tcMar>
            <w:vAlign w:val="center"/>
          </w:tcPr>
          <w:p w14:paraId="42A11E0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center"/>
          </w:tcPr>
          <w:p w14:paraId="42A11E0A"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AA</w:t>
            </w:r>
          </w:p>
        </w:tc>
      </w:tr>
    </w:tbl>
    <w:p w14:paraId="42A11E0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Credit rating agencies review their ratings periodically and, therefore, the credit ratings assigned to us by each agency may be subject to revision at any time. Accordingly, we are not able to predict whether our current credit ratin</w:t>
      </w:r>
      <w:r>
        <w:rPr>
          <w:rFonts w:ascii="Times New Roman" w:eastAsia="宋体" w:hAnsi="Times New Roman"/>
          <w:sz w:val="20"/>
          <w:szCs w:val="20"/>
        </w:rPr>
        <w:t>gs will remain consistent over time. Factors that could affect our credit ratings include changes in our operating performance, the general economic environment, conditions in the retail industry, our financial position, including our total debt and capita</w:t>
      </w:r>
      <w:r>
        <w:rPr>
          <w:rFonts w:ascii="Times New Roman" w:eastAsia="宋体" w:hAnsi="Times New Roman"/>
          <w:sz w:val="20"/>
          <w:szCs w:val="20"/>
        </w:rPr>
        <w:t>lization, and changes in our business strategy. Any downgrade of our credit ratings by a credit rating agency could increase our future borrowing costs or impair our ability to access capital and credit markets on terms commercially acceptable to us. In ad</w:t>
      </w:r>
      <w:r>
        <w:rPr>
          <w:rFonts w:ascii="Times New Roman" w:eastAsia="宋体" w:hAnsi="Times New Roman"/>
          <w:sz w:val="20"/>
          <w:szCs w:val="20"/>
        </w:rPr>
        <w:t xml:space="preserve">dition, any downgrade of our current short-term credit ratings could impair our ability to access the commercial paper markets with the same flexibility that we have experienced historically, potentially requiring us to rely more heavily on more expensive </w:t>
      </w:r>
      <w:r>
        <w:rPr>
          <w:rFonts w:ascii="Times New Roman" w:eastAsia="宋体" w:hAnsi="Times New Roman"/>
          <w:sz w:val="20"/>
          <w:szCs w:val="20"/>
        </w:rPr>
        <w:t>types of debt financing. The credit rating agency ratings are not recommendations to buy, sell or hold our commercial paper or debt securities. Each rating may be subject to revision or withdrawal at any time by the assigning rating organization and should</w:t>
      </w:r>
      <w:r>
        <w:rPr>
          <w:rFonts w:ascii="Times New Roman" w:eastAsia="宋体" w:hAnsi="Times New Roman"/>
          <w:sz w:val="20"/>
          <w:szCs w:val="20"/>
        </w:rPr>
        <w:t xml:space="preserve"> be evaluated independently of any other rating. Moreover, each credit rating is specific to the security to which it applies.</w:t>
      </w:r>
    </w:p>
    <w:p w14:paraId="42A11E0D"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 xml:space="preserve">Contractual Obligations </w:t>
      </w:r>
    </w:p>
    <w:p w14:paraId="42A11E0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following table sets forth certain information concerning our obligations to make </w:t>
      </w:r>
      <w:r>
        <w:rPr>
          <w:rFonts w:ascii="Times New Roman" w:eastAsia="宋体" w:hAnsi="Times New Roman"/>
          <w:sz w:val="20"/>
          <w:szCs w:val="20"/>
        </w:rPr>
        <w:t>contractual future payments, such as debt and lease agreements, and certain contingent commitments as of January 31, 2020:</w:t>
      </w:r>
    </w:p>
    <w:tbl>
      <w:tblPr>
        <w:tblW w:w="5000" w:type="pct"/>
        <w:jc w:val="center"/>
        <w:tblCellMar>
          <w:left w:w="0" w:type="dxa"/>
          <w:right w:w="0" w:type="dxa"/>
        </w:tblCellMar>
        <w:tblLook w:val="04A0" w:firstRow="1" w:lastRow="0" w:firstColumn="1" w:lastColumn="0" w:noHBand="0" w:noVBand="1"/>
      </w:tblPr>
      <w:tblGrid>
        <w:gridCol w:w="2959"/>
        <w:gridCol w:w="606"/>
        <w:gridCol w:w="120"/>
        <w:gridCol w:w="520"/>
        <w:gridCol w:w="6"/>
        <w:gridCol w:w="86"/>
        <w:gridCol w:w="121"/>
        <w:gridCol w:w="686"/>
        <w:gridCol w:w="98"/>
        <w:gridCol w:w="131"/>
        <w:gridCol w:w="121"/>
        <w:gridCol w:w="686"/>
        <w:gridCol w:w="98"/>
        <w:gridCol w:w="131"/>
        <w:gridCol w:w="121"/>
        <w:gridCol w:w="686"/>
        <w:gridCol w:w="98"/>
        <w:gridCol w:w="130"/>
        <w:gridCol w:w="120"/>
        <w:gridCol w:w="685"/>
        <w:gridCol w:w="97"/>
      </w:tblGrid>
      <w:tr w:rsidR="00BB68E1" w14:paraId="42A11E10" w14:textId="77777777">
        <w:trPr>
          <w:jc w:val="center"/>
        </w:trPr>
        <w:tc>
          <w:tcPr>
            <w:tcW w:w="0" w:type="auto"/>
            <w:gridSpan w:val="21"/>
            <w:shd w:val="clear" w:color="auto" w:fill="auto"/>
            <w:vAlign w:val="center"/>
          </w:tcPr>
          <w:p w14:paraId="42A11E0F" w14:textId="77777777" w:rsidR="00BB68E1" w:rsidRDefault="00BB68E1">
            <w:pPr>
              <w:rPr>
                <w:rFonts w:ascii="Times New Roman" w:hAnsi="Times New Roman"/>
                <w:sz w:val="20"/>
                <w:szCs w:val="20"/>
              </w:rPr>
            </w:pPr>
          </w:p>
        </w:tc>
      </w:tr>
      <w:tr w:rsidR="00BB68E1" w14:paraId="42A11E26" w14:textId="77777777">
        <w:trPr>
          <w:jc w:val="center"/>
        </w:trPr>
        <w:tc>
          <w:tcPr>
            <w:tcW w:w="2500" w:type="pct"/>
            <w:shd w:val="clear" w:color="auto" w:fill="auto"/>
            <w:vAlign w:val="center"/>
          </w:tcPr>
          <w:p w14:paraId="42A11E11" w14:textId="77777777" w:rsidR="00BB68E1" w:rsidRDefault="00BB68E1">
            <w:pPr>
              <w:rPr>
                <w:rFonts w:ascii="Times New Roman" w:hAnsi="Times New Roman"/>
                <w:sz w:val="20"/>
                <w:szCs w:val="20"/>
              </w:rPr>
            </w:pPr>
          </w:p>
        </w:tc>
        <w:tc>
          <w:tcPr>
            <w:tcW w:w="50" w:type="pct"/>
            <w:shd w:val="clear" w:color="auto" w:fill="auto"/>
            <w:vAlign w:val="center"/>
          </w:tcPr>
          <w:p w14:paraId="42A11E12" w14:textId="77777777" w:rsidR="00BB68E1" w:rsidRDefault="00BB68E1">
            <w:pPr>
              <w:rPr>
                <w:rFonts w:ascii="Times New Roman" w:hAnsi="Times New Roman"/>
                <w:sz w:val="20"/>
                <w:szCs w:val="20"/>
              </w:rPr>
            </w:pPr>
          </w:p>
        </w:tc>
        <w:tc>
          <w:tcPr>
            <w:tcW w:w="50" w:type="pct"/>
            <w:shd w:val="clear" w:color="auto" w:fill="auto"/>
            <w:vAlign w:val="center"/>
          </w:tcPr>
          <w:p w14:paraId="42A11E13" w14:textId="77777777" w:rsidR="00BB68E1" w:rsidRDefault="00BB68E1">
            <w:pPr>
              <w:rPr>
                <w:rFonts w:ascii="Times New Roman" w:hAnsi="Times New Roman"/>
                <w:sz w:val="20"/>
                <w:szCs w:val="20"/>
              </w:rPr>
            </w:pPr>
          </w:p>
        </w:tc>
        <w:tc>
          <w:tcPr>
            <w:tcW w:w="350" w:type="pct"/>
            <w:shd w:val="clear" w:color="auto" w:fill="auto"/>
            <w:vAlign w:val="center"/>
          </w:tcPr>
          <w:p w14:paraId="42A11E14" w14:textId="77777777" w:rsidR="00BB68E1" w:rsidRDefault="00BB68E1">
            <w:pPr>
              <w:rPr>
                <w:rFonts w:ascii="Times New Roman" w:hAnsi="Times New Roman"/>
                <w:sz w:val="20"/>
                <w:szCs w:val="20"/>
              </w:rPr>
            </w:pPr>
          </w:p>
        </w:tc>
        <w:tc>
          <w:tcPr>
            <w:tcW w:w="50" w:type="pct"/>
            <w:shd w:val="clear" w:color="auto" w:fill="auto"/>
            <w:vAlign w:val="center"/>
          </w:tcPr>
          <w:p w14:paraId="42A11E15" w14:textId="77777777" w:rsidR="00BB68E1" w:rsidRDefault="00BB68E1">
            <w:pPr>
              <w:rPr>
                <w:rFonts w:ascii="Times New Roman" w:hAnsi="Times New Roman"/>
                <w:sz w:val="20"/>
                <w:szCs w:val="20"/>
              </w:rPr>
            </w:pPr>
          </w:p>
        </w:tc>
        <w:tc>
          <w:tcPr>
            <w:tcW w:w="50" w:type="pct"/>
            <w:shd w:val="clear" w:color="auto" w:fill="auto"/>
            <w:vAlign w:val="center"/>
          </w:tcPr>
          <w:p w14:paraId="42A11E16" w14:textId="77777777" w:rsidR="00BB68E1" w:rsidRDefault="00BB68E1">
            <w:pPr>
              <w:rPr>
                <w:rFonts w:ascii="Times New Roman" w:hAnsi="Times New Roman"/>
                <w:sz w:val="20"/>
                <w:szCs w:val="20"/>
              </w:rPr>
            </w:pPr>
          </w:p>
        </w:tc>
        <w:tc>
          <w:tcPr>
            <w:tcW w:w="50" w:type="pct"/>
            <w:shd w:val="clear" w:color="auto" w:fill="auto"/>
            <w:vAlign w:val="center"/>
          </w:tcPr>
          <w:p w14:paraId="42A11E17" w14:textId="77777777" w:rsidR="00BB68E1" w:rsidRDefault="00BB68E1">
            <w:pPr>
              <w:rPr>
                <w:rFonts w:ascii="Times New Roman" w:hAnsi="Times New Roman"/>
                <w:sz w:val="20"/>
                <w:szCs w:val="20"/>
              </w:rPr>
            </w:pPr>
          </w:p>
        </w:tc>
        <w:tc>
          <w:tcPr>
            <w:tcW w:w="350" w:type="pct"/>
            <w:shd w:val="clear" w:color="auto" w:fill="auto"/>
            <w:vAlign w:val="center"/>
          </w:tcPr>
          <w:p w14:paraId="42A11E18" w14:textId="77777777" w:rsidR="00BB68E1" w:rsidRDefault="00BB68E1">
            <w:pPr>
              <w:rPr>
                <w:rFonts w:ascii="Times New Roman" w:hAnsi="Times New Roman"/>
                <w:sz w:val="20"/>
                <w:szCs w:val="20"/>
              </w:rPr>
            </w:pPr>
          </w:p>
        </w:tc>
        <w:tc>
          <w:tcPr>
            <w:tcW w:w="50" w:type="pct"/>
            <w:shd w:val="clear" w:color="auto" w:fill="auto"/>
            <w:vAlign w:val="center"/>
          </w:tcPr>
          <w:p w14:paraId="42A11E19" w14:textId="77777777" w:rsidR="00BB68E1" w:rsidRDefault="00BB68E1">
            <w:pPr>
              <w:rPr>
                <w:rFonts w:ascii="Times New Roman" w:hAnsi="Times New Roman"/>
                <w:sz w:val="20"/>
                <w:szCs w:val="20"/>
              </w:rPr>
            </w:pPr>
          </w:p>
        </w:tc>
        <w:tc>
          <w:tcPr>
            <w:tcW w:w="50" w:type="pct"/>
            <w:shd w:val="clear" w:color="auto" w:fill="auto"/>
            <w:vAlign w:val="center"/>
          </w:tcPr>
          <w:p w14:paraId="42A11E1A" w14:textId="77777777" w:rsidR="00BB68E1" w:rsidRDefault="00BB68E1">
            <w:pPr>
              <w:rPr>
                <w:rFonts w:ascii="Times New Roman" w:hAnsi="Times New Roman"/>
                <w:sz w:val="20"/>
                <w:szCs w:val="20"/>
              </w:rPr>
            </w:pPr>
          </w:p>
        </w:tc>
        <w:tc>
          <w:tcPr>
            <w:tcW w:w="50" w:type="pct"/>
            <w:shd w:val="clear" w:color="auto" w:fill="auto"/>
            <w:vAlign w:val="center"/>
          </w:tcPr>
          <w:p w14:paraId="42A11E1B" w14:textId="77777777" w:rsidR="00BB68E1" w:rsidRDefault="00BB68E1">
            <w:pPr>
              <w:rPr>
                <w:rFonts w:ascii="Times New Roman" w:hAnsi="Times New Roman"/>
                <w:sz w:val="20"/>
                <w:szCs w:val="20"/>
              </w:rPr>
            </w:pPr>
          </w:p>
        </w:tc>
        <w:tc>
          <w:tcPr>
            <w:tcW w:w="350" w:type="pct"/>
            <w:shd w:val="clear" w:color="auto" w:fill="auto"/>
            <w:vAlign w:val="center"/>
          </w:tcPr>
          <w:p w14:paraId="42A11E1C" w14:textId="77777777" w:rsidR="00BB68E1" w:rsidRDefault="00BB68E1">
            <w:pPr>
              <w:rPr>
                <w:rFonts w:ascii="Times New Roman" w:hAnsi="Times New Roman"/>
                <w:sz w:val="20"/>
                <w:szCs w:val="20"/>
              </w:rPr>
            </w:pPr>
          </w:p>
        </w:tc>
        <w:tc>
          <w:tcPr>
            <w:tcW w:w="50" w:type="pct"/>
            <w:shd w:val="clear" w:color="auto" w:fill="auto"/>
            <w:vAlign w:val="center"/>
          </w:tcPr>
          <w:p w14:paraId="42A11E1D" w14:textId="77777777" w:rsidR="00BB68E1" w:rsidRDefault="00BB68E1">
            <w:pPr>
              <w:rPr>
                <w:rFonts w:ascii="Times New Roman" w:hAnsi="Times New Roman"/>
                <w:sz w:val="20"/>
                <w:szCs w:val="20"/>
              </w:rPr>
            </w:pPr>
          </w:p>
        </w:tc>
        <w:tc>
          <w:tcPr>
            <w:tcW w:w="50" w:type="pct"/>
            <w:shd w:val="clear" w:color="auto" w:fill="auto"/>
            <w:vAlign w:val="center"/>
          </w:tcPr>
          <w:p w14:paraId="42A11E1E" w14:textId="77777777" w:rsidR="00BB68E1" w:rsidRDefault="00BB68E1">
            <w:pPr>
              <w:rPr>
                <w:rFonts w:ascii="Times New Roman" w:hAnsi="Times New Roman"/>
                <w:sz w:val="20"/>
                <w:szCs w:val="20"/>
              </w:rPr>
            </w:pPr>
          </w:p>
        </w:tc>
        <w:tc>
          <w:tcPr>
            <w:tcW w:w="50" w:type="pct"/>
            <w:shd w:val="clear" w:color="auto" w:fill="auto"/>
            <w:vAlign w:val="center"/>
          </w:tcPr>
          <w:p w14:paraId="42A11E1F" w14:textId="77777777" w:rsidR="00BB68E1" w:rsidRDefault="00BB68E1">
            <w:pPr>
              <w:rPr>
                <w:rFonts w:ascii="Times New Roman" w:hAnsi="Times New Roman"/>
                <w:sz w:val="20"/>
                <w:szCs w:val="20"/>
              </w:rPr>
            </w:pPr>
          </w:p>
        </w:tc>
        <w:tc>
          <w:tcPr>
            <w:tcW w:w="350" w:type="pct"/>
            <w:shd w:val="clear" w:color="auto" w:fill="auto"/>
            <w:vAlign w:val="center"/>
          </w:tcPr>
          <w:p w14:paraId="42A11E20" w14:textId="77777777" w:rsidR="00BB68E1" w:rsidRDefault="00BB68E1">
            <w:pPr>
              <w:rPr>
                <w:rFonts w:ascii="Times New Roman" w:hAnsi="Times New Roman"/>
                <w:sz w:val="20"/>
                <w:szCs w:val="20"/>
              </w:rPr>
            </w:pPr>
          </w:p>
        </w:tc>
        <w:tc>
          <w:tcPr>
            <w:tcW w:w="50" w:type="pct"/>
            <w:shd w:val="clear" w:color="auto" w:fill="auto"/>
            <w:vAlign w:val="center"/>
          </w:tcPr>
          <w:p w14:paraId="42A11E21" w14:textId="77777777" w:rsidR="00BB68E1" w:rsidRDefault="00BB68E1">
            <w:pPr>
              <w:rPr>
                <w:rFonts w:ascii="Times New Roman" w:hAnsi="Times New Roman"/>
                <w:sz w:val="20"/>
                <w:szCs w:val="20"/>
              </w:rPr>
            </w:pPr>
          </w:p>
        </w:tc>
        <w:tc>
          <w:tcPr>
            <w:tcW w:w="50" w:type="pct"/>
            <w:shd w:val="clear" w:color="auto" w:fill="auto"/>
            <w:vAlign w:val="center"/>
          </w:tcPr>
          <w:p w14:paraId="42A11E22" w14:textId="77777777" w:rsidR="00BB68E1" w:rsidRDefault="00BB68E1">
            <w:pPr>
              <w:rPr>
                <w:rFonts w:ascii="Times New Roman" w:hAnsi="Times New Roman"/>
                <w:sz w:val="20"/>
                <w:szCs w:val="20"/>
              </w:rPr>
            </w:pPr>
          </w:p>
        </w:tc>
        <w:tc>
          <w:tcPr>
            <w:tcW w:w="50" w:type="pct"/>
            <w:shd w:val="clear" w:color="auto" w:fill="auto"/>
            <w:vAlign w:val="center"/>
          </w:tcPr>
          <w:p w14:paraId="42A11E23" w14:textId="77777777" w:rsidR="00BB68E1" w:rsidRDefault="00BB68E1">
            <w:pPr>
              <w:rPr>
                <w:rFonts w:ascii="Times New Roman" w:hAnsi="Times New Roman"/>
                <w:sz w:val="20"/>
                <w:szCs w:val="20"/>
              </w:rPr>
            </w:pPr>
          </w:p>
        </w:tc>
        <w:tc>
          <w:tcPr>
            <w:tcW w:w="350" w:type="pct"/>
            <w:shd w:val="clear" w:color="auto" w:fill="auto"/>
            <w:vAlign w:val="center"/>
          </w:tcPr>
          <w:p w14:paraId="42A11E24" w14:textId="77777777" w:rsidR="00BB68E1" w:rsidRDefault="00BB68E1">
            <w:pPr>
              <w:rPr>
                <w:rFonts w:ascii="Times New Roman" w:hAnsi="Times New Roman"/>
                <w:sz w:val="20"/>
                <w:szCs w:val="20"/>
              </w:rPr>
            </w:pPr>
          </w:p>
        </w:tc>
        <w:tc>
          <w:tcPr>
            <w:tcW w:w="50" w:type="pct"/>
            <w:shd w:val="clear" w:color="auto" w:fill="auto"/>
            <w:vAlign w:val="center"/>
          </w:tcPr>
          <w:p w14:paraId="42A11E25" w14:textId="77777777" w:rsidR="00BB68E1" w:rsidRDefault="00BB68E1">
            <w:pPr>
              <w:rPr>
                <w:rFonts w:ascii="Times New Roman" w:hAnsi="Times New Roman"/>
                <w:sz w:val="20"/>
                <w:szCs w:val="20"/>
              </w:rPr>
            </w:pPr>
          </w:p>
        </w:tc>
      </w:tr>
      <w:tr w:rsidR="00BB68E1" w14:paraId="42A11E2C" w14:textId="77777777">
        <w:trPr>
          <w:jc w:val="center"/>
        </w:trPr>
        <w:tc>
          <w:tcPr>
            <w:tcW w:w="0" w:type="auto"/>
            <w:shd w:val="clear" w:color="auto" w:fill="auto"/>
            <w:tcMar>
              <w:top w:w="40" w:type="dxa"/>
              <w:left w:w="40" w:type="dxa"/>
              <w:bottom w:w="40" w:type="dxa"/>
              <w:right w:w="40" w:type="dxa"/>
            </w:tcMar>
            <w:vAlign w:val="bottom"/>
          </w:tcPr>
          <w:p w14:paraId="42A11E2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1E28" w14:textId="77777777" w:rsidR="00BB68E1" w:rsidRDefault="00BB68E1">
            <w:pPr>
              <w:textAlignment w:val="bottom"/>
              <w:rPr>
                <w:rFonts w:ascii="Times New Roman" w:hAnsi="Times New Roman"/>
                <w:sz w:val="16"/>
                <w:szCs w:val="16"/>
              </w:rPr>
            </w:pPr>
          </w:p>
        </w:tc>
        <w:tc>
          <w:tcPr>
            <w:tcW w:w="0" w:type="auto"/>
            <w:gridSpan w:val="3"/>
            <w:shd w:val="clear" w:color="auto" w:fill="auto"/>
            <w:tcMar>
              <w:top w:w="40" w:type="dxa"/>
              <w:left w:w="40" w:type="dxa"/>
              <w:bottom w:w="40" w:type="dxa"/>
              <w:right w:w="40" w:type="dxa"/>
            </w:tcMar>
            <w:vAlign w:val="bottom"/>
          </w:tcPr>
          <w:p w14:paraId="42A11E2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1E2A" w14:textId="77777777" w:rsidR="00BB68E1" w:rsidRDefault="00BB68E1">
            <w:pPr>
              <w:textAlignment w:val="bottom"/>
              <w:rPr>
                <w:rFonts w:ascii="Times New Roman" w:hAnsi="Times New Roman"/>
                <w:sz w:val="16"/>
                <w:szCs w:val="16"/>
              </w:rPr>
            </w:pPr>
          </w:p>
        </w:tc>
        <w:tc>
          <w:tcPr>
            <w:tcW w:w="0" w:type="auto"/>
            <w:gridSpan w:val="15"/>
            <w:tcBorders>
              <w:bottom w:val="single" w:sz="8" w:space="0" w:color="000000"/>
            </w:tcBorders>
            <w:shd w:val="clear" w:color="auto" w:fill="auto"/>
            <w:tcMar>
              <w:top w:w="40" w:type="dxa"/>
              <w:left w:w="40" w:type="dxa"/>
              <w:bottom w:w="40" w:type="dxa"/>
            </w:tcMar>
            <w:vAlign w:val="bottom"/>
          </w:tcPr>
          <w:p w14:paraId="42A11E2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Payments Due During Fiscal Years Ending January 31,</w:t>
            </w:r>
          </w:p>
        </w:tc>
      </w:tr>
      <w:tr w:rsidR="00BB68E1" w14:paraId="42A11E38" w14:textId="77777777">
        <w:trPr>
          <w:jc w:val="center"/>
        </w:trPr>
        <w:tc>
          <w:tcPr>
            <w:tcW w:w="0" w:type="auto"/>
            <w:shd w:val="clear" w:color="auto" w:fill="auto"/>
            <w:tcMar>
              <w:top w:w="40" w:type="dxa"/>
              <w:left w:w="40" w:type="dxa"/>
              <w:bottom w:w="40" w:type="dxa"/>
              <w:right w:w="40" w:type="dxa"/>
            </w:tcMar>
            <w:vAlign w:val="bottom"/>
          </w:tcPr>
          <w:p w14:paraId="42A11E2D"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1E2E" w14:textId="77777777" w:rsidR="00BB68E1" w:rsidRDefault="00BB68E1">
            <w:pPr>
              <w:textAlignment w:val="bottom"/>
              <w:rPr>
                <w:rFonts w:ascii="Times New Roman" w:hAnsi="Times New Roman"/>
                <w:sz w:val="16"/>
                <w:szCs w:val="16"/>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E2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auto"/>
            <w:tcMar>
              <w:top w:w="40" w:type="dxa"/>
              <w:left w:w="40" w:type="dxa"/>
              <w:bottom w:w="40" w:type="dxa"/>
              <w:right w:w="40" w:type="dxa"/>
            </w:tcMar>
            <w:vAlign w:val="bottom"/>
          </w:tcPr>
          <w:p w14:paraId="42A11E30" w14:textId="77777777" w:rsidR="00BB68E1" w:rsidRDefault="00BB68E1">
            <w:pPr>
              <w:jc w:val="center"/>
              <w:textAlignment w:val="bottom"/>
              <w:rPr>
                <w:rFonts w:ascii="Times New Roman" w:hAnsi="Times New Roman"/>
                <w:sz w:val="16"/>
                <w:szCs w:val="16"/>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E31"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2021</w:t>
            </w:r>
          </w:p>
        </w:tc>
        <w:tc>
          <w:tcPr>
            <w:tcW w:w="0" w:type="auto"/>
            <w:shd w:val="clear" w:color="auto" w:fill="auto"/>
            <w:tcMar>
              <w:top w:w="40" w:type="dxa"/>
              <w:left w:w="40" w:type="dxa"/>
              <w:bottom w:w="40" w:type="dxa"/>
              <w:right w:w="40" w:type="dxa"/>
            </w:tcMar>
            <w:vAlign w:val="bottom"/>
          </w:tcPr>
          <w:p w14:paraId="42A11E32" w14:textId="77777777" w:rsidR="00BB68E1" w:rsidRDefault="00BB68E1">
            <w:pPr>
              <w:jc w:val="center"/>
              <w:textAlignment w:val="bottom"/>
              <w:rPr>
                <w:rFonts w:ascii="Times New Roman" w:hAnsi="Times New Roman"/>
                <w:sz w:val="16"/>
                <w:szCs w:val="16"/>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E3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2022-2023</w:t>
            </w:r>
          </w:p>
        </w:tc>
        <w:tc>
          <w:tcPr>
            <w:tcW w:w="0" w:type="auto"/>
            <w:shd w:val="clear" w:color="auto" w:fill="auto"/>
            <w:tcMar>
              <w:top w:w="40" w:type="dxa"/>
              <w:left w:w="40" w:type="dxa"/>
              <w:bottom w:w="40" w:type="dxa"/>
              <w:right w:w="40" w:type="dxa"/>
            </w:tcMar>
            <w:vAlign w:val="bottom"/>
          </w:tcPr>
          <w:p w14:paraId="42A11E34" w14:textId="77777777" w:rsidR="00BB68E1" w:rsidRDefault="00BB68E1">
            <w:pPr>
              <w:jc w:val="center"/>
              <w:textAlignment w:val="bottom"/>
              <w:rPr>
                <w:rFonts w:ascii="Times New Roman" w:hAnsi="Times New Roman"/>
                <w:sz w:val="16"/>
                <w:szCs w:val="16"/>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E35"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2024-2025</w:t>
            </w:r>
          </w:p>
        </w:tc>
        <w:tc>
          <w:tcPr>
            <w:tcW w:w="0" w:type="auto"/>
            <w:shd w:val="clear" w:color="auto" w:fill="auto"/>
            <w:tcMar>
              <w:top w:w="40" w:type="dxa"/>
              <w:left w:w="40" w:type="dxa"/>
              <w:bottom w:w="40" w:type="dxa"/>
              <w:right w:w="40" w:type="dxa"/>
            </w:tcMar>
            <w:vAlign w:val="bottom"/>
          </w:tcPr>
          <w:p w14:paraId="42A11E36" w14:textId="77777777" w:rsidR="00BB68E1" w:rsidRDefault="00BB68E1">
            <w:pPr>
              <w:jc w:val="center"/>
              <w:textAlignment w:val="bottom"/>
              <w:rPr>
                <w:rFonts w:ascii="Times New Roman" w:hAnsi="Times New Roman"/>
                <w:sz w:val="16"/>
                <w:szCs w:val="16"/>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E3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Thereafter</w:t>
            </w:r>
          </w:p>
        </w:tc>
      </w:tr>
      <w:tr w:rsidR="00BB68E1" w14:paraId="42A11E44" w14:textId="77777777">
        <w:trPr>
          <w:jc w:val="center"/>
        </w:trPr>
        <w:tc>
          <w:tcPr>
            <w:tcW w:w="0" w:type="auto"/>
            <w:shd w:val="clear" w:color="auto" w:fill="CCEEFF"/>
            <w:tcMar>
              <w:top w:w="40" w:type="dxa"/>
              <w:left w:w="40" w:type="dxa"/>
              <w:bottom w:w="40" w:type="dxa"/>
              <w:right w:w="40" w:type="dxa"/>
            </w:tcMar>
            <w:vAlign w:val="center"/>
          </w:tcPr>
          <w:p w14:paraId="42A11E39"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Recorded contractual obligations</w:t>
            </w:r>
            <w:r>
              <w:rPr>
                <w:rFonts w:ascii="Times New Roman" w:eastAsia="宋体" w:hAnsi="Times New Roman"/>
                <w:b/>
                <w:bCs/>
                <w:sz w:val="10"/>
                <w:szCs w:val="10"/>
              </w:rPr>
              <w:t>(3)</w:t>
            </w:r>
            <w:r>
              <w:rPr>
                <w:rFonts w:ascii="Times New Roman" w:eastAsia="宋体" w:hAnsi="Times New Roman"/>
                <w:b/>
                <w:bCs/>
                <w:sz w:val="16"/>
                <w:szCs w:val="16"/>
              </w:rPr>
              <w:t>:</w:t>
            </w:r>
          </w:p>
        </w:tc>
        <w:tc>
          <w:tcPr>
            <w:tcW w:w="0" w:type="auto"/>
            <w:shd w:val="clear" w:color="auto" w:fill="CCEEFF"/>
            <w:tcMar>
              <w:top w:w="40" w:type="dxa"/>
              <w:left w:w="40" w:type="dxa"/>
              <w:bottom w:w="40" w:type="dxa"/>
              <w:right w:w="40" w:type="dxa"/>
            </w:tcMar>
            <w:vAlign w:val="center"/>
          </w:tcPr>
          <w:p w14:paraId="42A11E3A" w14:textId="77777777" w:rsidR="00BB68E1" w:rsidRDefault="00BB68E1">
            <w:pPr>
              <w:textAlignment w:val="center"/>
              <w:rPr>
                <w:rFonts w:ascii="Times New Roman" w:hAnsi="Times New Roman"/>
                <w:sz w:val="16"/>
                <w:szCs w:val="16"/>
              </w:rPr>
            </w:pPr>
          </w:p>
        </w:tc>
        <w:tc>
          <w:tcPr>
            <w:tcW w:w="0" w:type="auto"/>
            <w:gridSpan w:val="3"/>
            <w:shd w:val="clear" w:color="auto" w:fill="CCEEFF"/>
            <w:tcMar>
              <w:top w:w="40" w:type="dxa"/>
              <w:left w:w="40" w:type="dxa"/>
              <w:bottom w:w="40" w:type="dxa"/>
              <w:right w:w="40" w:type="dxa"/>
            </w:tcMar>
            <w:vAlign w:val="center"/>
          </w:tcPr>
          <w:p w14:paraId="42A11E3B" w14:textId="77777777" w:rsidR="00BB68E1" w:rsidRDefault="00BB68E1">
            <w:pPr>
              <w:textAlignment w:val="center"/>
              <w:rPr>
                <w:rFonts w:ascii="Times New Roman" w:hAnsi="Times New Roman"/>
                <w:sz w:val="16"/>
                <w:szCs w:val="16"/>
              </w:rPr>
            </w:pPr>
          </w:p>
        </w:tc>
        <w:tc>
          <w:tcPr>
            <w:tcW w:w="0" w:type="auto"/>
            <w:shd w:val="clear" w:color="auto" w:fill="CCEEFF"/>
            <w:tcMar>
              <w:top w:w="40" w:type="dxa"/>
              <w:left w:w="40" w:type="dxa"/>
              <w:bottom w:w="40" w:type="dxa"/>
              <w:right w:w="40" w:type="dxa"/>
            </w:tcMar>
            <w:vAlign w:val="center"/>
          </w:tcPr>
          <w:p w14:paraId="42A11E3C" w14:textId="77777777" w:rsidR="00BB68E1" w:rsidRDefault="00BB68E1">
            <w:pPr>
              <w:textAlignment w:val="center"/>
              <w:rPr>
                <w:rFonts w:ascii="Times New Roman" w:hAnsi="Times New Roman"/>
                <w:sz w:val="16"/>
                <w:szCs w:val="16"/>
              </w:rPr>
            </w:pPr>
          </w:p>
        </w:tc>
        <w:tc>
          <w:tcPr>
            <w:tcW w:w="0" w:type="auto"/>
            <w:gridSpan w:val="3"/>
            <w:shd w:val="clear" w:color="auto" w:fill="CCEEFF"/>
            <w:tcMar>
              <w:top w:w="40" w:type="dxa"/>
              <w:left w:w="40" w:type="dxa"/>
              <w:bottom w:w="40" w:type="dxa"/>
              <w:right w:w="40" w:type="dxa"/>
            </w:tcMar>
            <w:vAlign w:val="center"/>
          </w:tcPr>
          <w:p w14:paraId="42A11E3D" w14:textId="77777777" w:rsidR="00BB68E1" w:rsidRDefault="00BB68E1">
            <w:pPr>
              <w:textAlignment w:val="center"/>
              <w:rPr>
                <w:rFonts w:ascii="Times New Roman" w:hAnsi="Times New Roman"/>
                <w:sz w:val="16"/>
                <w:szCs w:val="16"/>
              </w:rPr>
            </w:pPr>
          </w:p>
        </w:tc>
        <w:tc>
          <w:tcPr>
            <w:tcW w:w="0" w:type="auto"/>
            <w:shd w:val="clear" w:color="auto" w:fill="CCEEFF"/>
            <w:tcMar>
              <w:top w:w="40" w:type="dxa"/>
              <w:left w:w="40" w:type="dxa"/>
              <w:bottom w:w="40" w:type="dxa"/>
              <w:right w:w="40" w:type="dxa"/>
            </w:tcMar>
            <w:vAlign w:val="center"/>
          </w:tcPr>
          <w:p w14:paraId="42A11E3E" w14:textId="77777777" w:rsidR="00BB68E1" w:rsidRDefault="00BB68E1">
            <w:pPr>
              <w:textAlignment w:val="center"/>
              <w:rPr>
                <w:rFonts w:ascii="Times New Roman" w:hAnsi="Times New Roman"/>
                <w:sz w:val="16"/>
                <w:szCs w:val="16"/>
              </w:rPr>
            </w:pPr>
          </w:p>
        </w:tc>
        <w:tc>
          <w:tcPr>
            <w:tcW w:w="0" w:type="auto"/>
            <w:gridSpan w:val="3"/>
            <w:shd w:val="clear" w:color="auto" w:fill="CCEEFF"/>
            <w:tcMar>
              <w:top w:w="40" w:type="dxa"/>
              <w:left w:w="40" w:type="dxa"/>
              <w:bottom w:w="40" w:type="dxa"/>
              <w:right w:w="40" w:type="dxa"/>
            </w:tcMar>
            <w:vAlign w:val="center"/>
          </w:tcPr>
          <w:p w14:paraId="42A11E3F" w14:textId="77777777" w:rsidR="00BB68E1" w:rsidRDefault="00BB68E1">
            <w:pPr>
              <w:textAlignment w:val="center"/>
              <w:rPr>
                <w:rFonts w:ascii="Times New Roman" w:hAnsi="Times New Roman"/>
                <w:sz w:val="16"/>
                <w:szCs w:val="16"/>
              </w:rPr>
            </w:pPr>
          </w:p>
        </w:tc>
        <w:tc>
          <w:tcPr>
            <w:tcW w:w="0" w:type="auto"/>
            <w:shd w:val="clear" w:color="auto" w:fill="CCEEFF"/>
            <w:tcMar>
              <w:top w:w="40" w:type="dxa"/>
              <w:left w:w="40" w:type="dxa"/>
              <w:bottom w:w="40" w:type="dxa"/>
              <w:right w:w="40" w:type="dxa"/>
            </w:tcMar>
            <w:vAlign w:val="center"/>
          </w:tcPr>
          <w:p w14:paraId="42A11E40" w14:textId="77777777" w:rsidR="00BB68E1" w:rsidRDefault="00BB68E1">
            <w:pPr>
              <w:textAlignment w:val="center"/>
              <w:rPr>
                <w:rFonts w:ascii="Times New Roman" w:hAnsi="Times New Roman"/>
                <w:sz w:val="16"/>
                <w:szCs w:val="16"/>
              </w:rPr>
            </w:pPr>
          </w:p>
        </w:tc>
        <w:tc>
          <w:tcPr>
            <w:tcW w:w="0" w:type="auto"/>
            <w:gridSpan w:val="3"/>
            <w:shd w:val="clear" w:color="auto" w:fill="CCEEFF"/>
            <w:tcMar>
              <w:top w:w="40" w:type="dxa"/>
              <w:left w:w="40" w:type="dxa"/>
              <w:bottom w:w="40" w:type="dxa"/>
              <w:right w:w="40" w:type="dxa"/>
            </w:tcMar>
            <w:vAlign w:val="center"/>
          </w:tcPr>
          <w:p w14:paraId="42A11E41" w14:textId="77777777" w:rsidR="00BB68E1" w:rsidRDefault="00BB68E1">
            <w:pPr>
              <w:textAlignment w:val="center"/>
              <w:rPr>
                <w:rFonts w:ascii="Times New Roman" w:hAnsi="Times New Roman"/>
                <w:sz w:val="16"/>
                <w:szCs w:val="16"/>
              </w:rPr>
            </w:pPr>
          </w:p>
        </w:tc>
        <w:tc>
          <w:tcPr>
            <w:tcW w:w="0" w:type="auto"/>
            <w:shd w:val="clear" w:color="auto" w:fill="CCEEFF"/>
            <w:tcMar>
              <w:top w:w="40" w:type="dxa"/>
              <w:left w:w="40" w:type="dxa"/>
              <w:bottom w:w="40" w:type="dxa"/>
              <w:right w:w="40" w:type="dxa"/>
            </w:tcMar>
            <w:vAlign w:val="center"/>
          </w:tcPr>
          <w:p w14:paraId="42A11E42" w14:textId="77777777" w:rsidR="00BB68E1" w:rsidRDefault="00BB68E1">
            <w:pPr>
              <w:textAlignment w:val="center"/>
              <w:rPr>
                <w:rFonts w:ascii="Times New Roman" w:hAnsi="Times New Roman"/>
                <w:sz w:val="16"/>
                <w:szCs w:val="16"/>
              </w:rPr>
            </w:pPr>
          </w:p>
        </w:tc>
        <w:tc>
          <w:tcPr>
            <w:tcW w:w="0" w:type="auto"/>
            <w:gridSpan w:val="3"/>
            <w:shd w:val="clear" w:color="auto" w:fill="CCEEFF"/>
            <w:tcMar>
              <w:top w:w="40" w:type="dxa"/>
              <w:left w:w="40" w:type="dxa"/>
              <w:bottom w:w="40" w:type="dxa"/>
              <w:right w:w="40" w:type="dxa"/>
            </w:tcMar>
            <w:vAlign w:val="center"/>
          </w:tcPr>
          <w:p w14:paraId="42A11E43" w14:textId="77777777" w:rsidR="00BB68E1" w:rsidRDefault="00BB68E1">
            <w:pPr>
              <w:textAlignment w:val="center"/>
              <w:rPr>
                <w:rFonts w:ascii="Times New Roman" w:hAnsi="Times New Roman"/>
                <w:sz w:val="16"/>
                <w:szCs w:val="16"/>
              </w:rPr>
            </w:pPr>
          </w:p>
        </w:tc>
      </w:tr>
      <w:tr w:rsidR="00BB68E1" w14:paraId="42A11E5A" w14:textId="77777777">
        <w:trPr>
          <w:jc w:val="center"/>
        </w:trPr>
        <w:tc>
          <w:tcPr>
            <w:tcW w:w="0" w:type="auto"/>
            <w:shd w:val="clear" w:color="auto" w:fill="auto"/>
            <w:tcMar>
              <w:top w:w="40" w:type="dxa"/>
              <w:left w:w="560" w:type="dxa"/>
              <w:bottom w:w="40" w:type="dxa"/>
              <w:right w:w="40" w:type="dxa"/>
            </w:tcMar>
            <w:vAlign w:val="center"/>
          </w:tcPr>
          <w:p w14:paraId="42A11E4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Long-term debt</w:t>
            </w:r>
            <w:r>
              <w:rPr>
                <w:rFonts w:ascii="Times New Roman" w:eastAsia="宋体" w:hAnsi="Times New Roman"/>
                <w:sz w:val="10"/>
                <w:szCs w:val="10"/>
              </w:rPr>
              <w:t>(1)</w:t>
            </w:r>
          </w:p>
        </w:tc>
        <w:tc>
          <w:tcPr>
            <w:tcW w:w="0" w:type="auto"/>
            <w:shd w:val="clear" w:color="auto" w:fill="auto"/>
            <w:tcMar>
              <w:top w:w="40" w:type="dxa"/>
              <w:left w:w="560" w:type="dxa"/>
              <w:bottom w:w="40" w:type="dxa"/>
              <w:right w:w="40" w:type="dxa"/>
            </w:tcMar>
            <w:vAlign w:val="center"/>
          </w:tcPr>
          <w:p w14:paraId="42A11E46" w14:textId="77777777" w:rsidR="00BB68E1" w:rsidRDefault="00BB68E1">
            <w:pPr>
              <w:textAlignment w:val="center"/>
              <w:rPr>
                <w:rFonts w:ascii="Times New Roman" w:hAnsi="Times New Roman"/>
                <w:sz w:val="16"/>
                <w:szCs w:val="16"/>
              </w:rPr>
            </w:pPr>
          </w:p>
        </w:tc>
        <w:tc>
          <w:tcPr>
            <w:tcW w:w="0" w:type="auto"/>
            <w:shd w:val="clear" w:color="auto" w:fill="auto"/>
            <w:tcMar>
              <w:top w:w="40" w:type="dxa"/>
              <w:left w:w="40" w:type="dxa"/>
              <w:bottom w:w="40" w:type="dxa"/>
            </w:tcMar>
            <w:vAlign w:val="center"/>
          </w:tcPr>
          <w:p w14:paraId="42A11E4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E4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49,180</w:t>
            </w:r>
          </w:p>
        </w:tc>
        <w:tc>
          <w:tcPr>
            <w:tcW w:w="0" w:type="auto"/>
            <w:shd w:val="clear" w:color="auto" w:fill="auto"/>
            <w:vAlign w:val="bottom"/>
          </w:tcPr>
          <w:p w14:paraId="42A11E4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E4A" w14:textId="77777777" w:rsidR="00BB68E1" w:rsidRDefault="00BB68E1">
            <w:pPr>
              <w:jc w:val="right"/>
              <w:textAlignment w:val="center"/>
              <w:rPr>
                <w:rFonts w:ascii="Times New Roman" w:hAnsi="Times New Roman"/>
                <w:sz w:val="16"/>
                <w:szCs w:val="16"/>
              </w:rPr>
            </w:pPr>
          </w:p>
        </w:tc>
        <w:tc>
          <w:tcPr>
            <w:tcW w:w="0" w:type="auto"/>
            <w:shd w:val="clear" w:color="auto" w:fill="auto"/>
            <w:tcMar>
              <w:top w:w="40" w:type="dxa"/>
              <w:left w:w="40" w:type="dxa"/>
              <w:bottom w:w="40" w:type="dxa"/>
            </w:tcMar>
            <w:vAlign w:val="center"/>
          </w:tcPr>
          <w:p w14:paraId="42A11E4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E4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5,362</w:t>
            </w:r>
          </w:p>
        </w:tc>
        <w:tc>
          <w:tcPr>
            <w:tcW w:w="0" w:type="auto"/>
            <w:shd w:val="clear" w:color="auto" w:fill="auto"/>
            <w:vAlign w:val="bottom"/>
          </w:tcPr>
          <w:p w14:paraId="42A11E4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E4E" w14:textId="77777777" w:rsidR="00BB68E1" w:rsidRDefault="00BB68E1">
            <w:pPr>
              <w:jc w:val="right"/>
              <w:textAlignment w:val="center"/>
              <w:rPr>
                <w:rFonts w:ascii="Times New Roman" w:hAnsi="Times New Roman"/>
                <w:sz w:val="16"/>
                <w:szCs w:val="16"/>
              </w:rPr>
            </w:pPr>
          </w:p>
        </w:tc>
        <w:tc>
          <w:tcPr>
            <w:tcW w:w="0" w:type="auto"/>
            <w:shd w:val="clear" w:color="auto" w:fill="auto"/>
            <w:tcMar>
              <w:top w:w="40" w:type="dxa"/>
              <w:left w:w="40" w:type="dxa"/>
              <w:bottom w:w="40" w:type="dxa"/>
            </w:tcMar>
            <w:vAlign w:val="center"/>
          </w:tcPr>
          <w:p w14:paraId="42A11E4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E5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5,839</w:t>
            </w:r>
          </w:p>
        </w:tc>
        <w:tc>
          <w:tcPr>
            <w:tcW w:w="0" w:type="auto"/>
            <w:shd w:val="clear" w:color="auto" w:fill="auto"/>
            <w:vAlign w:val="bottom"/>
          </w:tcPr>
          <w:p w14:paraId="42A11E5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E52" w14:textId="77777777" w:rsidR="00BB68E1" w:rsidRDefault="00BB68E1">
            <w:pPr>
              <w:jc w:val="right"/>
              <w:textAlignment w:val="center"/>
              <w:rPr>
                <w:rFonts w:ascii="Times New Roman" w:hAnsi="Times New Roman"/>
                <w:sz w:val="16"/>
                <w:szCs w:val="16"/>
              </w:rPr>
            </w:pPr>
          </w:p>
        </w:tc>
        <w:tc>
          <w:tcPr>
            <w:tcW w:w="0" w:type="auto"/>
            <w:shd w:val="clear" w:color="auto" w:fill="auto"/>
            <w:tcMar>
              <w:top w:w="40" w:type="dxa"/>
              <w:left w:w="40" w:type="dxa"/>
              <w:bottom w:w="40" w:type="dxa"/>
            </w:tcMar>
            <w:vAlign w:val="center"/>
          </w:tcPr>
          <w:p w14:paraId="42A11E5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E5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9,019</w:t>
            </w:r>
          </w:p>
        </w:tc>
        <w:tc>
          <w:tcPr>
            <w:tcW w:w="0" w:type="auto"/>
            <w:shd w:val="clear" w:color="auto" w:fill="auto"/>
            <w:vAlign w:val="bottom"/>
          </w:tcPr>
          <w:p w14:paraId="42A11E5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E56" w14:textId="77777777" w:rsidR="00BB68E1" w:rsidRDefault="00BB68E1">
            <w:pPr>
              <w:jc w:val="right"/>
              <w:textAlignment w:val="center"/>
              <w:rPr>
                <w:rFonts w:ascii="Times New Roman" w:hAnsi="Times New Roman"/>
                <w:sz w:val="16"/>
                <w:szCs w:val="16"/>
              </w:rPr>
            </w:pPr>
          </w:p>
        </w:tc>
        <w:tc>
          <w:tcPr>
            <w:tcW w:w="0" w:type="auto"/>
            <w:shd w:val="clear" w:color="auto" w:fill="auto"/>
            <w:tcMar>
              <w:top w:w="40" w:type="dxa"/>
              <w:left w:w="40" w:type="dxa"/>
              <w:bottom w:w="40" w:type="dxa"/>
            </w:tcMar>
            <w:vAlign w:val="center"/>
          </w:tcPr>
          <w:p w14:paraId="42A11E5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E5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28,960</w:t>
            </w:r>
          </w:p>
        </w:tc>
        <w:tc>
          <w:tcPr>
            <w:tcW w:w="0" w:type="auto"/>
            <w:shd w:val="clear" w:color="auto" w:fill="auto"/>
            <w:vAlign w:val="bottom"/>
          </w:tcPr>
          <w:p w14:paraId="42A11E59" w14:textId="77777777" w:rsidR="00BB68E1" w:rsidRDefault="00BB68E1">
            <w:pPr>
              <w:textAlignment w:val="bottom"/>
              <w:rPr>
                <w:rFonts w:ascii="Times New Roman" w:hAnsi="Times New Roman"/>
                <w:sz w:val="20"/>
                <w:szCs w:val="20"/>
              </w:rPr>
            </w:pPr>
          </w:p>
        </w:tc>
      </w:tr>
      <w:tr w:rsidR="00BB68E1" w14:paraId="42A11E6B" w14:textId="77777777">
        <w:trPr>
          <w:jc w:val="center"/>
        </w:trPr>
        <w:tc>
          <w:tcPr>
            <w:tcW w:w="0" w:type="auto"/>
            <w:shd w:val="clear" w:color="auto" w:fill="CCEEFF"/>
            <w:tcMar>
              <w:top w:w="40" w:type="dxa"/>
              <w:left w:w="560" w:type="dxa"/>
              <w:bottom w:w="40" w:type="dxa"/>
              <w:right w:w="40" w:type="dxa"/>
            </w:tcMar>
            <w:vAlign w:val="center"/>
          </w:tcPr>
          <w:p w14:paraId="42A11E5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Short-term borrowings</w:t>
            </w:r>
          </w:p>
        </w:tc>
        <w:tc>
          <w:tcPr>
            <w:tcW w:w="0" w:type="auto"/>
            <w:shd w:val="clear" w:color="auto" w:fill="CCEEFF"/>
            <w:tcMar>
              <w:top w:w="40" w:type="dxa"/>
              <w:left w:w="560" w:type="dxa"/>
              <w:bottom w:w="40" w:type="dxa"/>
              <w:right w:w="40" w:type="dxa"/>
            </w:tcMar>
            <w:vAlign w:val="center"/>
          </w:tcPr>
          <w:p w14:paraId="42A11E5C" w14:textId="77777777" w:rsidR="00BB68E1" w:rsidRDefault="00BB68E1">
            <w:pPr>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E5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575</w:t>
            </w:r>
          </w:p>
        </w:tc>
        <w:tc>
          <w:tcPr>
            <w:tcW w:w="0" w:type="auto"/>
            <w:shd w:val="clear" w:color="auto" w:fill="CCEEFF"/>
            <w:vAlign w:val="bottom"/>
          </w:tcPr>
          <w:p w14:paraId="42A11E5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E5F" w14:textId="77777777" w:rsidR="00BB68E1" w:rsidRDefault="00BB68E1">
            <w:pPr>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E6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575</w:t>
            </w:r>
          </w:p>
        </w:tc>
        <w:tc>
          <w:tcPr>
            <w:tcW w:w="0" w:type="auto"/>
            <w:shd w:val="clear" w:color="auto" w:fill="CCEEFF"/>
            <w:vAlign w:val="bottom"/>
          </w:tcPr>
          <w:p w14:paraId="42A11E6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E62" w14:textId="77777777" w:rsidR="00BB68E1" w:rsidRDefault="00BB68E1">
            <w:pPr>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E6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E6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E65" w14:textId="77777777" w:rsidR="00BB68E1" w:rsidRDefault="00BB68E1">
            <w:pPr>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E6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E6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E68" w14:textId="77777777" w:rsidR="00BB68E1" w:rsidRDefault="00BB68E1">
            <w:pPr>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E6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E6A" w14:textId="77777777" w:rsidR="00BB68E1" w:rsidRDefault="00BB68E1">
            <w:pPr>
              <w:textAlignment w:val="bottom"/>
              <w:rPr>
                <w:rFonts w:ascii="Times New Roman" w:hAnsi="Times New Roman"/>
                <w:sz w:val="20"/>
                <w:szCs w:val="20"/>
              </w:rPr>
            </w:pPr>
          </w:p>
        </w:tc>
      </w:tr>
      <w:tr w:rsidR="00BB68E1" w14:paraId="42A11E7C" w14:textId="77777777">
        <w:trPr>
          <w:jc w:val="center"/>
        </w:trPr>
        <w:tc>
          <w:tcPr>
            <w:tcW w:w="0" w:type="auto"/>
            <w:shd w:val="clear" w:color="auto" w:fill="auto"/>
            <w:tcMar>
              <w:top w:w="40" w:type="dxa"/>
              <w:left w:w="560" w:type="dxa"/>
              <w:bottom w:w="40" w:type="dxa"/>
              <w:right w:w="40" w:type="dxa"/>
            </w:tcMar>
            <w:vAlign w:val="center"/>
          </w:tcPr>
          <w:p w14:paraId="42A11E6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lease obligations</w:t>
            </w:r>
            <w:r>
              <w:rPr>
                <w:rFonts w:ascii="Times New Roman" w:eastAsia="宋体" w:hAnsi="Times New Roman"/>
                <w:sz w:val="10"/>
                <w:szCs w:val="10"/>
              </w:rPr>
              <w:t>(2)</w:t>
            </w:r>
          </w:p>
        </w:tc>
        <w:tc>
          <w:tcPr>
            <w:tcW w:w="0" w:type="auto"/>
            <w:shd w:val="clear" w:color="auto" w:fill="auto"/>
            <w:tcMar>
              <w:top w:w="40" w:type="dxa"/>
              <w:left w:w="40" w:type="dxa"/>
              <w:bottom w:w="40" w:type="dxa"/>
              <w:right w:w="40" w:type="dxa"/>
            </w:tcMar>
            <w:vAlign w:val="bottom"/>
          </w:tcPr>
          <w:p w14:paraId="42A11E6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E6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26,257</w:t>
            </w:r>
          </w:p>
        </w:tc>
        <w:tc>
          <w:tcPr>
            <w:tcW w:w="0" w:type="auto"/>
            <w:shd w:val="clear" w:color="auto" w:fill="auto"/>
            <w:vAlign w:val="bottom"/>
          </w:tcPr>
          <w:p w14:paraId="42A11E6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E70" w14:textId="77777777" w:rsidR="00BB68E1" w:rsidRDefault="00BB68E1">
            <w:pPr>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2A11E7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2,587</w:t>
            </w:r>
          </w:p>
        </w:tc>
        <w:tc>
          <w:tcPr>
            <w:tcW w:w="0" w:type="auto"/>
            <w:shd w:val="clear" w:color="auto" w:fill="auto"/>
            <w:vAlign w:val="bottom"/>
          </w:tcPr>
          <w:p w14:paraId="42A11E7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E73" w14:textId="77777777" w:rsidR="00BB68E1" w:rsidRDefault="00BB68E1">
            <w:pPr>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2A11E7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4,496</w:t>
            </w:r>
          </w:p>
        </w:tc>
        <w:tc>
          <w:tcPr>
            <w:tcW w:w="0" w:type="auto"/>
            <w:shd w:val="clear" w:color="auto" w:fill="auto"/>
            <w:vAlign w:val="bottom"/>
          </w:tcPr>
          <w:p w14:paraId="42A11E7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E76" w14:textId="77777777" w:rsidR="00BB68E1" w:rsidRDefault="00BB68E1">
            <w:pPr>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2A11E7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3,660</w:t>
            </w:r>
          </w:p>
        </w:tc>
        <w:tc>
          <w:tcPr>
            <w:tcW w:w="0" w:type="auto"/>
            <w:shd w:val="clear" w:color="auto" w:fill="auto"/>
            <w:vAlign w:val="bottom"/>
          </w:tcPr>
          <w:p w14:paraId="42A11E7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E79" w14:textId="77777777" w:rsidR="00BB68E1" w:rsidRDefault="00BB68E1">
            <w:pPr>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2A11E7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15,514</w:t>
            </w:r>
          </w:p>
        </w:tc>
        <w:tc>
          <w:tcPr>
            <w:tcW w:w="0" w:type="auto"/>
            <w:shd w:val="clear" w:color="auto" w:fill="auto"/>
            <w:vAlign w:val="bottom"/>
          </w:tcPr>
          <w:p w14:paraId="42A11E7B" w14:textId="77777777" w:rsidR="00BB68E1" w:rsidRDefault="00BB68E1">
            <w:pPr>
              <w:textAlignment w:val="bottom"/>
              <w:rPr>
                <w:rFonts w:ascii="Times New Roman" w:hAnsi="Times New Roman"/>
                <w:sz w:val="20"/>
                <w:szCs w:val="20"/>
              </w:rPr>
            </w:pPr>
          </w:p>
        </w:tc>
      </w:tr>
      <w:tr w:rsidR="00BB68E1" w14:paraId="42A11E8D" w14:textId="77777777">
        <w:trPr>
          <w:jc w:val="center"/>
        </w:trPr>
        <w:tc>
          <w:tcPr>
            <w:tcW w:w="0" w:type="auto"/>
            <w:shd w:val="clear" w:color="auto" w:fill="CCEEFF"/>
            <w:tcMar>
              <w:top w:w="40" w:type="dxa"/>
              <w:left w:w="560" w:type="dxa"/>
              <w:bottom w:w="40" w:type="dxa"/>
              <w:right w:w="40" w:type="dxa"/>
            </w:tcMar>
            <w:vAlign w:val="center"/>
          </w:tcPr>
          <w:p w14:paraId="42A11E7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Financ</w:t>
            </w:r>
            <w:r>
              <w:rPr>
                <w:rFonts w:ascii="Times New Roman" w:eastAsia="宋体" w:hAnsi="Times New Roman"/>
                <w:sz w:val="16"/>
                <w:szCs w:val="16"/>
              </w:rPr>
              <w:t>e lease obligations and other</w:t>
            </w:r>
            <w:r>
              <w:rPr>
                <w:rFonts w:ascii="Times New Roman" w:eastAsia="宋体" w:hAnsi="Times New Roman"/>
                <w:sz w:val="10"/>
                <w:szCs w:val="10"/>
              </w:rPr>
              <w:t>(2)(3)</w:t>
            </w:r>
          </w:p>
        </w:tc>
        <w:tc>
          <w:tcPr>
            <w:tcW w:w="0" w:type="auto"/>
            <w:shd w:val="clear" w:color="auto" w:fill="CCEEFF"/>
            <w:tcMar>
              <w:top w:w="40" w:type="dxa"/>
              <w:left w:w="560" w:type="dxa"/>
              <w:bottom w:w="40" w:type="dxa"/>
              <w:right w:w="40" w:type="dxa"/>
            </w:tcMar>
            <w:vAlign w:val="center"/>
          </w:tcPr>
          <w:p w14:paraId="42A11E7E" w14:textId="77777777" w:rsidR="00BB68E1" w:rsidRDefault="00BB68E1">
            <w:pPr>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E7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10,254</w:t>
            </w:r>
          </w:p>
        </w:tc>
        <w:tc>
          <w:tcPr>
            <w:tcW w:w="0" w:type="auto"/>
            <w:shd w:val="clear" w:color="auto" w:fill="CCEEFF"/>
            <w:vAlign w:val="bottom"/>
          </w:tcPr>
          <w:p w14:paraId="42A11E8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E81" w14:textId="77777777" w:rsidR="00BB68E1" w:rsidRDefault="00BB68E1">
            <w:pPr>
              <w:jc w:val="right"/>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E8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1,000</w:t>
            </w:r>
          </w:p>
        </w:tc>
        <w:tc>
          <w:tcPr>
            <w:tcW w:w="0" w:type="auto"/>
            <w:shd w:val="clear" w:color="auto" w:fill="CCEEFF"/>
            <w:vAlign w:val="bottom"/>
          </w:tcPr>
          <w:p w14:paraId="42A11E8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E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E8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1,729</w:t>
            </w:r>
          </w:p>
        </w:tc>
        <w:tc>
          <w:tcPr>
            <w:tcW w:w="0" w:type="auto"/>
            <w:shd w:val="clear" w:color="auto" w:fill="CCEEFF"/>
            <w:vAlign w:val="bottom"/>
          </w:tcPr>
          <w:p w14:paraId="42A11E8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E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E8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1,298</w:t>
            </w:r>
          </w:p>
        </w:tc>
        <w:tc>
          <w:tcPr>
            <w:tcW w:w="0" w:type="auto"/>
            <w:shd w:val="clear" w:color="auto" w:fill="CCEEFF"/>
            <w:vAlign w:val="bottom"/>
          </w:tcPr>
          <w:p w14:paraId="42A11E8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E8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E8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6,227</w:t>
            </w:r>
          </w:p>
        </w:tc>
        <w:tc>
          <w:tcPr>
            <w:tcW w:w="0" w:type="auto"/>
            <w:shd w:val="clear" w:color="auto" w:fill="CCEEFF"/>
            <w:vAlign w:val="bottom"/>
          </w:tcPr>
          <w:p w14:paraId="42A11E8C" w14:textId="77777777" w:rsidR="00BB68E1" w:rsidRDefault="00BB68E1">
            <w:pPr>
              <w:textAlignment w:val="bottom"/>
              <w:rPr>
                <w:rFonts w:ascii="Times New Roman" w:hAnsi="Times New Roman"/>
                <w:sz w:val="20"/>
                <w:szCs w:val="20"/>
              </w:rPr>
            </w:pPr>
          </w:p>
        </w:tc>
      </w:tr>
      <w:tr w:rsidR="00BB68E1" w14:paraId="42A11E99" w14:textId="77777777">
        <w:trPr>
          <w:jc w:val="center"/>
        </w:trPr>
        <w:tc>
          <w:tcPr>
            <w:tcW w:w="0" w:type="auto"/>
            <w:shd w:val="clear" w:color="auto" w:fill="auto"/>
            <w:tcMar>
              <w:top w:w="40" w:type="dxa"/>
              <w:left w:w="40" w:type="dxa"/>
              <w:bottom w:w="40" w:type="dxa"/>
              <w:right w:w="40" w:type="dxa"/>
            </w:tcMar>
            <w:vAlign w:val="center"/>
          </w:tcPr>
          <w:p w14:paraId="42A11E8E"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Unrecorded contractual obligations:</w:t>
            </w:r>
          </w:p>
        </w:tc>
        <w:tc>
          <w:tcPr>
            <w:tcW w:w="0" w:type="auto"/>
            <w:shd w:val="clear" w:color="auto" w:fill="auto"/>
            <w:tcMar>
              <w:top w:w="40" w:type="dxa"/>
              <w:left w:w="40" w:type="dxa"/>
              <w:bottom w:w="40" w:type="dxa"/>
              <w:right w:w="40" w:type="dxa"/>
            </w:tcMar>
            <w:vAlign w:val="center"/>
          </w:tcPr>
          <w:p w14:paraId="42A11E8F" w14:textId="77777777" w:rsidR="00BB68E1" w:rsidRDefault="00BB68E1">
            <w:pPr>
              <w:textAlignment w:val="center"/>
              <w:rPr>
                <w:rFonts w:ascii="Times New Roman" w:hAnsi="Times New Roman"/>
                <w:sz w:val="16"/>
                <w:szCs w:val="16"/>
              </w:rPr>
            </w:pPr>
          </w:p>
        </w:tc>
        <w:tc>
          <w:tcPr>
            <w:tcW w:w="0" w:type="auto"/>
            <w:gridSpan w:val="3"/>
            <w:shd w:val="clear" w:color="auto" w:fill="auto"/>
            <w:tcMar>
              <w:top w:w="40" w:type="dxa"/>
              <w:left w:w="40" w:type="dxa"/>
              <w:bottom w:w="40" w:type="dxa"/>
              <w:right w:w="40" w:type="dxa"/>
            </w:tcMar>
            <w:vAlign w:val="center"/>
          </w:tcPr>
          <w:p w14:paraId="42A11E90" w14:textId="77777777" w:rsidR="00BB68E1" w:rsidRDefault="00BB68E1">
            <w:pPr>
              <w:textAlignment w:val="center"/>
              <w:rPr>
                <w:rFonts w:ascii="Times New Roman" w:hAnsi="Times New Roman"/>
                <w:sz w:val="16"/>
                <w:szCs w:val="16"/>
              </w:rPr>
            </w:pPr>
          </w:p>
        </w:tc>
        <w:tc>
          <w:tcPr>
            <w:tcW w:w="0" w:type="auto"/>
            <w:shd w:val="clear" w:color="auto" w:fill="auto"/>
            <w:tcMar>
              <w:top w:w="40" w:type="dxa"/>
              <w:left w:w="40" w:type="dxa"/>
              <w:bottom w:w="40" w:type="dxa"/>
              <w:right w:w="40" w:type="dxa"/>
            </w:tcMar>
            <w:vAlign w:val="center"/>
          </w:tcPr>
          <w:p w14:paraId="42A11E91" w14:textId="77777777" w:rsidR="00BB68E1" w:rsidRDefault="00BB68E1">
            <w:pPr>
              <w:textAlignment w:val="center"/>
              <w:rPr>
                <w:rFonts w:ascii="Times New Roman" w:hAnsi="Times New Roman"/>
                <w:sz w:val="16"/>
                <w:szCs w:val="16"/>
              </w:rPr>
            </w:pPr>
          </w:p>
        </w:tc>
        <w:tc>
          <w:tcPr>
            <w:tcW w:w="0" w:type="auto"/>
            <w:gridSpan w:val="3"/>
            <w:shd w:val="clear" w:color="auto" w:fill="auto"/>
            <w:tcMar>
              <w:top w:w="40" w:type="dxa"/>
              <w:left w:w="40" w:type="dxa"/>
              <w:bottom w:w="40" w:type="dxa"/>
              <w:right w:w="40" w:type="dxa"/>
            </w:tcMar>
            <w:vAlign w:val="center"/>
          </w:tcPr>
          <w:p w14:paraId="42A11E92" w14:textId="77777777" w:rsidR="00BB68E1" w:rsidRDefault="00BB68E1">
            <w:pPr>
              <w:textAlignment w:val="center"/>
              <w:rPr>
                <w:rFonts w:ascii="Times New Roman" w:hAnsi="Times New Roman"/>
                <w:sz w:val="16"/>
                <w:szCs w:val="16"/>
              </w:rPr>
            </w:pPr>
          </w:p>
        </w:tc>
        <w:tc>
          <w:tcPr>
            <w:tcW w:w="0" w:type="auto"/>
            <w:shd w:val="clear" w:color="auto" w:fill="auto"/>
            <w:tcMar>
              <w:top w:w="40" w:type="dxa"/>
              <w:left w:w="40" w:type="dxa"/>
              <w:bottom w:w="40" w:type="dxa"/>
              <w:right w:w="40" w:type="dxa"/>
            </w:tcMar>
            <w:vAlign w:val="center"/>
          </w:tcPr>
          <w:p w14:paraId="42A11E93" w14:textId="77777777" w:rsidR="00BB68E1" w:rsidRDefault="00BB68E1">
            <w:pPr>
              <w:textAlignment w:val="center"/>
              <w:rPr>
                <w:rFonts w:ascii="Times New Roman" w:hAnsi="Times New Roman"/>
                <w:sz w:val="16"/>
                <w:szCs w:val="16"/>
              </w:rPr>
            </w:pPr>
          </w:p>
        </w:tc>
        <w:tc>
          <w:tcPr>
            <w:tcW w:w="0" w:type="auto"/>
            <w:gridSpan w:val="3"/>
            <w:shd w:val="clear" w:color="auto" w:fill="auto"/>
            <w:tcMar>
              <w:top w:w="40" w:type="dxa"/>
              <w:left w:w="40" w:type="dxa"/>
              <w:bottom w:w="40" w:type="dxa"/>
              <w:right w:w="40" w:type="dxa"/>
            </w:tcMar>
            <w:vAlign w:val="center"/>
          </w:tcPr>
          <w:p w14:paraId="42A11E94" w14:textId="77777777" w:rsidR="00BB68E1" w:rsidRDefault="00BB68E1">
            <w:pPr>
              <w:textAlignment w:val="center"/>
              <w:rPr>
                <w:rFonts w:ascii="Times New Roman" w:hAnsi="Times New Roman"/>
                <w:sz w:val="16"/>
                <w:szCs w:val="16"/>
              </w:rPr>
            </w:pPr>
          </w:p>
        </w:tc>
        <w:tc>
          <w:tcPr>
            <w:tcW w:w="0" w:type="auto"/>
            <w:shd w:val="clear" w:color="auto" w:fill="auto"/>
            <w:tcMar>
              <w:top w:w="40" w:type="dxa"/>
              <w:left w:w="40" w:type="dxa"/>
              <w:bottom w:w="40" w:type="dxa"/>
              <w:right w:w="40" w:type="dxa"/>
            </w:tcMar>
            <w:vAlign w:val="center"/>
          </w:tcPr>
          <w:p w14:paraId="42A11E95" w14:textId="77777777" w:rsidR="00BB68E1" w:rsidRDefault="00BB68E1">
            <w:pPr>
              <w:textAlignment w:val="center"/>
              <w:rPr>
                <w:rFonts w:ascii="Times New Roman" w:hAnsi="Times New Roman"/>
                <w:sz w:val="16"/>
                <w:szCs w:val="16"/>
              </w:rPr>
            </w:pPr>
          </w:p>
        </w:tc>
        <w:tc>
          <w:tcPr>
            <w:tcW w:w="0" w:type="auto"/>
            <w:gridSpan w:val="3"/>
            <w:shd w:val="clear" w:color="auto" w:fill="auto"/>
            <w:tcMar>
              <w:top w:w="40" w:type="dxa"/>
              <w:left w:w="40" w:type="dxa"/>
              <w:bottom w:w="40" w:type="dxa"/>
              <w:right w:w="40" w:type="dxa"/>
            </w:tcMar>
            <w:vAlign w:val="center"/>
          </w:tcPr>
          <w:p w14:paraId="42A11E96" w14:textId="77777777" w:rsidR="00BB68E1" w:rsidRDefault="00BB68E1">
            <w:pPr>
              <w:textAlignment w:val="center"/>
              <w:rPr>
                <w:rFonts w:ascii="Times New Roman" w:hAnsi="Times New Roman"/>
                <w:sz w:val="16"/>
                <w:szCs w:val="16"/>
              </w:rPr>
            </w:pPr>
          </w:p>
        </w:tc>
        <w:tc>
          <w:tcPr>
            <w:tcW w:w="0" w:type="auto"/>
            <w:shd w:val="clear" w:color="auto" w:fill="auto"/>
            <w:tcMar>
              <w:top w:w="40" w:type="dxa"/>
              <w:left w:w="40" w:type="dxa"/>
              <w:bottom w:w="40" w:type="dxa"/>
              <w:right w:w="40" w:type="dxa"/>
            </w:tcMar>
            <w:vAlign w:val="center"/>
          </w:tcPr>
          <w:p w14:paraId="42A11E97" w14:textId="77777777" w:rsidR="00BB68E1" w:rsidRDefault="00BB68E1">
            <w:pPr>
              <w:textAlignment w:val="center"/>
              <w:rPr>
                <w:rFonts w:ascii="Times New Roman" w:hAnsi="Times New Roman"/>
                <w:sz w:val="16"/>
                <w:szCs w:val="16"/>
              </w:rPr>
            </w:pPr>
          </w:p>
        </w:tc>
        <w:tc>
          <w:tcPr>
            <w:tcW w:w="0" w:type="auto"/>
            <w:gridSpan w:val="3"/>
            <w:shd w:val="clear" w:color="auto" w:fill="auto"/>
            <w:tcMar>
              <w:top w:w="40" w:type="dxa"/>
              <w:left w:w="40" w:type="dxa"/>
              <w:bottom w:w="40" w:type="dxa"/>
              <w:right w:w="40" w:type="dxa"/>
            </w:tcMar>
            <w:vAlign w:val="center"/>
          </w:tcPr>
          <w:p w14:paraId="42A11E98" w14:textId="77777777" w:rsidR="00BB68E1" w:rsidRDefault="00BB68E1">
            <w:pPr>
              <w:textAlignment w:val="center"/>
              <w:rPr>
                <w:rFonts w:ascii="Times New Roman" w:hAnsi="Times New Roman"/>
                <w:sz w:val="16"/>
                <w:szCs w:val="16"/>
              </w:rPr>
            </w:pPr>
          </w:p>
        </w:tc>
      </w:tr>
      <w:tr w:rsidR="00BB68E1" w14:paraId="42A11EAA" w14:textId="77777777">
        <w:trPr>
          <w:jc w:val="center"/>
        </w:trPr>
        <w:tc>
          <w:tcPr>
            <w:tcW w:w="0" w:type="auto"/>
            <w:shd w:val="clear" w:color="auto" w:fill="CCEEFF"/>
            <w:tcMar>
              <w:top w:w="40" w:type="dxa"/>
              <w:left w:w="560" w:type="dxa"/>
              <w:bottom w:w="40" w:type="dxa"/>
              <w:right w:w="40" w:type="dxa"/>
            </w:tcMar>
            <w:vAlign w:val="center"/>
          </w:tcPr>
          <w:p w14:paraId="42A11E9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Estimated interest on long-term debt</w:t>
            </w:r>
          </w:p>
        </w:tc>
        <w:tc>
          <w:tcPr>
            <w:tcW w:w="0" w:type="auto"/>
            <w:shd w:val="clear" w:color="auto" w:fill="CCEEFF"/>
            <w:tcMar>
              <w:top w:w="40" w:type="dxa"/>
              <w:left w:w="560" w:type="dxa"/>
              <w:bottom w:w="40" w:type="dxa"/>
              <w:right w:w="40" w:type="dxa"/>
            </w:tcMar>
            <w:vAlign w:val="center"/>
          </w:tcPr>
          <w:p w14:paraId="42A11E9B" w14:textId="77777777" w:rsidR="00BB68E1" w:rsidRDefault="00BB68E1">
            <w:pPr>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E9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22,957</w:t>
            </w:r>
          </w:p>
        </w:tc>
        <w:tc>
          <w:tcPr>
            <w:tcW w:w="0" w:type="auto"/>
            <w:shd w:val="clear" w:color="auto" w:fill="CCEEFF"/>
            <w:vAlign w:val="bottom"/>
          </w:tcPr>
          <w:p w14:paraId="42A11E9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E9E" w14:textId="77777777" w:rsidR="00BB68E1" w:rsidRDefault="00BB68E1">
            <w:pPr>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E9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1,780</w:t>
            </w:r>
          </w:p>
        </w:tc>
        <w:tc>
          <w:tcPr>
            <w:tcW w:w="0" w:type="auto"/>
            <w:shd w:val="clear" w:color="auto" w:fill="CCEEFF"/>
            <w:vAlign w:val="bottom"/>
          </w:tcPr>
          <w:p w14:paraId="42A11EA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EA1" w14:textId="77777777" w:rsidR="00BB68E1" w:rsidRDefault="00BB68E1">
            <w:pPr>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EA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3,268</w:t>
            </w:r>
          </w:p>
        </w:tc>
        <w:tc>
          <w:tcPr>
            <w:tcW w:w="0" w:type="auto"/>
            <w:shd w:val="clear" w:color="auto" w:fill="CCEEFF"/>
            <w:vAlign w:val="bottom"/>
          </w:tcPr>
          <w:p w14:paraId="42A11EA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EA4" w14:textId="77777777" w:rsidR="00BB68E1" w:rsidRDefault="00BB68E1">
            <w:pPr>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EA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2,872</w:t>
            </w:r>
          </w:p>
        </w:tc>
        <w:tc>
          <w:tcPr>
            <w:tcW w:w="0" w:type="auto"/>
            <w:shd w:val="clear" w:color="auto" w:fill="CCEEFF"/>
            <w:vAlign w:val="bottom"/>
          </w:tcPr>
          <w:p w14:paraId="42A11EA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EA7" w14:textId="77777777" w:rsidR="00BB68E1" w:rsidRDefault="00BB68E1">
            <w:pPr>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2A11EA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15,037</w:t>
            </w:r>
          </w:p>
        </w:tc>
        <w:tc>
          <w:tcPr>
            <w:tcW w:w="0" w:type="auto"/>
            <w:shd w:val="clear" w:color="auto" w:fill="CCEEFF"/>
            <w:vAlign w:val="bottom"/>
          </w:tcPr>
          <w:p w14:paraId="42A11EA9" w14:textId="77777777" w:rsidR="00BB68E1" w:rsidRDefault="00BB68E1">
            <w:pPr>
              <w:textAlignment w:val="bottom"/>
              <w:rPr>
                <w:rFonts w:ascii="Times New Roman" w:hAnsi="Times New Roman"/>
                <w:sz w:val="20"/>
                <w:szCs w:val="20"/>
              </w:rPr>
            </w:pPr>
          </w:p>
        </w:tc>
      </w:tr>
      <w:tr w:rsidR="00BB68E1" w14:paraId="42A11EBB" w14:textId="77777777">
        <w:trPr>
          <w:jc w:val="center"/>
        </w:trPr>
        <w:tc>
          <w:tcPr>
            <w:tcW w:w="0" w:type="auto"/>
            <w:shd w:val="clear" w:color="auto" w:fill="auto"/>
            <w:tcMar>
              <w:top w:w="40" w:type="dxa"/>
              <w:left w:w="560" w:type="dxa"/>
              <w:bottom w:w="40" w:type="dxa"/>
              <w:right w:w="40" w:type="dxa"/>
            </w:tcMar>
            <w:vAlign w:val="center"/>
          </w:tcPr>
          <w:p w14:paraId="42A11EA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Syndicated and other letters of credit</w:t>
            </w:r>
          </w:p>
        </w:tc>
        <w:tc>
          <w:tcPr>
            <w:tcW w:w="0" w:type="auto"/>
            <w:shd w:val="clear" w:color="auto" w:fill="auto"/>
            <w:tcMar>
              <w:top w:w="40" w:type="dxa"/>
              <w:left w:w="560" w:type="dxa"/>
              <w:bottom w:w="40" w:type="dxa"/>
              <w:right w:w="40" w:type="dxa"/>
            </w:tcMar>
            <w:vAlign w:val="center"/>
          </w:tcPr>
          <w:p w14:paraId="42A11EAC" w14:textId="77777777" w:rsidR="00BB68E1" w:rsidRDefault="00BB68E1">
            <w:pPr>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2A11EA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1,987</w:t>
            </w:r>
          </w:p>
        </w:tc>
        <w:tc>
          <w:tcPr>
            <w:tcW w:w="0" w:type="auto"/>
            <w:shd w:val="clear" w:color="auto" w:fill="auto"/>
            <w:vAlign w:val="bottom"/>
          </w:tcPr>
          <w:p w14:paraId="42A11EA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EAF" w14:textId="77777777" w:rsidR="00BB68E1" w:rsidRDefault="00BB68E1">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2A11EB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1,987</w:t>
            </w:r>
          </w:p>
        </w:tc>
        <w:tc>
          <w:tcPr>
            <w:tcW w:w="0" w:type="auto"/>
            <w:shd w:val="clear" w:color="auto" w:fill="auto"/>
            <w:vAlign w:val="bottom"/>
          </w:tcPr>
          <w:p w14:paraId="42A11EB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EB2" w14:textId="77777777" w:rsidR="00BB68E1" w:rsidRDefault="00BB68E1">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2A11EB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EB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EB5" w14:textId="77777777" w:rsidR="00BB68E1" w:rsidRDefault="00BB68E1">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2A11EB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EB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EB8" w14:textId="77777777" w:rsidR="00BB68E1" w:rsidRDefault="00BB68E1">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2A11EB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1EBA" w14:textId="77777777" w:rsidR="00BB68E1" w:rsidRDefault="00BB68E1">
            <w:pPr>
              <w:textAlignment w:val="bottom"/>
              <w:rPr>
                <w:rFonts w:ascii="Times New Roman" w:hAnsi="Times New Roman"/>
                <w:sz w:val="20"/>
                <w:szCs w:val="20"/>
              </w:rPr>
            </w:pPr>
          </w:p>
        </w:tc>
      </w:tr>
      <w:tr w:rsidR="00BB68E1" w14:paraId="42A11ECC" w14:textId="77777777">
        <w:trPr>
          <w:jc w:val="center"/>
        </w:trPr>
        <w:tc>
          <w:tcPr>
            <w:tcW w:w="0" w:type="auto"/>
            <w:shd w:val="clear" w:color="auto" w:fill="CCEEFF"/>
            <w:tcMar>
              <w:top w:w="40" w:type="dxa"/>
              <w:left w:w="560" w:type="dxa"/>
              <w:bottom w:w="40" w:type="dxa"/>
              <w:right w:w="40" w:type="dxa"/>
            </w:tcMar>
            <w:vAlign w:val="center"/>
          </w:tcPr>
          <w:p w14:paraId="42A11EB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Purchase obligations</w:t>
            </w:r>
          </w:p>
        </w:tc>
        <w:tc>
          <w:tcPr>
            <w:tcW w:w="0" w:type="auto"/>
            <w:shd w:val="clear" w:color="auto" w:fill="CCEEFF"/>
            <w:tcMar>
              <w:top w:w="40" w:type="dxa"/>
              <w:left w:w="560" w:type="dxa"/>
              <w:bottom w:w="40" w:type="dxa"/>
              <w:right w:w="40" w:type="dxa"/>
            </w:tcMar>
            <w:vAlign w:val="center"/>
          </w:tcPr>
          <w:p w14:paraId="42A11EBD" w14:textId="77777777" w:rsidR="00BB68E1" w:rsidRDefault="00BB68E1">
            <w:pPr>
              <w:textAlignment w:val="center"/>
              <w:rPr>
                <w:rFonts w:ascii="Times New Roman" w:hAnsi="Times New Roman"/>
                <w:sz w:val="16"/>
                <w:szCs w:val="16"/>
              </w:rPr>
            </w:pPr>
          </w:p>
        </w:tc>
        <w:tc>
          <w:tcPr>
            <w:tcW w:w="0" w:type="auto"/>
            <w:gridSpan w:val="2"/>
            <w:tcBorders>
              <w:bottom w:val="single" w:sz="8" w:space="0" w:color="000000"/>
            </w:tcBorders>
            <w:shd w:val="clear" w:color="auto" w:fill="CCEEFF"/>
            <w:tcMar>
              <w:top w:w="40" w:type="dxa"/>
              <w:left w:w="40" w:type="dxa"/>
              <w:bottom w:w="40" w:type="dxa"/>
            </w:tcMar>
            <w:vAlign w:val="center"/>
          </w:tcPr>
          <w:p w14:paraId="42A11EB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12,782</w:t>
            </w:r>
          </w:p>
        </w:tc>
        <w:tc>
          <w:tcPr>
            <w:tcW w:w="0" w:type="auto"/>
            <w:tcBorders>
              <w:bottom w:val="single" w:sz="8" w:space="0" w:color="000000"/>
            </w:tcBorders>
            <w:shd w:val="clear" w:color="auto" w:fill="CCEEFF"/>
            <w:vAlign w:val="bottom"/>
          </w:tcPr>
          <w:p w14:paraId="42A11EB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2A11EC0" w14:textId="77777777" w:rsidR="00BB68E1" w:rsidRDefault="00BB68E1">
            <w:pPr>
              <w:jc w:val="right"/>
              <w:textAlignment w:val="center"/>
              <w:rPr>
                <w:rFonts w:ascii="Times New Roman" w:hAnsi="Times New Roman"/>
                <w:sz w:val="16"/>
                <w:szCs w:val="16"/>
              </w:rPr>
            </w:pPr>
          </w:p>
        </w:tc>
        <w:tc>
          <w:tcPr>
            <w:tcW w:w="0" w:type="auto"/>
            <w:gridSpan w:val="2"/>
            <w:tcBorders>
              <w:bottom w:val="single" w:sz="8" w:space="0" w:color="000000"/>
            </w:tcBorders>
            <w:shd w:val="clear" w:color="auto" w:fill="CCEEFF"/>
            <w:tcMar>
              <w:top w:w="40" w:type="dxa"/>
              <w:left w:w="40" w:type="dxa"/>
              <w:bottom w:w="40" w:type="dxa"/>
            </w:tcMar>
            <w:vAlign w:val="center"/>
          </w:tcPr>
          <w:p w14:paraId="42A11EC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5,912</w:t>
            </w:r>
          </w:p>
        </w:tc>
        <w:tc>
          <w:tcPr>
            <w:tcW w:w="0" w:type="auto"/>
            <w:tcBorders>
              <w:bottom w:val="single" w:sz="8" w:space="0" w:color="000000"/>
            </w:tcBorders>
            <w:shd w:val="clear" w:color="auto" w:fill="CCEEFF"/>
            <w:vAlign w:val="bottom"/>
          </w:tcPr>
          <w:p w14:paraId="42A11EC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EC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1EC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4,318</w:t>
            </w:r>
          </w:p>
        </w:tc>
        <w:tc>
          <w:tcPr>
            <w:tcW w:w="0" w:type="auto"/>
            <w:tcBorders>
              <w:bottom w:val="single" w:sz="8" w:space="0" w:color="000000"/>
            </w:tcBorders>
            <w:shd w:val="clear" w:color="auto" w:fill="CCEEFF"/>
            <w:vAlign w:val="bottom"/>
          </w:tcPr>
          <w:p w14:paraId="42A11EC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E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1EC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1,480</w:t>
            </w:r>
          </w:p>
        </w:tc>
        <w:tc>
          <w:tcPr>
            <w:tcW w:w="0" w:type="auto"/>
            <w:tcBorders>
              <w:bottom w:val="single" w:sz="8" w:space="0" w:color="000000"/>
            </w:tcBorders>
            <w:shd w:val="clear" w:color="auto" w:fill="CCEEFF"/>
            <w:vAlign w:val="bottom"/>
          </w:tcPr>
          <w:p w14:paraId="42A11EC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EC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1EC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1,072</w:t>
            </w:r>
          </w:p>
        </w:tc>
        <w:tc>
          <w:tcPr>
            <w:tcW w:w="0" w:type="auto"/>
            <w:tcBorders>
              <w:bottom w:val="single" w:sz="8" w:space="0" w:color="000000"/>
            </w:tcBorders>
            <w:shd w:val="clear" w:color="auto" w:fill="CCEEFF"/>
            <w:vAlign w:val="bottom"/>
          </w:tcPr>
          <w:p w14:paraId="42A11ECB" w14:textId="77777777" w:rsidR="00BB68E1" w:rsidRDefault="00BB68E1">
            <w:pPr>
              <w:textAlignment w:val="bottom"/>
              <w:rPr>
                <w:rFonts w:ascii="Times New Roman" w:hAnsi="Times New Roman"/>
                <w:sz w:val="20"/>
                <w:szCs w:val="20"/>
              </w:rPr>
            </w:pPr>
          </w:p>
        </w:tc>
      </w:tr>
      <w:tr w:rsidR="00BB68E1" w14:paraId="42A11EE2" w14:textId="77777777">
        <w:trPr>
          <w:jc w:val="center"/>
        </w:trPr>
        <w:tc>
          <w:tcPr>
            <w:tcW w:w="0" w:type="auto"/>
            <w:shd w:val="clear" w:color="auto" w:fill="auto"/>
            <w:tcMar>
              <w:top w:w="40" w:type="dxa"/>
              <w:left w:w="40" w:type="dxa"/>
              <w:bottom w:w="40" w:type="dxa"/>
              <w:right w:w="40" w:type="dxa"/>
            </w:tcMar>
            <w:vAlign w:val="center"/>
          </w:tcPr>
          <w:p w14:paraId="42A11ECD"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lastRenderedPageBreak/>
              <w:t>Total contractual obligations</w:t>
            </w:r>
          </w:p>
        </w:tc>
        <w:tc>
          <w:tcPr>
            <w:tcW w:w="0" w:type="auto"/>
            <w:shd w:val="clear" w:color="auto" w:fill="auto"/>
            <w:tcMar>
              <w:top w:w="40" w:type="dxa"/>
              <w:left w:w="40" w:type="dxa"/>
              <w:bottom w:w="40" w:type="dxa"/>
              <w:right w:w="40" w:type="dxa"/>
            </w:tcMar>
            <w:vAlign w:val="center"/>
          </w:tcPr>
          <w:p w14:paraId="42A11ECE" w14:textId="77777777" w:rsidR="00BB68E1" w:rsidRDefault="00BB68E1">
            <w:pPr>
              <w:textAlignment w:val="center"/>
              <w:rPr>
                <w:rFonts w:ascii="Times New Roman" w:hAnsi="Times New Roman"/>
                <w:sz w:val="16"/>
                <w:szCs w:val="16"/>
              </w:rPr>
            </w:pPr>
          </w:p>
        </w:tc>
        <w:tc>
          <w:tcPr>
            <w:tcW w:w="0" w:type="auto"/>
            <w:tcBorders>
              <w:bottom w:val="double" w:sz="6" w:space="0" w:color="000000"/>
            </w:tcBorders>
            <w:shd w:val="clear" w:color="auto" w:fill="auto"/>
            <w:tcMar>
              <w:top w:w="40" w:type="dxa"/>
              <w:left w:w="40" w:type="dxa"/>
              <w:bottom w:w="40" w:type="dxa"/>
            </w:tcMar>
            <w:vAlign w:val="center"/>
          </w:tcPr>
          <w:p w14:paraId="42A11EC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2A11ED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123,992</w:t>
            </w:r>
          </w:p>
        </w:tc>
        <w:tc>
          <w:tcPr>
            <w:tcW w:w="0" w:type="auto"/>
            <w:tcBorders>
              <w:bottom w:val="double" w:sz="6" w:space="0" w:color="000000"/>
            </w:tcBorders>
            <w:shd w:val="clear" w:color="auto" w:fill="auto"/>
            <w:vAlign w:val="bottom"/>
          </w:tcPr>
          <w:p w14:paraId="42A11ED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ED2" w14:textId="77777777" w:rsidR="00BB68E1" w:rsidRDefault="00BB68E1">
            <w:pPr>
              <w:jc w:val="right"/>
              <w:textAlignment w:val="center"/>
              <w:rPr>
                <w:rFonts w:ascii="Times New Roman" w:hAnsi="Times New Roman"/>
                <w:sz w:val="16"/>
                <w:szCs w:val="16"/>
              </w:rPr>
            </w:pP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1ED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1ED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19,203</w:t>
            </w:r>
          </w:p>
        </w:tc>
        <w:tc>
          <w:tcPr>
            <w:tcW w:w="0" w:type="auto"/>
            <w:tcBorders>
              <w:top w:val="single" w:sz="8" w:space="0" w:color="000000"/>
              <w:bottom w:val="double" w:sz="6" w:space="0" w:color="000000"/>
            </w:tcBorders>
            <w:shd w:val="clear" w:color="auto" w:fill="auto"/>
            <w:vAlign w:val="bottom"/>
          </w:tcPr>
          <w:p w14:paraId="42A11ED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ED6" w14:textId="77777777" w:rsidR="00BB68E1" w:rsidRDefault="00BB68E1">
            <w:pPr>
              <w:jc w:val="right"/>
              <w:textAlignment w:val="center"/>
              <w:rPr>
                <w:rFonts w:ascii="Times New Roman" w:hAnsi="Times New Roman"/>
                <w:sz w:val="16"/>
                <w:szCs w:val="16"/>
              </w:rPr>
            </w:pP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1ED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1ED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19,650</w:t>
            </w:r>
          </w:p>
        </w:tc>
        <w:tc>
          <w:tcPr>
            <w:tcW w:w="0" w:type="auto"/>
            <w:tcBorders>
              <w:top w:val="single" w:sz="8" w:space="0" w:color="000000"/>
              <w:bottom w:val="double" w:sz="6" w:space="0" w:color="000000"/>
            </w:tcBorders>
            <w:shd w:val="clear" w:color="auto" w:fill="auto"/>
            <w:vAlign w:val="bottom"/>
          </w:tcPr>
          <w:p w14:paraId="42A11ED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EDA" w14:textId="77777777" w:rsidR="00BB68E1" w:rsidRDefault="00BB68E1">
            <w:pPr>
              <w:jc w:val="right"/>
              <w:textAlignment w:val="center"/>
              <w:rPr>
                <w:rFonts w:ascii="Times New Roman" w:hAnsi="Times New Roman"/>
                <w:sz w:val="16"/>
                <w:szCs w:val="16"/>
              </w:rPr>
            </w:pP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1ED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1ED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18,329</w:t>
            </w:r>
          </w:p>
        </w:tc>
        <w:tc>
          <w:tcPr>
            <w:tcW w:w="0" w:type="auto"/>
            <w:tcBorders>
              <w:top w:val="single" w:sz="8" w:space="0" w:color="000000"/>
              <w:bottom w:val="double" w:sz="6" w:space="0" w:color="000000"/>
            </w:tcBorders>
            <w:shd w:val="clear" w:color="auto" w:fill="auto"/>
            <w:vAlign w:val="bottom"/>
          </w:tcPr>
          <w:p w14:paraId="42A11ED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1EDE" w14:textId="77777777" w:rsidR="00BB68E1" w:rsidRDefault="00BB68E1">
            <w:pPr>
              <w:jc w:val="right"/>
              <w:textAlignment w:val="center"/>
              <w:rPr>
                <w:rFonts w:ascii="Times New Roman" w:hAnsi="Times New Roman"/>
                <w:sz w:val="16"/>
                <w:szCs w:val="16"/>
              </w:rPr>
            </w:pP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1ED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1EE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66,810</w:t>
            </w:r>
          </w:p>
        </w:tc>
        <w:tc>
          <w:tcPr>
            <w:tcW w:w="0" w:type="auto"/>
            <w:tcBorders>
              <w:top w:val="single" w:sz="8" w:space="0" w:color="000000"/>
              <w:bottom w:val="double" w:sz="6" w:space="0" w:color="000000"/>
            </w:tcBorders>
            <w:shd w:val="clear" w:color="auto" w:fill="auto"/>
            <w:vAlign w:val="bottom"/>
          </w:tcPr>
          <w:p w14:paraId="42A11EE1" w14:textId="77777777" w:rsidR="00BB68E1" w:rsidRDefault="00BB68E1">
            <w:pPr>
              <w:textAlignment w:val="bottom"/>
              <w:rPr>
                <w:rFonts w:ascii="Times New Roman" w:hAnsi="Times New Roman"/>
                <w:sz w:val="20"/>
                <w:szCs w:val="20"/>
              </w:rPr>
            </w:pPr>
          </w:p>
        </w:tc>
      </w:tr>
    </w:tbl>
    <w:p w14:paraId="42A11EE3"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5696"/>
      </w:tblGrid>
      <w:tr w:rsidR="00BB68E1" w14:paraId="42A11EE6" w14:textId="77777777">
        <w:trPr>
          <w:tblCellSpacing w:w="0" w:type="dxa"/>
        </w:trPr>
        <w:tc>
          <w:tcPr>
            <w:tcW w:w="480" w:type="dxa"/>
            <w:shd w:val="clear" w:color="auto" w:fill="auto"/>
            <w:vAlign w:val="center"/>
          </w:tcPr>
          <w:p w14:paraId="42A11EE4" w14:textId="77777777" w:rsidR="00BB68E1" w:rsidRDefault="00BB68E1">
            <w:pPr>
              <w:rPr>
                <w:rFonts w:ascii="Times New Roman" w:hAnsi="Times New Roman"/>
                <w:sz w:val="20"/>
                <w:szCs w:val="20"/>
              </w:rPr>
            </w:pPr>
          </w:p>
        </w:tc>
        <w:tc>
          <w:tcPr>
            <w:tcW w:w="0" w:type="auto"/>
            <w:shd w:val="clear" w:color="auto" w:fill="auto"/>
            <w:vAlign w:val="center"/>
          </w:tcPr>
          <w:p w14:paraId="42A11EE5" w14:textId="77777777" w:rsidR="00BB68E1" w:rsidRDefault="00BB68E1">
            <w:pPr>
              <w:rPr>
                <w:rFonts w:ascii="Times New Roman" w:hAnsi="Times New Roman"/>
                <w:sz w:val="20"/>
                <w:szCs w:val="20"/>
              </w:rPr>
            </w:pPr>
          </w:p>
        </w:tc>
      </w:tr>
      <w:tr w:rsidR="00BB68E1" w14:paraId="42A11EE9" w14:textId="77777777">
        <w:trPr>
          <w:tblCellSpacing w:w="0" w:type="dxa"/>
        </w:trPr>
        <w:tc>
          <w:tcPr>
            <w:tcW w:w="0" w:type="auto"/>
            <w:shd w:val="clear" w:color="auto" w:fill="auto"/>
          </w:tcPr>
          <w:p w14:paraId="42A11EE7"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(1)</w:t>
            </w:r>
          </w:p>
        </w:tc>
        <w:tc>
          <w:tcPr>
            <w:tcW w:w="0" w:type="auto"/>
            <w:shd w:val="clear" w:color="auto" w:fill="auto"/>
          </w:tcPr>
          <w:p w14:paraId="42A11EE8"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Long-term debt includes the fair value of our derivatives designated as fair value hedges.</w:t>
            </w:r>
          </w:p>
        </w:tc>
      </w:tr>
    </w:tbl>
    <w:p w14:paraId="42A11EEA"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BB68E1" w14:paraId="42A11EED" w14:textId="77777777">
        <w:trPr>
          <w:tblCellSpacing w:w="0" w:type="dxa"/>
        </w:trPr>
        <w:tc>
          <w:tcPr>
            <w:tcW w:w="480" w:type="dxa"/>
            <w:shd w:val="clear" w:color="auto" w:fill="auto"/>
            <w:vAlign w:val="center"/>
          </w:tcPr>
          <w:p w14:paraId="42A11EEB" w14:textId="77777777" w:rsidR="00BB68E1" w:rsidRDefault="00BB68E1">
            <w:pPr>
              <w:rPr>
                <w:rFonts w:ascii="Times New Roman" w:hAnsi="Times New Roman"/>
                <w:sz w:val="20"/>
                <w:szCs w:val="20"/>
              </w:rPr>
            </w:pPr>
          </w:p>
        </w:tc>
        <w:tc>
          <w:tcPr>
            <w:tcW w:w="0" w:type="auto"/>
            <w:shd w:val="clear" w:color="auto" w:fill="auto"/>
            <w:vAlign w:val="center"/>
          </w:tcPr>
          <w:p w14:paraId="42A11EEC" w14:textId="77777777" w:rsidR="00BB68E1" w:rsidRDefault="00BB68E1">
            <w:pPr>
              <w:rPr>
                <w:rFonts w:ascii="Times New Roman" w:hAnsi="Times New Roman"/>
                <w:sz w:val="20"/>
                <w:szCs w:val="20"/>
              </w:rPr>
            </w:pPr>
          </w:p>
        </w:tc>
      </w:tr>
      <w:tr w:rsidR="00BB68E1" w14:paraId="42A11EF0" w14:textId="77777777">
        <w:trPr>
          <w:tblCellSpacing w:w="0" w:type="dxa"/>
        </w:trPr>
        <w:tc>
          <w:tcPr>
            <w:tcW w:w="0" w:type="auto"/>
            <w:shd w:val="clear" w:color="auto" w:fill="auto"/>
          </w:tcPr>
          <w:p w14:paraId="42A11EEE"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(2)</w:t>
            </w:r>
          </w:p>
        </w:tc>
        <w:tc>
          <w:tcPr>
            <w:tcW w:w="0" w:type="auto"/>
            <w:shd w:val="clear" w:color="auto" w:fill="auto"/>
          </w:tcPr>
          <w:p w14:paraId="42A11EEF"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 xml:space="preserve">Represents our contractual obligations to make future payments under non-cancelable operating leases and finance lease agreements, both of which are recorded on the balance sheet at their present value. Refer to </w:t>
            </w:r>
            <w:hyperlink r:id="rId98" w:anchor="s3B2B96A4CCF85D58A2825BAE54892D97" w:history="1">
              <w:r>
                <w:rPr>
                  <w:rStyle w:val="a5"/>
                  <w:rFonts w:ascii="Times New Roman" w:eastAsia="宋体" w:hAnsi="Times New Roman"/>
                  <w:sz w:val="16"/>
                  <w:szCs w:val="16"/>
                </w:rPr>
                <w:t>Note 7</w:t>
              </w:r>
            </w:hyperlink>
            <w:r>
              <w:rPr>
                <w:rFonts w:ascii="Times New Roman" w:eastAsia="宋体" w:hAnsi="Times New Roman"/>
                <w:sz w:val="16"/>
                <w:szCs w:val="16"/>
              </w:rPr>
              <w:t xml:space="preserve"> to our Consolidated Financial Statements for additional information regarding operating and finance leases. </w:t>
            </w:r>
          </w:p>
        </w:tc>
      </w:tr>
    </w:tbl>
    <w:p w14:paraId="42A11EF1"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492"/>
      </w:tblGrid>
      <w:tr w:rsidR="00BB68E1" w14:paraId="42A11EF4" w14:textId="77777777">
        <w:trPr>
          <w:tblCellSpacing w:w="0" w:type="dxa"/>
        </w:trPr>
        <w:tc>
          <w:tcPr>
            <w:tcW w:w="480" w:type="dxa"/>
            <w:shd w:val="clear" w:color="auto" w:fill="auto"/>
            <w:vAlign w:val="center"/>
          </w:tcPr>
          <w:p w14:paraId="42A11EF2" w14:textId="77777777" w:rsidR="00BB68E1" w:rsidRDefault="00BB68E1">
            <w:pPr>
              <w:rPr>
                <w:rFonts w:ascii="Times New Roman" w:hAnsi="Times New Roman"/>
                <w:sz w:val="20"/>
                <w:szCs w:val="20"/>
              </w:rPr>
            </w:pPr>
          </w:p>
        </w:tc>
        <w:tc>
          <w:tcPr>
            <w:tcW w:w="0" w:type="auto"/>
            <w:shd w:val="clear" w:color="auto" w:fill="auto"/>
            <w:vAlign w:val="center"/>
          </w:tcPr>
          <w:p w14:paraId="42A11EF3" w14:textId="77777777" w:rsidR="00BB68E1" w:rsidRDefault="00BB68E1">
            <w:pPr>
              <w:rPr>
                <w:rFonts w:ascii="Times New Roman" w:hAnsi="Times New Roman"/>
                <w:sz w:val="20"/>
                <w:szCs w:val="20"/>
              </w:rPr>
            </w:pPr>
          </w:p>
        </w:tc>
      </w:tr>
      <w:tr w:rsidR="00BB68E1" w14:paraId="42A11EF7" w14:textId="77777777">
        <w:trPr>
          <w:tblCellSpacing w:w="0" w:type="dxa"/>
        </w:trPr>
        <w:tc>
          <w:tcPr>
            <w:tcW w:w="0" w:type="auto"/>
            <w:shd w:val="clear" w:color="auto" w:fill="auto"/>
          </w:tcPr>
          <w:p w14:paraId="42A11EF5"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(3)</w:t>
            </w:r>
          </w:p>
        </w:tc>
        <w:tc>
          <w:tcPr>
            <w:tcW w:w="0" w:type="auto"/>
            <w:shd w:val="clear" w:color="auto" w:fill="auto"/>
          </w:tcPr>
          <w:p w14:paraId="42A11EF6"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 xml:space="preserve">Finance lease </w:t>
            </w:r>
            <w:r>
              <w:rPr>
                <w:rFonts w:ascii="Times New Roman" w:eastAsia="宋体" w:hAnsi="Times New Roman"/>
                <w:sz w:val="16"/>
                <w:szCs w:val="16"/>
              </w:rPr>
              <w:t>obligations and other includes contractual obligations under other financing obligations of $1.4 billion.</w:t>
            </w:r>
          </w:p>
        </w:tc>
      </w:tr>
    </w:tbl>
    <w:p w14:paraId="42A11EF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Under the terms of the sale of the majority stake of Walmart Brazil, we agreed to indemnify Advent for certain pre-closing tax and legal contingencies and other matters for up to R$2.3 billion, adjusted for interest based on the Brazilian interbank deposit</w:t>
      </w:r>
      <w:r>
        <w:rPr>
          <w:rFonts w:ascii="Times New Roman" w:eastAsia="宋体" w:hAnsi="Times New Roman"/>
          <w:sz w:val="20"/>
          <w:szCs w:val="20"/>
        </w:rPr>
        <w:t xml:space="preserve"> rate. As of January 31, 2020, the indemnification liability recorded was $0.7 billion and included in deferred income taxes and other in the Company's Consolidated Balance Sheet. </w:t>
      </w:r>
    </w:p>
    <w:p w14:paraId="42A11EF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Additionally, we have $15.0 billion of various undrawn committed lines of c</w:t>
      </w:r>
      <w:r>
        <w:rPr>
          <w:rFonts w:ascii="Times New Roman" w:eastAsia="宋体" w:hAnsi="Times New Roman"/>
          <w:sz w:val="20"/>
          <w:szCs w:val="20"/>
        </w:rPr>
        <w:t>redit in the U.S. and approximately $2.9 billion of various undrawn committed lines of credit outside of the U.S. which, if drawn upon, would be included in the current liabilities section of the Company's Consolidated Balance Sheets.</w:t>
      </w:r>
    </w:p>
    <w:p w14:paraId="42A11EF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Estimated interest pa</w:t>
      </w:r>
      <w:r>
        <w:rPr>
          <w:rFonts w:ascii="Times New Roman" w:eastAsia="宋体" w:hAnsi="Times New Roman"/>
          <w:sz w:val="20"/>
          <w:szCs w:val="20"/>
        </w:rPr>
        <w:t>yments are based on our principal amounts and expected maturities of all debt outstanding as of January 31, 2020, and assumes interest rates remain at current levels for our variable rate debt.</w:t>
      </w:r>
    </w:p>
    <w:p w14:paraId="42A11EFB"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Purchase obligations include legally binding contracts, such a</w:t>
      </w:r>
      <w:r>
        <w:rPr>
          <w:rFonts w:ascii="Times New Roman" w:eastAsia="宋体" w:hAnsi="Times New Roman"/>
          <w:sz w:val="20"/>
          <w:szCs w:val="20"/>
        </w:rPr>
        <w:t>s firm commitments for inventory and utility purchases, as well as commitments to make capital expenditures, software acquisition and license commitments and legally binding service contracts. For the purposes of the above table, contractual obligations fo</w:t>
      </w:r>
      <w:r>
        <w:rPr>
          <w:rFonts w:ascii="Times New Roman" w:eastAsia="宋体" w:hAnsi="Times New Roman"/>
          <w:sz w:val="20"/>
          <w:szCs w:val="20"/>
        </w:rPr>
        <w:t>r the purchase of goods or services are defined as agreements that are enforceable and legally binding and that specify all significant terms, including: fixed or minimum quantities to be purchased; fixed, minimum or variable price provisions; and the appr</w:t>
      </w:r>
      <w:r>
        <w:rPr>
          <w:rFonts w:ascii="Times New Roman" w:eastAsia="宋体" w:hAnsi="Times New Roman"/>
          <w:sz w:val="20"/>
          <w:szCs w:val="20"/>
        </w:rPr>
        <w:t>oximate timing of the transaction. Contracts that specify the Company will purchase all or a portion of its requirements of a specific product or service from a supplier, but do not include a fixed or minimum quantity, are excluded from the table above. Ac</w:t>
      </w:r>
      <w:r>
        <w:rPr>
          <w:rFonts w:ascii="Times New Roman" w:eastAsia="宋体" w:hAnsi="Times New Roman"/>
          <w:sz w:val="20"/>
          <w:szCs w:val="20"/>
        </w:rPr>
        <w:t>cordingly, purchase orders for inventory are not included in the table above as purchase orders represent authorizations to purchase rather than binding agreements. Our purchase orders are based on our current inventory needs and are fulfilled by our suppl</w:t>
      </w:r>
      <w:r>
        <w:rPr>
          <w:rFonts w:ascii="Times New Roman" w:eastAsia="宋体" w:hAnsi="Times New Roman"/>
          <w:sz w:val="20"/>
          <w:szCs w:val="20"/>
        </w:rPr>
        <w:t xml:space="preserve">iers within short time </w:t>
      </w:r>
    </w:p>
    <w:p w14:paraId="42A11EFC" w14:textId="77777777" w:rsidR="00BB68E1" w:rsidRDefault="00BB68E1">
      <w:pPr>
        <w:rPr>
          <w:rFonts w:ascii="Times New Roman" w:hAnsi="Times New Roman"/>
          <w:sz w:val="20"/>
          <w:szCs w:val="20"/>
        </w:rPr>
      </w:pPr>
    </w:p>
    <w:p w14:paraId="42A11EFD"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41</w:t>
      </w:r>
    </w:p>
    <w:p w14:paraId="42A11EFE" w14:textId="77777777" w:rsidR="00BB68E1" w:rsidRDefault="00BB68E1">
      <w:pPr>
        <w:spacing w:line="288" w:lineRule="auto"/>
        <w:jc w:val="center"/>
        <w:rPr>
          <w:rFonts w:ascii="Times New Roman" w:hAnsi="Times New Roman"/>
          <w:sz w:val="20"/>
          <w:szCs w:val="20"/>
        </w:rPr>
      </w:pPr>
    </w:p>
    <w:p w14:paraId="42A11EFF" w14:textId="77777777" w:rsidR="00BB68E1" w:rsidRDefault="005D2D5E">
      <w:r>
        <w:rPr>
          <w:rFonts w:ascii="Times New Roman" w:hAnsi="Times New Roman"/>
          <w:sz w:val="20"/>
          <w:szCs w:val="20"/>
        </w:rPr>
        <w:pict w14:anchorId="42A142A0">
          <v:rect id="_x0000_i1065" style="width:415.3pt;height:1.5pt" o:hralign="center" o:hrstd="t" o:hr="t" fillcolor="#a0a0a0" stroked="f"/>
        </w:pict>
      </w:r>
    </w:p>
    <w:p w14:paraId="42A11F00" w14:textId="77777777" w:rsidR="00BB68E1" w:rsidRDefault="00BB68E1">
      <w:pPr>
        <w:spacing w:line="288" w:lineRule="auto"/>
        <w:rPr>
          <w:rFonts w:ascii="Times New Roman" w:hAnsi="Times New Roman"/>
          <w:sz w:val="20"/>
          <w:szCs w:val="20"/>
        </w:rPr>
      </w:pPr>
    </w:p>
    <w:p w14:paraId="42A11F01" w14:textId="77777777" w:rsidR="00BB68E1" w:rsidRDefault="00BB68E1">
      <w:pPr>
        <w:rPr>
          <w:rFonts w:ascii="Times New Roman" w:hAnsi="Times New Roman"/>
          <w:sz w:val="20"/>
          <w:szCs w:val="20"/>
        </w:rPr>
      </w:pPr>
    </w:p>
    <w:p w14:paraId="42A11F0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periods. We also enter into contracts for outsourced services; however, the obligations under these contracts are not significant and the contracts generally contain clauses allowing for cancellation without </w:t>
      </w:r>
      <w:r>
        <w:rPr>
          <w:rFonts w:ascii="Times New Roman" w:eastAsia="宋体" w:hAnsi="Times New Roman"/>
          <w:sz w:val="20"/>
          <w:szCs w:val="20"/>
        </w:rPr>
        <w:t>significant penalty.</w:t>
      </w:r>
    </w:p>
    <w:p w14:paraId="42A11F0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expected timing for payment discussed above is estimated based on current information. Timing of payments and actual amounts paid may be different depending on the timing of receipt of goods or services or changes to agreed-upon am</w:t>
      </w:r>
      <w:r>
        <w:rPr>
          <w:rFonts w:ascii="Times New Roman" w:eastAsia="宋体" w:hAnsi="Times New Roman"/>
          <w:sz w:val="20"/>
          <w:szCs w:val="20"/>
        </w:rPr>
        <w:t>ounts for some obligations.</w:t>
      </w:r>
    </w:p>
    <w:p w14:paraId="42A11F0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addition to the amounts shown in the table above, $1.8 billion of unrecognized tax benefits are considered uncertain tax positions and have been recorded as liabilities. The timing of the payment, if any, associated with thes</w:t>
      </w:r>
      <w:r>
        <w:rPr>
          <w:rFonts w:ascii="Times New Roman" w:eastAsia="宋体" w:hAnsi="Times New Roman"/>
          <w:sz w:val="20"/>
          <w:szCs w:val="20"/>
        </w:rPr>
        <w:t xml:space="preserve">e liabilities is uncertain. Refer to </w:t>
      </w:r>
      <w:hyperlink r:id="rId99" w:anchor="s1440EE560A4A5965A0100B48A4AE13ED" w:history="1">
        <w:r>
          <w:rPr>
            <w:rStyle w:val="a5"/>
            <w:rFonts w:ascii="Times New Roman" w:eastAsia="宋体" w:hAnsi="Times New Roman"/>
            <w:sz w:val="20"/>
            <w:szCs w:val="20"/>
          </w:rPr>
          <w:t>Note 9</w:t>
        </w:r>
      </w:hyperlink>
      <w:r>
        <w:rPr>
          <w:rFonts w:ascii="Times New Roman" w:eastAsia="宋体" w:hAnsi="Times New Roman"/>
          <w:sz w:val="20"/>
          <w:szCs w:val="20"/>
        </w:rPr>
        <w:t xml:space="preserve"> to our Consolidated Financial Statements for additional</w:t>
      </w:r>
      <w:r>
        <w:rPr>
          <w:rFonts w:ascii="Times New Roman" w:eastAsia="宋体" w:hAnsi="Times New Roman"/>
          <w:sz w:val="20"/>
          <w:szCs w:val="20"/>
        </w:rPr>
        <w:t xml:space="preserve"> discussion of unrecognized tax benefits. </w:t>
      </w:r>
    </w:p>
    <w:p w14:paraId="42A11F05"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Off Balance Sheet Arrangements</w:t>
      </w:r>
    </w:p>
    <w:p w14:paraId="42A11F0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As of January 31, 2020, we had no off-balance sheet arrangements that have, or are reasonably likely to have, a current or future material effect on our consolidated financial condit</w:t>
      </w:r>
      <w:r>
        <w:rPr>
          <w:rFonts w:ascii="Times New Roman" w:eastAsia="宋体" w:hAnsi="Times New Roman"/>
          <w:sz w:val="20"/>
          <w:szCs w:val="20"/>
        </w:rPr>
        <w:t>ion, results of operations, liquidity, capital expenditures or capital resources.</w:t>
      </w:r>
    </w:p>
    <w:p w14:paraId="42A11F07"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Other Matters</w:t>
      </w:r>
    </w:p>
    <w:p w14:paraId="42A11F0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We discuss our recently resolved FCPA investigation in </w:t>
      </w:r>
      <w:hyperlink r:id="rId100" w:anchor="s690E1B30602F5A19B538C0DDCD5CA9FB" w:history="1">
        <w:r>
          <w:rPr>
            <w:rStyle w:val="a5"/>
            <w:rFonts w:ascii="Times New Roman" w:eastAsia="宋体" w:hAnsi="Times New Roman"/>
            <w:sz w:val="20"/>
            <w:szCs w:val="20"/>
          </w:rPr>
          <w:t>Note 10</w:t>
        </w:r>
      </w:hyperlink>
      <w:r>
        <w:rPr>
          <w:rFonts w:ascii="Times New Roman" w:eastAsia="宋体" w:hAnsi="Times New Roman"/>
          <w:sz w:val="20"/>
          <w:szCs w:val="20"/>
        </w:rPr>
        <w:t xml:space="preserve"> to our Consolidated Financial Statements, which is captioned "Contingencies," and appears elsewhere herein. We discuss our "Asda Equal Value Claims" which includes certain existing employment clai</w:t>
      </w:r>
      <w:r>
        <w:rPr>
          <w:rFonts w:ascii="Times New Roman" w:eastAsia="宋体" w:hAnsi="Times New Roman"/>
          <w:sz w:val="20"/>
          <w:szCs w:val="20"/>
        </w:rPr>
        <w:t xml:space="preserve">ms against our United Kingdom subsidiary, ASDA Stores, Ltd., including certain risks arising therefrom, in </w:t>
      </w:r>
      <w:hyperlink r:id="rId101" w:anchor="s7B5987C7074851A38C2BDBF2DED3E8FF" w:history="1">
        <w:r>
          <w:rPr>
            <w:rStyle w:val="a5"/>
            <w:rFonts w:ascii="Times New Roman" w:eastAsia="宋体" w:hAnsi="Times New Roman"/>
            <w:sz w:val="20"/>
            <w:szCs w:val="20"/>
          </w:rPr>
          <w:t>Part I, Item 1A</w:t>
        </w:r>
      </w:hyperlink>
      <w:r>
        <w:rPr>
          <w:rFonts w:ascii="Times New Roman" w:eastAsia="宋体" w:hAnsi="Times New Roman"/>
          <w:sz w:val="20"/>
          <w:szCs w:val="20"/>
        </w:rPr>
        <w:t xml:space="preserve"> of this Form 10-K under the caption "Risk Factors" and under the sub-caption "Legal Proceedings" in </w:t>
      </w:r>
      <w:hyperlink r:id="rId102" w:anchor="s690E1B30602F5A19B538C0DDCD5CA9FB" w:history="1">
        <w:r>
          <w:rPr>
            <w:rStyle w:val="a5"/>
            <w:rFonts w:ascii="Times New Roman" w:eastAsia="宋体" w:hAnsi="Times New Roman"/>
            <w:sz w:val="20"/>
            <w:szCs w:val="20"/>
          </w:rPr>
          <w:t>Note 10</w:t>
        </w:r>
      </w:hyperlink>
      <w:r>
        <w:rPr>
          <w:rFonts w:ascii="Times New Roman" w:eastAsia="宋体" w:hAnsi="Times New Roman"/>
          <w:sz w:val="20"/>
          <w:szCs w:val="20"/>
        </w:rPr>
        <w:t xml:space="preserve"> to our Consolidated Financial Statements, which is captioned "Contingencies," and appears elsewhere herein. We also discuss the National Prescription Opiate Litigation and related matters including certain risks arising the</w:t>
      </w:r>
      <w:r>
        <w:rPr>
          <w:rFonts w:ascii="Times New Roman" w:eastAsia="宋体" w:hAnsi="Times New Roman"/>
          <w:sz w:val="20"/>
          <w:szCs w:val="20"/>
        </w:rPr>
        <w:t xml:space="preserve">refrom, in </w:t>
      </w:r>
      <w:hyperlink r:id="rId103" w:anchor="s7B5987C7074851A38C2BDBF2DED3E8FF" w:history="1">
        <w:r>
          <w:rPr>
            <w:rStyle w:val="a5"/>
            <w:rFonts w:ascii="Times New Roman" w:eastAsia="宋体" w:hAnsi="Times New Roman"/>
            <w:sz w:val="20"/>
            <w:szCs w:val="20"/>
          </w:rPr>
          <w:t>Part I, Item 1A</w:t>
        </w:r>
      </w:hyperlink>
      <w:r>
        <w:rPr>
          <w:rFonts w:ascii="Times New Roman" w:eastAsia="宋体" w:hAnsi="Times New Roman"/>
          <w:sz w:val="20"/>
          <w:szCs w:val="20"/>
        </w:rPr>
        <w:t xml:space="preserve"> of this Form 10-K under the caption "Risk Factors" and under the sub-cap</w:t>
      </w:r>
      <w:r>
        <w:rPr>
          <w:rFonts w:ascii="Times New Roman" w:eastAsia="宋体" w:hAnsi="Times New Roman"/>
          <w:sz w:val="20"/>
          <w:szCs w:val="20"/>
        </w:rPr>
        <w:t xml:space="preserve">tion "Legal Proceedings" in </w:t>
      </w:r>
      <w:hyperlink r:id="rId104" w:anchor="s690E1B30602F5A19B538C0DDCD5CA9FB" w:history="1">
        <w:r>
          <w:rPr>
            <w:rStyle w:val="a5"/>
            <w:rFonts w:ascii="Times New Roman" w:eastAsia="宋体" w:hAnsi="Times New Roman"/>
            <w:sz w:val="20"/>
            <w:szCs w:val="20"/>
          </w:rPr>
          <w:t>Note 10</w:t>
        </w:r>
      </w:hyperlink>
      <w:r>
        <w:rPr>
          <w:rFonts w:ascii="Times New Roman" w:eastAsia="宋体" w:hAnsi="Times New Roman"/>
          <w:sz w:val="20"/>
          <w:szCs w:val="20"/>
        </w:rPr>
        <w:t xml:space="preserve"> to our Consolidated Financial Statements, which is captioned "C</w:t>
      </w:r>
      <w:r>
        <w:rPr>
          <w:rFonts w:ascii="Times New Roman" w:eastAsia="宋体" w:hAnsi="Times New Roman"/>
          <w:sz w:val="20"/>
          <w:szCs w:val="20"/>
        </w:rPr>
        <w:t xml:space="preserve">ontingencies," and appears elsewhere herein. We also discuss various legal proceedings related to the Asda Equal Value Claims and National Prescription Opiate Litigation in </w:t>
      </w:r>
      <w:hyperlink r:id="rId105" w:anchor="s460CECD1575A533B86227C671AC5B38B" w:history="1">
        <w:r>
          <w:rPr>
            <w:rStyle w:val="a5"/>
            <w:rFonts w:ascii="Times New Roman" w:eastAsia="宋体" w:hAnsi="Times New Roman"/>
            <w:sz w:val="20"/>
            <w:szCs w:val="20"/>
          </w:rPr>
          <w:t>Part I, Item 3</w:t>
        </w:r>
      </w:hyperlink>
      <w:r>
        <w:rPr>
          <w:rFonts w:ascii="Times New Roman" w:eastAsia="宋体" w:hAnsi="Times New Roman"/>
          <w:sz w:val="20"/>
          <w:szCs w:val="20"/>
        </w:rPr>
        <w:t xml:space="preserve"> herein under the caption "Legal Proceedings." The foregoing matters and other matters described elsewhere in this Annual Report on Form 10-K represent contingencies of</w:t>
      </w:r>
      <w:r>
        <w:rPr>
          <w:rFonts w:ascii="Times New Roman" w:eastAsia="宋体" w:hAnsi="Times New Roman"/>
          <w:sz w:val="20"/>
          <w:szCs w:val="20"/>
        </w:rPr>
        <w:t xml:space="preserve"> the Company that may or may not result in the Company incurring a material liability upon their final resolution.</w:t>
      </w:r>
    </w:p>
    <w:p w14:paraId="42A11F09"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Summary of Critical Accounting Estimates</w:t>
      </w:r>
    </w:p>
    <w:p w14:paraId="42A11F0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Management strives to report our financial results in a clear and understandable manner, although in</w:t>
      </w:r>
      <w:r>
        <w:rPr>
          <w:rFonts w:ascii="Times New Roman" w:eastAsia="宋体" w:hAnsi="Times New Roman"/>
          <w:sz w:val="20"/>
          <w:szCs w:val="20"/>
        </w:rPr>
        <w:t xml:space="preserve"> some cases accounting and disclosure rules are complex and require us to use technical terminology. In preparing the Company's Consolidated Financial Statements, we follow accounting principles generally accepted in the U.S. These principles require us to</w:t>
      </w:r>
      <w:r>
        <w:rPr>
          <w:rFonts w:ascii="Times New Roman" w:eastAsia="宋体" w:hAnsi="Times New Roman"/>
          <w:sz w:val="20"/>
          <w:szCs w:val="20"/>
        </w:rPr>
        <w:t xml:space="preserve"> make certain estimates and apply judgments that affect our financial position and results of operations as reflected in our financial statements. These judgments and estimates are based on past events and expectations of future outcomes. Actual results ma</w:t>
      </w:r>
      <w:r>
        <w:rPr>
          <w:rFonts w:ascii="Times New Roman" w:eastAsia="宋体" w:hAnsi="Times New Roman"/>
          <w:sz w:val="20"/>
          <w:szCs w:val="20"/>
        </w:rPr>
        <w:t>y differ from our estimates.</w:t>
      </w:r>
    </w:p>
    <w:p w14:paraId="42A11F0B"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Management continually reviews our accounting policies, how they are applied and how they are reported and disclosed in our financial statements. Following is a summary of our critical accounting estimates and how they are appl</w:t>
      </w:r>
      <w:r>
        <w:rPr>
          <w:rFonts w:ascii="Times New Roman" w:eastAsia="宋体" w:hAnsi="Times New Roman"/>
          <w:sz w:val="20"/>
          <w:szCs w:val="20"/>
        </w:rPr>
        <w:t>ied in preparation of the financial statements.</w:t>
      </w:r>
    </w:p>
    <w:p w14:paraId="42A11F0C"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Inventories</w:t>
      </w:r>
    </w:p>
    <w:p w14:paraId="42A11F0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value inventories at the lower of cost or market as determined primarily by the retail inventory method of accounting, using the last-in, first-out ("LIFO") method for Walmart U.S. segment's in</w:t>
      </w:r>
      <w:r>
        <w:rPr>
          <w:rFonts w:ascii="Times New Roman" w:eastAsia="宋体" w:hAnsi="Times New Roman"/>
          <w:sz w:val="20"/>
          <w:szCs w:val="20"/>
        </w:rPr>
        <w:t>ventories. The inventory at the Sam's Club segment is valued using the weighted-average cost LIFO method. When necessary, we record a LIFO provision for the estimated annual effect of inflation, and these estimates are adjusted to actual results determined</w:t>
      </w:r>
      <w:r>
        <w:rPr>
          <w:rFonts w:ascii="Times New Roman" w:eastAsia="宋体" w:hAnsi="Times New Roman"/>
          <w:sz w:val="20"/>
          <w:szCs w:val="20"/>
        </w:rPr>
        <w:t xml:space="preserve"> at year-end. Our LIFO provision is calculated based on inventory levels, markup rates and internally generated retail price indices. As a measure of sensitivity, a 1% increase to our retail price indices would not have resulted in a decrease to the carryi</w:t>
      </w:r>
      <w:r>
        <w:rPr>
          <w:rFonts w:ascii="Times New Roman" w:eastAsia="宋体" w:hAnsi="Times New Roman"/>
          <w:sz w:val="20"/>
          <w:szCs w:val="20"/>
        </w:rPr>
        <w:t>ng value of inventory. As of January 31, 2020 and 2019, our inventories valued at LIFO approximated those inventories as if they were valued at FIFO.</w:t>
      </w:r>
    </w:p>
    <w:p w14:paraId="42A11F0E"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Impairment of Assets</w:t>
      </w:r>
    </w:p>
    <w:p w14:paraId="42A11F0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evaluate long-lived assets for indicators of impairment whenever events or changes in circumstances indicate their carrying amounts may not be recoverable. Management's judgments regarding the existence of impairment indicators are based on market condi</w:t>
      </w:r>
      <w:r>
        <w:rPr>
          <w:rFonts w:ascii="Times New Roman" w:eastAsia="宋体" w:hAnsi="Times New Roman"/>
          <w:sz w:val="20"/>
          <w:szCs w:val="20"/>
        </w:rPr>
        <w:t>tions and financial performance. The evaluation of long-lived assets is performed at the lowest level of identifiable cash flows, which is generally at the individual store level. The variability of these factors depends on a number of conditions, includin</w:t>
      </w:r>
      <w:r>
        <w:rPr>
          <w:rFonts w:ascii="Times New Roman" w:eastAsia="宋体" w:hAnsi="Times New Roman"/>
          <w:sz w:val="20"/>
          <w:szCs w:val="20"/>
        </w:rPr>
        <w:t xml:space="preserve">g uncertainty about future events and changes in demographics. Thus, our accounting estimates may change from period to period. These factors could cause management to conclude that indicators of impairment exist and require impairment tests be performed, </w:t>
      </w:r>
      <w:r>
        <w:rPr>
          <w:rFonts w:ascii="Times New Roman" w:eastAsia="宋体" w:hAnsi="Times New Roman"/>
          <w:sz w:val="20"/>
          <w:szCs w:val="20"/>
        </w:rPr>
        <w:t xml:space="preserve">which could result in management determining the value of long-lived assets is impaired, resulting in a write-down of the related long-lived assets. Impairment charges recorded in fiscal 2020 were </w:t>
      </w:r>
    </w:p>
    <w:p w14:paraId="42A11F10" w14:textId="77777777" w:rsidR="00BB68E1" w:rsidRDefault="00BB68E1">
      <w:pPr>
        <w:rPr>
          <w:rFonts w:ascii="Times New Roman" w:hAnsi="Times New Roman"/>
          <w:sz w:val="20"/>
          <w:szCs w:val="20"/>
        </w:rPr>
      </w:pPr>
    </w:p>
    <w:p w14:paraId="42A11F11"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42</w:t>
      </w:r>
    </w:p>
    <w:p w14:paraId="42A11F12" w14:textId="77777777" w:rsidR="00BB68E1" w:rsidRDefault="00BB68E1">
      <w:pPr>
        <w:spacing w:line="288" w:lineRule="auto"/>
        <w:jc w:val="center"/>
        <w:rPr>
          <w:rFonts w:ascii="Times New Roman" w:hAnsi="Times New Roman"/>
          <w:sz w:val="20"/>
          <w:szCs w:val="20"/>
        </w:rPr>
      </w:pPr>
    </w:p>
    <w:p w14:paraId="42A11F13" w14:textId="77777777" w:rsidR="00BB68E1" w:rsidRDefault="005D2D5E">
      <w:r>
        <w:rPr>
          <w:rFonts w:ascii="Times New Roman" w:hAnsi="Times New Roman"/>
          <w:sz w:val="20"/>
          <w:szCs w:val="20"/>
        </w:rPr>
        <w:pict w14:anchorId="42A142A1">
          <v:rect id="_x0000_i1066" style="width:415.3pt;height:1.5pt" o:hralign="center" o:hrstd="t" o:hr="t" fillcolor="#a0a0a0" stroked="f"/>
        </w:pict>
      </w:r>
    </w:p>
    <w:p w14:paraId="42A11F14" w14:textId="77777777" w:rsidR="00BB68E1" w:rsidRDefault="00BB68E1">
      <w:pPr>
        <w:spacing w:line="288" w:lineRule="auto"/>
        <w:rPr>
          <w:rFonts w:ascii="Times New Roman" w:hAnsi="Times New Roman"/>
          <w:sz w:val="20"/>
          <w:szCs w:val="20"/>
        </w:rPr>
      </w:pPr>
    </w:p>
    <w:p w14:paraId="42A11F15" w14:textId="77777777" w:rsidR="00BB68E1" w:rsidRDefault="00BB68E1">
      <w:pPr>
        <w:rPr>
          <w:rFonts w:ascii="Times New Roman" w:hAnsi="Times New Roman"/>
          <w:sz w:val="20"/>
          <w:szCs w:val="20"/>
        </w:rPr>
      </w:pPr>
    </w:p>
    <w:p w14:paraId="42A11F1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immaterial. As a measure of sensitivity, fiscal 2</w:t>
      </w:r>
      <w:r>
        <w:rPr>
          <w:rFonts w:ascii="Times New Roman" w:eastAsia="宋体" w:hAnsi="Times New Roman"/>
          <w:sz w:val="20"/>
          <w:szCs w:val="20"/>
        </w:rPr>
        <w:t>020 impairment would not change materially with a 10% decrease in the undiscounted cash flows for the stores or clubs with indicators of impairment. While fiscal 2019 included a pre-tax loss of $4.8 billion related to the sale of the majority stake in Walm</w:t>
      </w:r>
      <w:r>
        <w:rPr>
          <w:rFonts w:ascii="Times New Roman" w:eastAsia="宋体" w:hAnsi="Times New Roman"/>
          <w:sz w:val="20"/>
          <w:szCs w:val="20"/>
        </w:rPr>
        <w:t xml:space="preserve">art Brazil, which included full impairment of all related-assets, there were no other material impairment charges for fiscal 2019. </w:t>
      </w:r>
    </w:p>
    <w:p w14:paraId="42A11F17"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Business Combinations, Goodwill, and Acquired Intangible Assets</w:t>
      </w:r>
    </w:p>
    <w:p w14:paraId="42A11F1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account for business combinations using the acquisition m</w:t>
      </w:r>
      <w:r>
        <w:rPr>
          <w:rFonts w:ascii="Times New Roman" w:eastAsia="宋体" w:hAnsi="Times New Roman"/>
          <w:sz w:val="20"/>
          <w:szCs w:val="20"/>
        </w:rPr>
        <w:t>ethod of accounting, which requires that once control is obtained, all the assets acquired and liabilities assumed, including amounts attributable to noncontrolling interests, are recorded at their respective fair values at the date of acquisition. The det</w:t>
      </w:r>
      <w:r>
        <w:rPr>
          <w:rFonts w:ascii="Times New Roman" w:eastAsia="宋体" w:hAnsi="Times New Roman"/>
          <w:sz w:val="20"/>
          <w:szCs w:val="20"/>
        </w:rPr>
        <w:t>ermination of fair values of identifiable assets and liabilities requires estimates and the use of valuation techniques when market value is not readily available. For intangible assets acquired in a business combination, we typically use the income method</w:t>
      </w:r>
      <w:r>
        <w:rPr>
          <w:rFonts w:ascii="Times New Roman" w:eastAsia="宋体" w:hAnsi="Times New Roman"/>
          <w:sz w:val="20"/>
          <w:szCs w:val="20"/>
        </w:rPr>
        <w:t>. Significant estimates in valuing certain intangible assets include, but are not limited to, the amount and timing of future cash flows, growth rates, discount rates and useful lives. The excess of the purchase price over fair values of identifiable asset</w:t>
      </w:r>
      <w:r>
        <w:rPr>
          <w:rFonts w:ascii="Times New Roman" w:eastAsia="宋体" w:hAnsi="Times New Roman"/>
          <w:sz w:val="20"/>
          <w:szCs w:val="20"/>
        </w:rPr>
        <w:t>s and liabilities is recorded as goodwill.</w:t>
      </w:r>
    </w:p>
    <w:p w14:paraId="42A11F1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Goodwill is assigned to the reporting unit which consolidates the acquisition. Components within the same reportable segment are aggregated and deemed a single reporting unit if the components have similar economi</w:t>
      </w:r>
      <w:r>
        <w:rPr>
          <w:rFonts w:ascii="Times New Roman" w:eastAsia="宋体" w:hAnsi="Times New Roman"/>
          <w:sz w:val="20"/>
          <w:szCs w:val="20"/>
        </w:rPr>
        <w:t>c characteristics. As of January 31, 2020, our reporting units consisted of Walmart U.S., Walmart International and Sam's Club. Goodwill and other indefinite-lived acquired intangible assets are not amortized, but are evaluated for impairment annually or w</w:t>
      </w:r>
      <w:r>
        <w:rPr>
          <w:rFonts w:ascii="Times New Roman" w:eastAsia="宋体" w:hAnsi="Times New Roman"/>
          <w:sz w:val="20"/>
          <w:szCs w:val="20"/>
        </w:rPr>
        <w:t xml:space="preserve">henever events or changes in circumstances indicate that the value of a certain asset may be impaired. Generally, this evaluation begins with a qualitative assessment to determine whether a quantitative impairment test is necessary. If we determine, after </w:t>
      </w:r>
      <w:r>
        <w:rPr>
          <w:rFonts w:ascii="Times New Roman" w:eastAsia="宋体" w:hAnsi="Times New Roman"/>
          <w:sz w:val="20"/>
          <w:szCs w:val="20"/>
        </w:rPr>
        <w:t xml:space="preserve">performing an assessment based on the qualitative factors, that the fair value of the reporting unit is more likely than not less than the carrying amount, or that a fair value of the reporting unit substantially in excess of the carrying amount cannot be </w:t>
      </w:r>
      <w:r>
        <w:rPr>
          <w:rFonts w:ascii="Times New Roman" w:eastAsia="宋体" w:hAnsi="Times New Roman"/>
          <w:sz w:val="20"/>
          <w:szCs w:val="20"/>
        </w:rPr>
        <w:t>assured, then a quantitative impairment test would be performed. The quantitative test for impairment requires management to make judgments relating to future cash flows, growth rates and economic and market conditions. These evaluations are based on deter</w:t>
      </w:r>
      <w:r>
        <w:rPr>
          <w:rFonts w:ascii="Times New Roman" w:eastAsia="宋体" w:hAnsi="Times New Roman"/>
          <w:sz w:val="20"/>
          <w:szCs w:val="20"/>
        </w:rPr>
        <w:t xml:space="preserve">mining the fair value of a reporting unit or asset using a valuation method such as discounted cash flow or a relative, market-based approach. Historically, our reporting units have generated sufficient returns to recover the cost of goodwill, as the fair </w:t>
      </w:r>
      <w:r>
        <w:rPr>
          <w:rFonts w:ascii="Times New Roman" w:eastAsia="宋体" w:hAnsi="Times New Roman"/>
          <w:sz w:val="20"/>
          <w:szCs w:val="20"/>
        </w:rPr>
        <w:t>value significantly exceeded the carrying value. Our indefinite-lived acquired intangible assets have also historically generated sufficient returns to recover their cost; however, due to certain strategic restructuring decisions in fiscal 2020, we recorde</w:t>
      </w:r>
      <w:r>
        <w:rPr>
          <w:rFonts w:ascii="Times New Roman" w:eastAsia="宋体" w:hAnsi="Times New Roman"/>
          <w:sz w:val="20"/>
          <w:szCs w:val="20"/>
        </w:rPr>
        <w:t>d approximately $0.7 billion in impairment related to acquired trade names and acquired developed software. Because of the nature of the factors used in these tests, if different conditions occur in future periods, future operating results could be materia</w:t>
      </w:r>
      <w:r>
        <w:rPr>
          <w:rFonts w:ascii="Times New Roman" w:eastAsia="宋体" w:hAnsi="Times New Roman"/>
          <w:sz w:val="20"/>
          <w:szCs w:val="20"/>
        </w:rPr>
        <w:t xml:space="preserve">lly impacted. </w:t>
      </w:r>
    </w:p>
    <w:p w14:paraId="42A11F1A"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Contingencies</w:t>
      </w:r>
    </w:p>
    <w:p w14:paraId="42A11F1B"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are involved in a number of legal proceedings. We record a liability when it is probable that a loss has been incurred and the amount is reasonably estimable. We also perform an assessment of the materiality of loss continge</w:t>
      </w:r>
      <w:r>
        <w:rPr>
          <w:rFonts w:ascii="Times New Roman" w:eastAsia="宋体" w:hAnsi="Times New Roman"/>
          <w:sz w:val="20"/>
          <w:szCs w:val="20"/>
        </w:rPr>
        <w:t>ncies where a loss is either not probable or it is reasonably possible that a loss could be incurred in excess of amounts accrued. If a loss or an additional loss has at least a reasonable possibility of occurring and the impact on the financial statements</w:t>
      </w:r>
      <w:r>
        <w:rPr>
          <w:rFonts w:ascii="Times New Roman" w:eastAsia="宋体" w:hAnsi="Times New Roman"/>
          <w:sz w:val="20"/>
          <w:szCs w:val="20"/>
        </w:rPr>
        <w:t xml:space="preserve"> would be material, we provide disclosure of the loss contingency in the footnotes to our financial statements. We review all contingencies at least quarterly to determine whether the likelihood of loss has changed and to assess whether a reasonable estima</w:t>
      </w:r>
      <w:r>
        <w:rPr>
          <w:rFonts w:ascii="Times New Roman" w:eastAsia="宋体" w:hAnsi="Times New Roman"/>
          <w:sz w:val="20"/>
          <w:szCs w:val="20"/>
        </w:rPr>
        <w:t xml:space="preserve">te of the loss or the range of the loss can be made. Although we are not </w:t>
      </w:r>
      <w:r>
        <w:rPr>
          <w:rFonts w:ascii="Times New Roman" w:eastAsia="宋体" w:hAnsi="Times New Roman"/>
          <w:sz w:val="20"/>
          <w:szCs w:val="20"/>
        </w:rPr>
        <w:lastRenderedPageBreak/>
        <w:t xml:space="preserve">able to predict the outcome or reasonably estimate a range of possible losses in certain matters described in </w:t>
      </w:r>
      <w:hyperlink r:id="rId106" w:anchor="s690E1B30602F5A19B538C0DDCD5CA9FB" w:history="1">
        <w:r>
          <w:rPr>
            <w:rStyle w:val="a5"/>
            <w:rFonts w:ascii="Times New Roman" w:eastAsia="宋体" w:hAnsi="Times New Roman"/>
            <w:sz w:val="20"/>
            <w:szCs w:val="20"/>
          </w:rPr>
          <w:t>Note 10</w:t>
        </w:r>
      </w:hyperlink>
      <w:r>
        <w:rPr>
          <w:rFonts w:ascii="Times New Roman" w:eastAsia="宋体" w:hAnsi="Times New Roman"/>
          <w:sz w:val="20"/>
          <w:szCs w:val="20"/>
        </w:rPr>
        <w:t xml:space="preserve"> in the Notes to our Consolidated Financial Statements, and have not recorded an associated accrual related to these matters, an adverse judgment or negotiated resol</w:t>
      </w:r>
      <w:r>
        <w:rPr>
          <w:rFonts w:ascii="Times New Roman" w:eastAsia="宋体" w:hAnsi="Times New Roman"/>
          <w:sz w:val="20"/>
          <w:szCs w:val="20"/>
        </w:rPr>
        <w:t>ution in any of these matters could have a material adverse effect on our business, financial position, results of operations or cash flows.</w:t>
      </w:r>
    </w:p>
    <w:p w14:paraId="42A11F1C"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Income Taxes</w:t>
      </w:r>
    </w:p>
    <w:p w14:paraId="42A11F1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Income taxes have a significant effect on our net earnings. We are subject to income taxes in the </w:t>
      </w:r>
      <w:r>
        <w:rPr>
          <w:rFonts w:ascii="Times New Roman" w:eastAsia="宋体" w:hAnsi="Times New Roman"/>
          <w:sz w:val="20"/>
          <w:szCs w:val="20"/>
        </w:rPr>
        <w:t xml:space="preserve">U.S. and numerous foreign jurisdictions. Accordingly, the determination of our provision for income taxes requires judgment, the use of estimates in certain cases and the interpretation and application of complex tax laws. Our effective income tax rate is </w:t>
      </w:r>
      <w:r>
        <w:rPr>
          <w:rFonts w:ascii="Times New Roman" w:eastAsia="宋体" w:hAnsi="Times New Roman"/>
          <w:sz w:val="20"/>
          <w:szCs w:val="20"/>
        </w:rPr>
        <w:t>affected by many factors, including changes in our assessment of certain tax contingencies, increases and decreases in valuation allowances, changes in tax law, outcomes of administrative audits, the impact of discrete items and the mix of earnings among o</w:t>
      </w:r>
      <w:r>
        <w:rPr>
          <w:rFonts w:ascii="Times New Roman" w:eastAsia="宋体" w:hAnsi="Times New Roman"/>
          <w:sz w:val="20"/>
          <w:szCs w:val="20"/>
        </w:rPr>
        <w:t>ur U.S. and international operations where the statutory rates are generally higher than the U.S. statutory rate, and may fluctuate as a result.</w:t>
      </w:r>
    </w:p>
    <w:p w14:paraId="42A11F1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Our tax returns are routinely audited and settlements of issues raised in these audits sometimes affect our tax</w:t>
      </w:r>
      <w:r>
        <w:rPr>
          <w:rFonts w:ascii="Times New Roman" w:eastAsia="宋体" w:hAnsi="Times New Roman"/>
          <w:sz w:val="20"/>
          <w:szCs w:val="20"/>
        </w:rPr>
        <w:t xml:space="preserve"> provisions. The benefits of uncertain tax positions are recorded in our financial statements only after determining a more likely than not probability that the uncertain tax positions will withstand challenge, if any, from taxing authorities. When facts a</w:t>
      </w:r>
      <w:r>
        <w:rPr>
          <w:rFonts w:ascii="Times New Roman" w:eastAsia="宋体" w:hAnsi="Times New Roman"/>
          <w:sz w:val="20"/>
          <w:szCs w:val="20"/>
        </w:rPr>
        <w:t>nd circumstances change, we reassess these probabilities and record any changes in the financial statements as appropriate. We account for uncertain tax positions by determining the minimum recognition threshold that a tax position is required to meet befo</w:t>
      </w:r>
      <w:r>
        <w:rPr>
          <w:rFonts w:ascii="Times New Roman" w:eastAsia="宋体" w:hAnsi="Times New Roman"/>
          <w:sz w:val="20"/>
          <w:szCs w:val="20"/>
        </w:rPr>
        <w:t>re being recognized in the financial statements. This determination requires the use of judgment in evaluating our tax positions and assessing the timing and amounts of deductible and taxable items.</w:t>
      </w:r>
    </w:p>
    <w:p w14:paraId="42A11F1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Deferred tax assets represent amounts available to reduce</w:t>
      </w:r>
      <w:r>
        <w:rPr>
          <w:rFonts w:ascii="Times New Roman" w:eastAsia="宋体" w:hAnsi="Times New Roman"/>
          <w:sz w:val="20"/>
          <w:szCs w:val="20"/>
        </w:rPr>
        <w:t xml:space="preserve"> income taxes payable on taxable income in future years. Such assets arise because of temporary differences between the financial reporting and tax bases of assets and liabilities, as well as from net </w:t>
      </w:r>
    </w:p>
    <w:p w14:paraId="42A11F20" w14:textId="77777777" w:rsidR="00BB68E1" w:rsidRDefault="00BB68E1">
      <w:pPr>
        <w:rPr>
          <w:rFonts w:ascii="Times New Roman" w:hAnsi="Times New Roman"/>
          <w:sz w:val="20"/>
          <w:szCs w:val="20"/>
        </w:rPr>
      </w:pPr>
    </w:p>
    <w:p w14:paraId="42A11F21"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43</w:t>
      </w:r>
    </w:p>
    <w:p w14:paraId="42A11F22" w14:textId="77777777" w:rsidR="00BB68E1" w:rsidRDefault="00BB68E1">
      <w:pPr>
        <w:spacing w:line="288" w:lineRule="auto"/>
        <w:jc w:val="center"/>
        <w:rPr>
          <w:rFonts w:ascii="Times New Roman" w:hAnsi="Times New Roman"/>
          <w:sz w:val="20"/>
          <w:szCs w:val="20"/>
        </w:rPr>
      </w:pPr>
    </w:p>
    <w:p w14:paraId="42A11F23" w14:textId="77777777" w:rsidR="00BB68E1" w:rsidRDefault="005D2D5E">
      <w:r>
        <w:rPr>
          <w:rFonts w:ascii="Times New Roman" w:hAnsi="Times New Roman"/>
          <w:sz w:val="20"/>
          <w:szCs w:val="20"/>
        </w:rPr>
        <w:pict w14:anchorId="42A142A2">
          <v:rect id="_x0000_i1067" style="width:415.3pt;height:1.5pt" o:hralign="center" o:hrstd="t" o:hr="t" fillcolor="#a0a0a0" stroked="f"/>
        </w:pict>
      </w:r>
    </w:p>
    <w:p w14:paraId="42A11F24" w14:textId="77777777" w:rsidR="00BB68E1" w:rsidRDefault="00BB68E1">
      <w:pPr>
        <w:spacing w:line="288" w:lineRule="auto"/>
        <w:rPr>
          <w:rFonts w:ascii="Times New Roman" w:hAnsi="Times New Roman"/>
          <w:sz w:val="20"/>
          <w:szCs w:val="20"/>
        </w:rPr>
      </w:pPr>
    </w:p>
    <w:p w14:paraId="42A11F25" w14:textId="77777777" w:rsidR="00BB68E1" w:rsidRDefault="00BB68E1">
      <w:pPr>
        <w:rPr>
          <w:rFonts w:ascii="Times New Roman" w:hAnsi="Times New Roman"/>
          <w:sz w:val="20"/>
          <w:szCs w:val="20"/>
        </w:rPr>
      </w:pPr>
    </w:p>
    <w:p w14:paraId="42A11F2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operating loss and tax credit carryforwards. </w:t>
      </w:r>
      <w:r>
        <w:rPr>
          <w:rFonts w:ascii="Times New Roman" w:eastAsia="宋体" w:hAnsi="Times New Roman"/>
          <w:sz w:val="20"/>
          <w:szCs w:val="20"/>
        </w:rPr>
        <w:t>Deferred tax assets are evaluated for future realization and reduced by a valuation allowance to the extent that a portion is not more likely than not to be realized. Many factors are considered when assessing whether it is more likely than not that the de</w:t>
      </w:r>
      <w:r>
        <w:rPr>
          <w:rFonts w:ascii="Times New Roman" w:eastAsia="宋体" w:hAnsi="Times New Roman"/>
          <w:sz w:val="20"/>
          <w:szCs w:val="20"/>
        </w:rPr>
        <w:t>ferred tax assets will be realized, including recent cumulative earnings, expectations of future taxable income, carryforward periods and other relevant quantitative and qualitative factors. The recoverability of the deferred tax assets is evaluated by ass</w:t>
      </w:r>
      <w:r>
        <w:rPr>
          <w:rFonts w:ascii="Times New Roman" w:eastAsia="宋体" w:hAnsi="Times New Roman"/>
          <w:sz w:val="20"/>
          <w:szCs w:val="20"/>
        </w:rPr>
        <w:t>essing the adequacy of future expected taxable income from all sources, including reversal of taxable temporary differences, forecasted operating earnings and available tax planning strategies. This evaluation relies on estimates.</w:t>
      </w:r>
    </w:p>
    <w:p w14:paraId="42A11F2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On December 22, 2017, the</w:t>
      </w:r>
      <w:r>
        <w:rPr>
          <w:rFonts w:ascii="Times New Roman" w:eastAsia="宋体" w:hAnsi="Times New Roman"/>
          <w:sz w:val="20"/>
          <w:szCs w:val="20"/>
        </w:rPr>
        <w:t xml:space="preserve"> Tax Cuts and Jobs Act of 2017 (the "Tax Act") was enacted and contains significant changes to U.S. income tax law. Effective beginning January 2018, the Tax Act reduced the U.S. statutory tax rate from 35% to 21% and created new taxes on foreign-sourced e</w:t>
      </w:r>
      <w:r>
        <w:rPr>
          <w:rFonts w:ascii="Times New Roman" w:eastAsia="宋体" w:hAnsi="Times New Roman"/>
          <w:sz w:val="20"/>
          <w:szCs w:val="20"/>
        </w:rPr>
        <w:t xml:space="preserve">arnings and related-party payments. As discussed in </w:t>
      </w:r>
      <w:hyperlink r:id="rId107" w:anchor="s1440EE560A4A5965A0100B48A4AE13ED" w:history="1">
        <w:r>
          <w:rPr>
            <w:rStyle w:val="a5"/>
            <w:rFonts w:ascii="Times New Roman" w:eastAsia="宋体" w:hAnsi="Times New Roman"/>
            <w:sz w:val="20"/>
            <w:szCs w:val="20"/>
          </w:rPr>
          <w:t>Note 9</w:t>
        </w:r>
      </w:hyperlink>
      <w:r>
        <w:rPr>
          <w:rFonts w:ascii="Times New Roman" w:eastAsia="宋体" w:hAnsi="Times New Roman"/>
          <w:sz w:val="20"/>
          <w:szCs w:val="20"/>
        </w:rPr>
        <w:t xml:space="preserve"> to our Consolidated Financial Statements</w:t>
      </w:r>
      <w:r>
        <w:rPr>
          <w:rFonts w:ascii="Times New Roman" w:eastAsia="宋体" w:hAnsi="Times New Roman"/>
          <w:sz w:val="20"/>
          <w:szCs w:val="20"/>
        </w:rPr>
        <w:t>, we completed our accounting for the tax effects of the Tax Act in fiscal 2019. As further guidance is issued by the U.S. Treasury Department, the IRS, and other standard–setting bodies, any resulting changes to our estimates will be treated in accordance</w:t>
      </w:r>
      <w:r>
        <w:rPr>
          <w:rFonts w:ascii="Times New Roman" w:eastAsia="宋体" w:hAnsi="Times New Roman"/>
          <w:sz w:val="20"/>
          <w:szCs w:val="20"/>
        </w:rPr>
        <w:t xml:space="preserve"> with the relevant accounting guidance. </w:t>
      </w:r>
    </w:p>
    <w:tbl>
      <w:tblPr>
        <w:tblW w:w="4990" w:type="pct"/>
        <w:tblCellMar>
          <w:left w:w="0" w:type="dxa"/>
          <w:right w:w="0" w:type="dxa"/>
        </w:tblCellMar>
        <w:tblLook w:val="04A0" w:firstRow="1" w:lastRow="0" w:firstColumn="1" w:lastColumn="0" w:noHBand="0" w:noVBand="1"/>
      </w:tblPr>
      <w:tblGrid>
        <w:gridCol w:w="958"/>
        <w:gridCol w:w="7331"/>
      </w:tblGrid>
      <w:tr w:rsidR="00BB68E1" w14:paraId="42A11F29" w14:textId="77777777">
        <w:tc>
          <w:tcPr>
            <w:tcW w:w="0" w:type="auto"/>
            <w:gridSpan w:val="2"/>
            <w:shd w:val="clear" w:color="auto" w:fill="auto"/>
            <w:vAlign w:val="center"/>
          </w:tcPr>
          <w:p w14:paraId="42A11F28" w14:textId="77777777" w:rsidR="00BB68E1" w:rsidRDefault="00BB68E1">
            <w:pPr>
              <w:rPr>
                <w:rFonts w:ascii="Times New Roman" w:hAnsi="Times New Roman"/>
                <w:sz w:val="20"/>
                <w:szCs w:val="20"/>
              </w:rPr>
            </w:pPr>
          </w:p>
        </w:tc>
      </w:tr>
      <w:tr w:rsidR="00BB68E1" w14:paraId="42A11F2C" w14:textId="77777777">
        <w:tc>
          <w:tcPr>
            <w:tcW w:w="550" w:type="pct"/>
            <w:shd w:val="clear" w:color="auto" w:fill="auto"/>
            <w:vAlign w:val="center"/>
          </w:tcPr>
          <w:p w14:paraId="42A11F2A" w14:textId="77777777" w:rsidR="00BB68E1" w:rsidRDefault="00BB68E1">
            <w:pPr>
              <w:rPr>
                <w:rFonts w:ascii="Times New Roman" w:hAnsi="Times New Roman"/>
                <w:sz w:val="20"/>
                <w:szCs w:val="20"/>
              </w:rPr>
            </w:pPr>
          </w:p>
        </w:tc>
        <w:tc>
          <w:tcPr>
            <w:tcW w:w="4450" w:type="pct"/>
            <w:shd w:val="clear" w:color="auto" w:fill="auto"/>
            <w:vAlign w:val="center"/>
          </w:tcPr>
          <w:p w14:paraId="42A11F2B" w14:textId="77777777" w:rsidR="00BB68E1" w:rsidRDefault="00BB68E1">
            <w:pPr>
              <w:rPr>
                <w:rFonts w:ascii="Times New Roman" w:hAnsi="Times New Roman"/>
                <w:sz w:val="20"/>
                <w:szCs w:val="20"/>
              </w:rPr>
            </w:pPr>
          </w:p>
        </w:tc>
      </w:tr>
      <w:tr w:rsidR="00BB68E1" w14:paraId="42A11F2F" w14:textId="77777777">
        <w:tc>
          <w:tcPr>
            <w:tcW w:w="0" w:type="auto"/>
            <w:shd w:val="clear" w:color="auto" w:fill="auto"/>
            <w:tcMar>
              <w:top w:w="40" w:type="dxa"/>
              <w:left w:w="40" w:type="dxa"/>
              <w:bottom w:w="40" w:type="dxa"/>
              <w:right w:w="40" w:type="dxa"/>
            </w:tcMar>
          </w:tcPr>
          <w:p w14:paraId="42A11F2D"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7A.</w:t>
            </w:r>
          </w:p>
        </w:tc>
        <w:tc>
          <w:tcPr>
            <w:tcW w:w="0" w:type="auto"/>
            <w:shd w:val="clear" w:color="auto" w:fill="auto"/>
            <w:tcMar>
              <w:top w:w="40" w:type="dxa"/>
              <w:left w:w="40" w:type="dxa"/>
              <w:bottom w:w="40" w:type="dxa"/>
              <w:right w:w="40" w:type="dxa"/>
            </w:tcMar>
          </w:tcPr>
          <w:p w14:paraId="42A11F2E"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QUANTITATIVE AND QUALITATIVE DISCLOSURES ABOUT MARKET RISK</w:t>
            </w:r>
          </w:p>
        </w:tc>
      </w:tr>
    </w:tbl>
    <w:p w14:paraId="42A11F30"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Market Risk</w:t>
      </w:r>
    </w:p>
    <w:p w14:paraId="42A11F3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 xml:space="preserve">In addition to the risks inherent in our operations, we are exposed to certain market risks, including changes in </w:t>
      </w:r>
      <w:r>
        <w:rPr>
          <w:rFonts w:ascii="Times New Roman" w:eastAsia="宋体" w:hAnsi="Times New Roman"/>
          <w:sz w:val="20"/>
          <w:szCs w:val="20"/>
        </w:rPr>
        <w:t>interest rates, currency exchange rates and the fair value of our equity investment in JD.com.</w:t>
      </w:r>
    </w:p>
    <w:p w14:paraId="42A11F3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analysis presented below for each of our market risk sensitive instruments is based on a hypothetical scenario used to calibrate potential risk and does not </w:t>
      </w:r>
      <w:r>
        <w:rPr>
          <w:rFonts w:ascii="Times New Roman" w:eastAsia="宋体" w:hAnsi="Times New Roman"/>
          <w:sz w:val="20"/>
          <w:szCs w:val="20"/>
        </w:rPr>
        <w:t>represent our view of future market changes. The effect of a change in a particular assumption is calculated without adjusting any other assumption. In reality, however, a change in one factor could cause a change in another, which may magnify or negate ot</w:t>
      </w:r>
      <w:r>
        <w:rPr>
          <w:rFonts w:ascii="Times New Roman" w:eastAsia="宋体" w:hAnsi="Times New Roman"/>
          <w:sz w:val="20"/>
          <w:szCs w:val="20"/>
        </w:rPr>
        <w:t>her sensitivities.</w:t>
      </w:r>
    </w:p>
    <w:p w14:paraId="42A11F33"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Interest Rate Risk</w:t>
      </w:r>
    </w:p>
    <w:p w14:paraId="42A11F3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We are exposed to changes in interest rates as a result of our short-term borrowings and long-term debt. We hedge a portion of our interest rate risk by managing the mix of fixed and variable rate debt and by entering </w:t>
      </w:r>
      <w:r>
        <w:rPr>
          <w:rFonts w:ascii="Times New Roman" w:eastAsia="宋体" w:hAnsi="Times New Roman"/>
          <w:sz w:val="20"/>
          <w:szCs w:val="20"/>
        </w:rPr>
        <w:t xml:space="preserve">into interest rate swaps. For fiscal 2020, the net fair value of our interest rate swaps increased $175 million primarily due to fluctuations in market interest rates. </w:t>
      </w:r>
    </w:p>
    <w:p w14:paraId="42A11F35"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table below provides information about our financial instruments that are sensitive</w:t>
      </w:r>
      <w:r>
        <w:rPr>
          <w:rFonts w:ascii="Times New Roman" w:eastAsia="宋体" w:hAnsi="Times New Roman"/>
          <w:sz w:val="20"/>
          <w:szCs w:val="20"/>
        </w:rPr>
        <w:t xml:space="preserve"> to changes in interest rates. For long-term debt, the table represents the principal cash flows and related weighted-average interest rates by expected maturity dates. For interest rate swaps, the table represents the contractual cash flows and weighted-a</w:t>
      </w:r>
      <w:r>
        <w:rPr>
          <w:rFonts w:ascii="Times New Roman" w:eastAsia="宋体" w:hAnsi="Times New Roman"/>
          <w:sz w:val="20"/>
          <w:szCs w:val="20"/>
        </w:rPr>
        <w:t>verage interest rates by the contractual maturity date, unless otherwise noted. The notional amounts are used to calculate contractual cash flows to be exchanged under the contracts. The weighted-average variable rates are based upon prevailing market rate</w:t>
      </w:r>
      <w:r>
        <w:rPr>
          <w:rFonts w:ascii="Times New Roman" w:eastAsia="宋体" w:hAnsi="Times New Roman"/>
          <w:sz w:val="20"/>
          <w:szCs w:val="20"/>
        </w:rPr>
        <w:t>s as of January 31, 2020.</w:t>
      </w:r>
    </w:p>
    <w:tbl>
      <w:tblPr>
        <w:tblW w:w="5000" w:type="pct"/>
        <w:tblCellMar>
          <w:left w:w="0" w:type="dxa"/>
          <w:right w:w="0" w:type="dxa"/>
        </w:tblCellMar>
        <w:tblLook w:val="04A0" w:firstRow="1" w:lastRow="0" w:firstColumn="1" w:lastColumn="0" w:noHBand="0" w:noVBand="1"/>
      </w:tblPr>
      <w:tblGrid>
        <w:gridCol w:w="2302"/>
        <w:gridCol w:w="130"/>
        <w:gridCol w:w="120"/>
        <w:gridCol w:w="391"/>
        <w:gridCol w:w="174"/>
        <w:gridCol w:w="130"/>
        <w:gridCol w:w="120"/>
        <w:gridCol w:w="391"/>
        <w:gridCol w:w="174"/>
        <w:gridCol w:w="130"/>
        <w:gridCol w:w="120"/>
        <w:gridCol w:w="391"/>
        <w:gridCol w:w="174"/>
        <w:gridCol w:w="130"/>
        <w:gridCol w:w="120"/>
        <w:gridCol w:w="392"/>
        <w:gridCol w:w="174"/>
        <w:gridCol w:w="130"/>
        <w:gridCol w:w="120"/>
        <w:gridCol w:w="393"/>
        <w:gridCol w:w="174"/>
        <w:gridCol w:w="130"/>
        <w:gridCol w:w="121"/>
        <w:gridCol w:w="637"/>
        <w:gridCol w:w="174"/>
        <w:gridCol w:w="130"/>
        <w:gridCol w:w="120"/>
        <w:gridCol w:w="440"/>
        <w:gridCol w:w="174"/>
      </w:tblGrid>
      <w:tr w:rsidR="00BB68E1" w14:paraId="42A11F37" w14:textId="77777777">
        <w:tc>
          <w:tcPr>
            <w:tcW w:w="0" w:type="auto"/>
            <w:gridSpan w:val="29"/>
            <w:shd w:val="clear" w:color="auto" w:fill="auto"/>
            <w:vAlign w:val="center"/>
          </w:tcPr>
          <w:p w14:paraId="42A11F36" w14:textId="77777777" w:rsidR="00BB68E1" w:rsidRDefault="00BB68E1">
            <w:pPr>
              <w:rPr>
                <w:rFonts w:ascii="Times New Roman" w:hAnsi="Times New Roman"/>
                <w:sz w:val="20"/>
                <w:szCs w:val="20"/>
              </w:rPr>
            </w:pPr>
          </w:p>
        </w:tc>
      </w:tr>
      <w:tr w:rsidR="00BB68E1" w14:paraId="42A11F55" w14:textId="77777777">
        <w:tc>
          <w:tcPr>
            <w:tcW w:w="1500" w:type="pct"/>
            <w:shd w:val="clear" w:color="auto" w:fill="auto"/>
            <w:vAlign w:val="center"/>
          </w:tcPr>
          <w:p w14:paraId="42A11F38" w14:textId="77777777" w:rsidR="00BB68E1" w:rsidRDefault="00BB68E1">
            <w:pPr>
              <w:rPr>
                <w:rFonts w:ascii="Times New Roman" w:hAnsi="Times New Roman"/>
                <w:sz w:val="20"/>
                <w:szCs w:val="20"/>
              </w:rPr>
            </w:pPr>
          </w:p>
        </w:tc>
        <w:tc>
          <w:tcPr>
            <w:tcW w:w="50" w:type="pct"/>
            <w:shd w:val="clear" w:color="auto" w:fill="auto"/>
            <w:vAlign w:val="center"/>
          </w:tcPr>
          <w:p w14:paraId="42A11F39" w14:textId="77777777" w:rsidR="00BB68E1" w:rsidRDefault="00BB68E1">
            <w:pPr>
              <w:rPr>
                <w:rFonts w:ascii="Times New Roman" w:hAnsi="Times New Roman"/>
                <w:sz w:val="20"/>
                <w:szCs w:val="20"/>
              </w:rPr>
            </w:pPr>
          </w:p>
        </w:tc>
        <w:tc>
          <w:tcPr>
            <w:tcW w:w="50" w:type="pct"/>
            <w:shd w:val="clear" w:color="auto" w:fill="auto"/>
            <w:vAlign w:val="center"/>
          </w:tcPr>
          <w:p w14:paraId="42A11F3A" w14:textId="77777777" w:rsidR="00BB68E1" w:rsidRDefault="00BB68E1">
            <w:pPr>
              <w:rPr>
                <w:rFonts w:ascii="Times New Roman" w:hAnsi="Times New Roman"/>
                <w:sz w:val="20"/>
                <w:szCs w:val="20"/>
              </w:rPr>
            </w:pPr>
          </w:p>
        </w:tc>
        <w:tc>
          <w:tcPr>
            <w:tcW w:w="350" w:type="pct"/>
            <w:shd w:val="clear" w:color="auto" w:fill="auto"/>
            <w:vAlign w:val="center"/>
          </w:tcPr>
          <w:p w14:paraId="42A11F3B" w14:textId="77777777" w:rsidR="00BB68E1" w:rsidRDefault="00BB68E1">
            <w:pPr>
              <w:rPr>
                <w:rFonts w:ascii="Times New Roman" w:hAnsi="Times New Roman"/>
                <w:sz w:val="20"/>
                <w:szCs w:val="20"/>
              </w:rPr>
            </w:pPr>
          </w:p>
        </w:tc>
        <w:tc>
          <w:tcPr>
            <w:tcW w:w="50" w:type="pct"/>
            <w:shd w:val="clear" w:color="auto" w:fill="auto"/>
            <w:vAlign w:val="center"/>
          </w:tcPr>
          <w:p w14:paraId="42A11F3C" w14:textId="77777777" w:rsidR="00BB68E1" w:rsidRDefault="00BB68E1">
            <w:pPr>
              <w:rPr>
                <w:rFonts w:ascii="Times New Roman" w:hAnsi="Times New Roman"/>
                <w:sz w:val="20"/>
                <w:szCs w:val="20"/>
              </w:rPr>
            </w:pPr>
          </w:p>
        </w:tc>
        <w:tc>
          <w:tcPr>
            <w:tcW w:w="50" w:type="pct"/>
            <w:shd w:val="clear" w:color="auto" w:fill="auto"/>
            <w:vAlign w:val="center"/>
          </w:tcPr>
          <w:p w14:paraId="42A11F3D" w14:textId="77777777" w:rsidR="00BB68E1" w:rsidRDefault="00BB68E1">
            <w:pPr>
              <w:rPr>
                <w:rFonts w:ascii="Times New Roman" w:hAnsi="Times New Roman"/>
                <w:sz w:val="20"/>
                <w:szCs w:val="20"/>
              </w:rPr>
            </w:pPr>
          </w:p>
        </w:tc>
        <w:tc>
          <w:tcPr>
            <w:tcW w:w="50" w:type="pct"/>
            <w:shd w:val="clear" w:color="auto" w:fill="auto"/>
            <w:vAlign w:val="center"/>
          </w:tcPr>
          <w:p w14:paraId="42A11F3E" w14:textId="77777777" w:rsidR="00BB68E1" w:rsidRDefault="00BB68E1">
            <w:pPr>
              <w:rPr>
                <w:rFonts w:ascii="Times New Roman" w:hAnsi="Times New Roman"/>
                <w:sz w:val="20"/>
                <w:szCs w:val="20"/>
              </w:rPr>
            </w:pPr>
          </w:p>
        </w:tc>
        <w:tc>
          <w:tcPr>
            <w:tcW w:w="350" w:type="pct"/>
            <w:shd w:val="clear" w:color="auto" w:fill="auto"/>
            <w:vAlign w:val="center"/>
          </w:tcPr>
          <w:p w14:paraId="42A11F3F" w14:textId="77777777" w:rsidR="00BB68E1" w:rsidRDefault="00BB68E1">
            <w:pPr>
              <w:rPr>
                <w:rFonts w:ascii="Times New Roman" w:hAnsi="Times New Roman"/>
                <w:sz w:val="20"/>
                <w:szCs w:val="20"/>
              </w:rPr>
            </w:pPr>
          </w:p>
        </w:tc>
        <w:tc>
          <w:tcPr>
            <w:tcW w:w="50" w:type="pct"/>
            <w:shd w:val="clear" w:color="auto" w:fill="auto"/>
            <w:vAlign w:val="center"/>
          </w:tcPr>
          <w:p w14:paraId="42A11F40" w14:textId="77777777" w:rsidR="00BB68E1" w:rsidRDefault="00BB68E1">
            <w:pPr>
              <w:rPr>
                <w:rFonts w:ascii="Times New Roman" w:hAnsi="Times New Roman"/>
                <w:sz w:val="20"/>
                <w:szCs w:val="20"/>
              </w:rPr>
            </w:pPr>
          </w:p>
        </w:tc>
        <w:tc>
          <w:tcPr>
            <w:tcW w:w="50" w:type="pct"/>
            <w:shd w:val="clear" w:color="auto" w:fill="auto"/>
            <w:vAlign w:val="center"/>
          </w:tcPr>
          <w:p w14:paraId="42A11F41" w14:textId="77777777" w:rsidR="00BB68E1" w:rsidRDefault="00BB68E1">
            <w:pPr>
              <w:rPr>
                <w:rFonts w:ascii="Times New Roman" w:hAnsi="Times New Roman"/>
                <w:sz w:val="20"/>
                <w:szCs w:val="20"/>
              </w:rPr>
            </w:pPr>
          </w:p>
        </w:tc>
        <w:tc>
          <w:tcPr>
            <w:tcW w:w="50" w:type="pct"/>
            <w:shd w:val="clear" w:color="auto" w:fill="auto"/>
            <w:vAlign w:val="center"/>
          </w:tcPr>
          <w:p w14:paraId="42A11F42" w14:textId="77777777" w:rsidR="00BB68E1" w:rsidRDefault="00BB68E1">
            <w:pPr>
              <w:rPr>
                <w:rFonts w:ascii="Times New Roman" w:hAnsi="Times New Roman"/>
                <w:sz w:val="20"/>
                <w:szCs w:val="20"/>
              </w:rPr>
            </w:pPr>
          </w:p>
        </w:tc>
        <w:tc>
          <w:tcPr>
            <w:tcW w:w="350" w:type="pct"/>
            <w:shd w:val="clear" w:color="auto" w:fill="auto"/>
            <w:vAlign w:val="center"/>
          </w:tcPr>
          <w:p w14:paraId="42A11F43" w14:textId="77777777" w:rsidR="00BB68E1" w:rsidRDefault="00BB68E1">
            <w:pPr>
              <w:rPr>
                <w:rFonts w:ascii="Times New Roman" w:hAnsi="Times New Roman"/>
                <w:sz w:val="20"/>
                <w:szCs w:val="20"/>
              </w:rPr>
            </w:pPr>
          </w:p>
        </w:tc>
        <w:tc>
          <w:tcPr>
            <w:tcW w:w="50" w:type="pct"/>
            <w:shd w:val="clear" w:color="auto" w:fill="auto"/>
            <w:vAlign w:val="center"/>
          </w:tcPr>
          <w:p w14:paraId="42A11F44" w14:textId="77777777" w:rsidR="00BB68E1" w:rsidRDefault="00BB68E1">
            <w:pPr>
              <w:rPr>
                <w:rFonts w:ascii="Times New Roman" w:hAnsi="Times New Roman"/>
                <w:sz w:val="20"/>
                <w:szCs w:val="20"/>
              </w:rPr>
            </w:pPr>
          </w:p>
        </w:tc>
        <w:tc>
          <w:tcPr>
            <w:tcW w:w="50" w:type="pct"/>
            <w:shd w:val="clear" w:color="auto" w:fill="auto"/>
            <w:vAlign w:val="center"/>
          </w:tcPr>
          <w:p w14:paraId="42A11F45" w14:textId="77777777" w:rsidR="00BB68E1" w:rsidRDefault="00BB68E1">
            <w:pPr>
              <w:rPr>
                <w:rFonts w:ascii="Times New Roman" w:hAnsi="Times New Roman"/>
                <w:sz w:val="20"/>
                <w:szCs w:val="20"/>
              </w:rPr>
            </w:pPr>
          </w:p>
        </w:tc>
        <w:tc>
          <w:tcPr>
            <w:tcW w:w="50" w:type="pct"/>
            <w:shd w:val="clear" w:color="auto" w:fill="auto"/>
            <w:vAlign w:val="center"/>
          </w:tcPr>
          <w:p w14:paraId="42A11F46" w14:textId="77777777" w:rsidR="00BB68E1" w:rsidRDefault="00BB68E1">
            <w:pPr>
              <w:rPr>
                <w:rFonts w:ascii="Times New Roman" w:hAnsi="Times New Roman"/>
                <w:sz w:val="20"/>
                <w:szCs w:val="20"/>
              </w:rPr>
            </w:pPr>
          </w:p>
        </w:tc>
        <w:tc>
          <w:tcPr>
            <w:tcW w:w="350" w:type="pct"/>
            <w:shd w:val="clear" w:color="auto" w:fill="auto"/>
            <w:vAlign w:val="center"/>
          </w:tcPr>
          <w:p w14:paraId="42A11F47" w14:textId="77777777" w:rsidR="00BB68E1" w:rsidRDefault="00BB68E1">
            <w:pPr>
              <w:rPr>
                <w:rFonts w:ascii="Times New Roman" w:hAnsi="Times New Roman"/>
                <w:sz w:val="20"/>
                <w:szCs w:val="20"/>
              </w:rPr>
            </w:pPr>
          </w:p>
        </w:tc>
        <w:tc>
          <w:tcPr>
            <w:tcW w:w="50" w:type="pct"/>
            <w:shd w:val="clear" w:color="auto" w:fill="auto"/>
            <w:vAlign w:val="center"/>
          </w:tcPr>
          <w:p w14:paraId="42A11F48" w14:textId="77777777" w:rsidR="00BB68E1" w:rsidRDefault="00BB68E1">
            <w:pPr>
              <w:rPr>
                <w:rFonts w:ascii="Times New Roman" w:hAnsi="Times New Roman"/>
                <w:sz w:val="20"/>
                <w:szCs w:val="20"/>
              </w:rPr>
            </w:pPr>
          </w:p>
        </w:tc>
        <w:tc>
          <w:tcPr>
            <w:tcW w:w="50" w:type="pct"/>
            <w:shd w:val="clear" w:color="auto" w:fill="auto"/>
            <w:vAlign w:val="center"/>
          </w:tcPr>
          <w:p w14:paraId="42A11F49" w14:textId="77777777" w:rsidR="00BB68E1" w:rsidRDefault="00BB68E1">
            <w:pPr>
              <w:rPr>
                <w:rFonts w:ascii="Times New Roman" w:hAnsi="Times New Roman"/>
                <w:sz w:val="20"/>
                <w:szCs w:val="20"/>
              </w:rPr>
            </w:pPr>
          </w:p>
        </w:tc>
        <w:tc>
          <w:tcPr>
            <w:tcW w:w="50" w:type="pct"/>
            <w:shd w:val="clear" w:color="auto" w:fill="auto"/>
            <w:vAlign w:val="center"/>
          </w:tcPr>
          <w:p w14:paraId="42A11F4A" w14:textId="77777777" w:rsidR="00BB68E1" w:rsidRDefault="00BB68E1">
            <w:pPr>
              <w:rPr>
                <w:rFonts w:ascii="Times New Roman" w:hAnsi="Times New Roman"/>
                <w:sz w:val="20"/>
                <w:szCs w:val="20"/>
              </w:rPr>
            </w:pPr>
          </w:p>
        </w:tc>
        <w:tc>
          <w:tcPr>
            <w:tcW w:w="350" w:type="pct"/>
            <w:shd w:val="clear" w:color="auto" w:fill="auto"/>
            <w:vAlign w:val="center"/>
          </w:tcPr>
          <w:p w14:paraId="42A11F4B" w14:textId="77777777" w:rsidR="00BB68E1" w:rsidRDefault="00BB68E1">
            <w:pPr>
              <w:rPr>
                <w:rFonts w:ascii="Times New Roman" w:hAnsi="Times New Roman"/>
                <w:sz w:val="20"/>
                <w:szCs w:val="20"/>
              </w:rPr>
            </w:pPr>
          </w:p>
        </w:tc>
        <w:tc>
          <w:tcPr>
            <w:tcW w:w="50" w:type="pct"/>
            <w:shd w:val="clear" w:color="auto" w:fill="auto"/>
            <w:vAlign w:val="center"/>
          </w:tcPr>
          <w:p w14:paraId="42A11F4C" w14:textId="77777777" w:rsidR="00BB68E1" w:rsidRDefault="00BB68E1">
            <w:pPr>
              <w:rPr>
                <w:rFonts w:ascii="Times New Roman" w:hAnsi="Times New Roman"/>
                <w:sz w:val="20"/>
                <w:szCs w:val="20"/>
              </w:rPr>
            </w:pPr>
          </w:p>
        </w:tc>
        <w:tc>
          <w:tcPr>
            <w:tcW w:w="50" w:type="pct"/>
            <w:shd w:val="clear" w:color="auto" w:fill="auto"/>
            <w:vAlign w:val="center"/>
          </w:tcPr>
          <w:p w14:paraId="42A11F4D" w14:textId="77777777" w:rsidR="00BB68E1" w:rsidRDefault="00BB68E1">
            <w:pPr>
              <w:rPr>
                <w:rFonts w:ascii="Times New Roman" w:hAnsi="Times New Roman"/>
                <w:sz w:val="20"/>
                <w:szCs w:val="20"/>
              </w:rPr>
            </w:pPr>
          </w:p>
        </w:tc>
        <w:tc>
          <w:tcPr>
            <w:tcW w:w="50" w:type="pct"/>
            <w:shd w:val="clear" w:color="auto" w:fill="auto"/>
            <w:vAlign w:val="center"/>
          </w:tcPr>
          <w:p w14:paraId="42A11F4E" w14:textId="77777777" w:rsidR="00BB68E1" w:rsidRDefault="00BB68E1">
            <w:pPr>
              <w:rPr>
                <w:rFonts w:ascii="Times New Roman" w:hAnsi="Times New Roman"/>
                <w:sz w:val="20"/>
                <w:szCs w:val="20"/>
              </w:rPr>
            </w:pPr>
          </w:p>
        </w:tc>
        <w:tc>
          <w:tcPr>
            <w:tcW w:w="350" w:type="pct"/>
            <w:shd w:val="clear" w:color="auto" w:fill="auto"/>
            <w:vAlign w:val="center"/>
          </w:tcPr>
          <w:p w14:paraId="42A11F4F" w14:textId="77777777" w:rsidR="00BB68E1" w:rsidRDefault="00BB68E1">
            <w:pPr>
              <w:rPr>
                <w:rFonts w:ascii="Times New Roman" w:hAnsi="Times New Roman"/>
                <w:sz w:val="20"/>
                <w:szCs w:val="20"/>
              </w:rPr>
            </w:pPr>
          </w:p>
        </w:tc>
        <w:tc>
          <w:tcPr>
            <w:tcW w:w="50" w:type="pct"/>
            <w:shd w:val="clear" w:color="auto" w:fill="auto"/>
            <w:vAlign w:val="center"/>
          </w:tcPr>
          <w:p w14:paraId="42A11F50" w14:textId="77777777" w:rsidR="00BB68E1" w:rsidRDefault="00BB68E1">
            <w:pPr>
              <w:rPr>
                <w:rFonts w:ascii="Times New Roman" w:hAnsi="Times New Roman"/>
                <w:sz w:val="20"/>
                <w:szCs w:val="20"/>
              </w:rPr>
            </w:pPr>
          </w:p>
        </w:tc>
        <w:tc>
          <w:tcPr>
            <w:tcW w:w="50" w:type="pct"/>
            <w:shd w:val="clear" w:color="auto" w:fill="auto"/>
            <w:vAlign w:val="center"/>
          </w:tcPr>
          <w:p w14:paraId="42A11F51" w14:textId="77777777" w:rsidR="00BB68E1" w:rsidRDefault="00BB68E1">
            <w:pPr>
              <w:rPr>
                <w:rFonts w:ascii="Times New Roman" w:hAnsi="Times New Roman"/>
                <w:sz w:val="20"/>
                <w:szCs w:val="20"/>
              </w:rPr>
            </w:pPr>
          </w:p>
        </w:tc>
        <w:tc>
          <w:tcPr>
            <w:tcW w:w="50" w:type="pct"/>
            <w:shd w:val="clear" w:color="auto" w:fill="auto"/>
            <w:vAlign w:val="center"/>
          </w:tcPr>
          <w:p w14:paraId="42A11F52" w14:textId="77777777" w:rsidR="00BB68E1" w:rsidRDefault="00BB68E1">
            <w:pPr>
              <w:rPr>
                <w:rFonts w:ascii="Times New Roman" w:hAnsi="Times New Roman"/>
                <w:sz w:val="20"/>
                <w:szCs w:val="20"/>
              </w:rPr>
            </w:pPr>
          </w:p>
        </w:tc>
        <w:tc>
          <w:tcPr>
            <w:tcW w:w="350" w:type="pct"/>
            <w:shd w:val="clear" w:color="auto" w:fill="auto"/>
            <w:vAlign w:val="center"/>
          </w:tcPr>
          <w:p w14:paraId="42A11F53" w14:textId="77777777" w:rsidR="00BB68E1" w:rsidRDefault="00BB68E1">
            <w:pPr>
              <w:rPr>
                <w:rFonts w:ascii="Times New Roman" w:hAnsi="Times New Roman"/>
                <w:sz w:val="20"/>
                <w:szCs w:val="20"/>
              </w:rPr>
            </w:pPr>
          </w:p>
        </w:tc>
        <w:tc>
          <w:tcPr>
            <w:tcW w:w="50" w:type="pct"/>
            <w:shd w:val="clear" w:color="auto" w:fill="auto"/>
            <w:vAlign w:val="center"/>
          </w:tcPr>
          <w:p w14:paraId="42A11F54" w14:textId="77777777" w:rsidR="00BB68E1" w:rsidRDefault="00BB68E1">
            <w:pPr>
              <w:rPr>
                <w:rFonts w:ascii="Times New Roman" w:hAnsi="Times New Roman"/>
                <w:sz w:val="20"/>
                <w:szCs w:val="20"/>
              </w:rPr>
            </w:pPr>
          </w:p>
        </w:tc>
      </w:tr>
      <w:tr w:rsidR="00BB68E1" w14:paraId="42A11F59" w14:textId="77777777">
        <w:tc>
          <w:tcPr>
            <w:tcW w:w="0" w:type="auto"/>
            <w:shd w:val="clear" w:color="auto" w:fill="auto"/>
            <w:tcMar>
              <w:top w:w="40" w:type="dxa"/>
              <w:left w:w="40" w:type="dxa"/>
              <w:bottom w:w="40" w:type="dxa"/>
              <w:right w:w="40" w:type="dxa"/>
            </w:tcMar>
            <w:vAlign w:val="bottom"/>
          </w:tcPr>
          <w:p w14:paraId="42A11F5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F5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7"/>
            <w:tcBorders>
              <w:bottom w:val="single" w:sz="8" w:space="0" w:color="000000"/>
            </w:tcBorders>
            <w:shd w:val="clear" w:color="auto" w:fill="auto"/>
            <w:tcMar>
              <w:top w:w="40" w:type="dxa"/>
              <w:left w:w="40" w:type="dxa"/>
              <w:bottom w:w="40" w:type="dxa"/>
            </w:tcMar>
            <w:vAlign w:val="bottom"/>
          </w:tcPr>
          <w:p w14:paraId="42A11F58"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Expected Maturity Date</w:t>
            </w:r>
          </w:p>
        </w:tc>
      </w:tr>
      <w:tr w:rsidR="00BB68E1" w14:paraId="42A11F69" w14:textId="77777777">
        <w:tc>
          <w:tcPr>
            <w:tcW w:w="0" w:type="auto"/>
            <w:shd w:val="clear" w:color="auto" w:fill="auto"/>
            <w:tcMar>
              <w:top w:w="40" w:type="dxa"/>
              <w:left w:w="40" w:type="dxa"/>
              <w:bottom w:w="40" w:type="dxa"/>
              <w:right w:w="40" w:type="dxa"/>
            </w:tcMar>
            <w:vAlign w:val="bottom"/>
          </w:tcPr>
          <w:p w14:paraId="42A11F5A"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1F5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F5C"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2021</w:t>
            </w:r>
          </w:p>
        </w:tc>
        <w:tc>
          <w:tcPr>
            <w:tcW w:w="0" w:type="auto"/>
            <w:tcBorders>
              <w:top w:val="single" w:sz="8" w:space="0" w:color="000000"/>
            </w:tcBorders>
            <w:shd w:val="clear" w:color="auto" w:fill="auto"/>
            <w:tcMar>
              <w:top w:w="40" w:type="dxa"/>
              <w:left w:w="40" w:type="dxa"/>
              <w:bottom w:w="40" w:type="dxa"/>
              <w:right w:w="40" w:type="dxa"/>
            </w:tcMar>
            <w:vAlign w:val="bottom"/>
          </w:tcPr>
          <w:p w14:paraId="42A11F5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F5E"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2022</w:t>
            </w:r>
          </w:p>
        </w:tc>
        <w:tc>
          <w:tcPr>
            <w:tcW w:w="0" w:type="auto"/>
            <w:tcBorders>
              <w:top w:val="single" w:sz="8" w:space="0" w:color="000000"/>
            </w:tcBorders>
            <w:shd w:val="clear" w:color="auto" w:fill="auto"/>
            <w:tcMar>
              <w:top w:w="40" w:type="dxa"/>
              <w:left w:w="40" w:type="dxa"/>
              <w:bottom w:w="40" w:type="dxa"/>
              <w:right w:w="40" w:type="dxa"/>
            </w:tcMar>
            <w:vAlign w:val="bottom"/>
          </w:tcPr>
          <w:p w14:paraId="42A11F5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F60"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2023</w:t>
            </w:r>
          </w:p>
        </w:tc>
        <w:tc>
          <w:tcPr>
            <w:tcW w:w="0" w:type="auto"/>
            <w:tcBorders>
              <w:top w:val="single" w:sz="8" w:space="0" w:color="000000"/>
            </w:tcBorders>
            <w:shd w:val="clear" w:color="auto" w:fill="auto"/>
            <w:tcMar>
              <w:top w:w="40" w:type="dxa"/>
              <w:left w:w="40" w:type="dxa"/>
              <w:bottom w:w="40" w:type="dxa"/>
              <w:right w:w="40" w:type="dxa"/>
            </w:tcMar>
            <w:vAlign w:val="bottom"/>
          </w:tcPr>
          <w:p w14:paraId="42A11F6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F6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2024</w:t>
            </w:r>
          </w:p>
        </w:tc>
        <w:tc>
          <w:tcPr>
            <w:tcW w:w="0" w:type="auto"/>
            <w:tcBorders>
              <w:top w:val="single" w:sz="8" w:space="0" w:color="000000"/>
            </w:tcBorders>
            <w:shd w:val="clear" w:color="auto" w:fill="auto"/>
            <w:tcMar>
              <w:top w:w="40" w:type="dxa"/>
              <w:left w:w="40" w:type="dxa"/>
              <w:bottom w:w="40" w:type="dxa"/>
              <w:right w:w="40" w:type="dxa"/>
            </w:tcMar>
            <w:vAlign w:val="bottom"/>
          </w:tcPr>
          <w:p w14:paraId="42A11F6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F64"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2025</w:t>
            </w:r>
          </w:p>
        </w:tc>
        <w:tc>
          <w:tcPr>
            <w:tcW w:w="0" w:type="auto"/>
            <w:tcBorders>
              <w:top w:val="single" w:sz="8" w:space="0" w:color="000000"/>
            </w:tcBorders>
            <w:shd w:val="clear" w:color="auto" w:fill="auto"/>
            <w:tcMar>
              <w:top w:w="40" w:type="dxa"/>
              <w:left w:w="40" w:type="dxa"/>
              <w:bottom w:w="40" w:type="dxa"/>
              <w:right w:w="40" w:type="dxa"/>
            </w:tcMar>
            <w:vAlign w:val="bottom"/>
          </w:tcPr>
          <w:p w14:paraId="42A11F6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1F66"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Thereafter</w:t>
            </w:r>
          </w:p>
        </w:tc>
        <w:tc>
          <w:tcPr>
            <w:tcW w:w="0" w:type="auto"/>
            <w:shd w:val="clear" w:color="auto" w:fill="auto"/>
            <w:tcMar>
              <w:top w:w="40" w:type="dxa"/>
              <w:left w:w="40" w:type="dxa"/>
              <w:bottom w:w="40" w:type="dxa"/>
              <w:right w:w="40" w:type="dxa"/>
            </w:tcMar>
            <w:vAlign w:val="bottom"/>
          </w:tcPr>
          <w:p w14:paraId="42A11F6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1F68"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BB68E1" w14:paraId="42A11F79" w14:textId="77777777">
        <w:tc>
          <w:tcPr>
            <w:tcW w:w="0" w:type="auto"/>
            <w:shd w:val="clear" w:color="auto" w:fill="CCEEFF"/>
            <w:tcMar>
              <w:top w:w="40" w:type="dxa"/>
              <w:left w:w="40" w:type="dxa"/>
              <w:bottom w:w="40" w:type="dxa"/>
              <w:right w:w="40" w:type="dxa"/>
            </w:tcMar>
            <w:vAlign w:val="center"/>
          </w:tcPr>
          <w:p w14:paraId="42A11F6A"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Liabilities</w:t>
            </w:r>
          </w:p>
        </w:tc>
        <w:tc>
          <w:tcPr>
            <w:tcW w:w="0" w:type="auto"/>
            <w:shd w:val="clear" w:color="auto" w:fill="CCEEFF"/>
            <w:tcMar>
              <w:top w:w="40" w:type="dxa"/>
              <w:left w:w="40" w:type="dxa"/>
              <w:bottom w:w="40" w:type="dxa"/>
              <w:right w:w="40" w:type="dxa"/>
            </w:tcMar>
            <w:vAlign w:val="bottom"/>
          </w:tcPr>
          <w:p w14:paraId="42A11F6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F6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F6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F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F6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F7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F7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F7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F7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F7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F7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F7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F7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F7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F89" w14:textId="77777777">
        <w:tc>
          <w:tcPr>
            <w:tcW w:w="0" w:type="auto"/>
            <w:shd w:val="clear" w:color="auto" w:fill="auto"/>
            <w:tcMar>
              <w:top w:w="40" w:type="dxa"/>
              <w:left w:w="240" w:type="dxa"/>
              <w:bottom w:w="40" w:type="dxa"/>
              <w:right w:w="40" w:type="dxa"/>
            </w:tcMar>
            <w:vAlign w:val="center"/>
          </w:tcPr>
          <w:p w14:paraId="42A11F7A"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Short-term borrowings:</w:t>
            </w:r>
          </w:p>
        </w:tc>
        <w:tc>
          <w:tcPr>
            <w:tcW w:w="0" w:type="auto"/>
            <w:shd w:val="clear" w:color="auto" w:fill="auto"/>
            <w:tcMar>
              <w:top w:w="40" w:type="dxa"/>
              <w:left w:w="40" w:type="dxa"/>
              <w:bottom w:w="40" w:type="dxa"/>
              <w:right w:w="40" w:type="dxa"/>
            </w:tcMar>
            <w:vAlign w:val="bottom"/>
          </w:tcPr>
          <w:p w14:paraId="42A11F7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F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F7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F7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F7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F8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F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F8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F8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F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F8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F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1F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1F8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FA7" w14:textId="77777777">
        <w:tc>
          <w:tcPr>
            <w:tcW w:w="0" w:type="auto"/>
            <w:shd w:val="clear" w:color="auto" w:fill="CCEEFF"/>
            <w:tcMar>
              <w:top w:w="40" w:type="dxa"/>
              <w:left w:w="560" w:type="dxa"/>
              <w:bottom w:w="40" w:type="dxa"/>
              <w:right w:w="40" w:type="dxa"/>
            </w:tcMar>
            <w:vAlign w:val="center"/>
          </w:tcPr>
          <w:p w14:paraId="42A11F8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Variable rate</w:t>
            </w:r>
          </w:p>
        </w:tc>
        <w:tc>
          <w:tcPr>
            <w:tcW w:w="0" w:type="auto"/>
            <w:shd w:val="clear" w:color="auto" w:fill="CCEEFF"/>
            <w:tcMar>
              <w:top w:w="40" w:type="dxa"/>
              <w:left w:w="40" w:type="dxa"/>
              <w:bottom w:w="40" w:type="dxa"/>
              <w:right w:w="40" w:type="dxa"/>
            </w:tcMar>
            <w:vAlign w:val="bottom"/>
          </w:tcPr>
          <w:p w14:paraId="42A11F8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F8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F8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575</w:t>
            </w:r>
          </w:p>
        </w:tc>
        <w:tc>
          <w:tcPr>
            <w:tcW w:w="0" w:type="auto"/>
            <w:shd w:val="clear" w:color="auto" w:fill="CCEEFF"/>
            <w:vAlign w:val="bottom"/>
          </w:tcPr>
          <w:p w14:paraId="42A11F8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F8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F9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F9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F9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F9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F9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F9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F9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F9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F9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F9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F9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F9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F9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F9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F9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F9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FA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FA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1FA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1FA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1FA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1FA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575</w:t>
            </w:r>
          </w:p>
        </w:tc>
        <w:tc>
          <w:tcPr>
            <w:tcW w:w="0" w:type="auto"/>
            <w:shd w:val="clear" w:color="auto" w:fill="CCEEFF"/>
            <w:vAlign w:val="bottom"/>
          </w:tcPr>
          <w:p w14:paraId="42A11FA6" w14:textId="77777777" w:rsidR="00BB68E1" w:rsidRDefault="00BB68E1">
            <w:pPr>
              <w:textAlignment w:val="bottom"/>
              <w:rPr>
                <w:rFonts w:ascii="Times New Roman" w:hAnsi="Times New Roman"/>
                <w:sz w:val="20"/>
                <w:szCs w:val="20"/>
              </w:rPr>
            </w:pPr>
          </w:p>
        </w:tc>
      </w:tr>
      <w:tr w:rsidR="00BB68E1" w14:paraId="42A11FBE" w14:textId="77777777">
        <w:tc>
          <w:tcPr>
            <w:tcW w:w="0" w:type="auto"/>
            <w:shd w:val="clear" w:color="auto" w:fill="auto"/>
            <w:tcMar>
              <w:top w:w="40" w:type="dxa"/>
              <w:left w:w="560" w:type="dxa"/>
              <w:bottom w:w="40" w:type="dxa"/>
              <w:right w:w="40" w:type="dxa"/>
            </w:tcMar>
            <w:vAlign w:val="center"/>
          </w:tcPr>
          <w:p w14:paraId="42A11FA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Weighted-average interest rate</w:t>
            </w:r>
          </w:p>
        </w:tc>
        <w:tc>
          <w:tcPr>
            <w:tcW w:w="0" w:type="auto"/>
            <w:shd w:val="clear" w:color="auto" w:fill="auto"/>
            <w:tcMar>
              <w:top w:w="40" w:type="dxa"/>
              <w:left w:w="40" w:type="dxa"/>
              <w:bottom w:w="40" w:type="dxa"/>
              <w:right w:w="40" w:type="dxa"/>
            </w:tcMar>
            <w:vAlign w:val="bottom"/>
          </w:tcPr>
          <w:p w14:paraId="42A11FA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FA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5.0</w:t>
            </w:r>
          </w:p>
        </w:tc>
        <w:tc>
          <w:tcPr>
            <w:tcW w:w="0" w:type="auto"/>
            <w:shd w:val="clear" w:color="auto" w:fill="auto"/>
            <w:tcMar>
              <w:top w:w="40" w:type="dxa"/>
              <w:bottom w:w="40" w:type="dxa"/>
              <w:right w:w="40" w:type="dxa"/>
            </w:tcMar>
            <w:vAlign w:val="center"/>
          </w:tcPr>
          <w:p w14:paraId="42A11FA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FA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FA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right w:w="40" w:type="dxa"/>
            </w:tcMar>
            <w:vAlign w:val="center"/>
          </w:tcPr>
          <w:p w14:paraId="42A11FA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FA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FB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right w:w="40" w:type="dxa"/>
            </w:tcMar>
            <w:vAlign w:val="center"/>
          </w:tcPr>
          <w:p w14:paraId="42A11FB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FB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FB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right w:w="40" w:type="dxa"/>
            </w:tcMar>
            <w:vAlign w:val="center"/>
          </w:tcPr>
          <w:p w14:paraId="42A11FB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FB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FB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right w:w="40" w:type="dxa"/>
            </w:tcMar>
            <w:vAlign w:val="center"/>
          </w:tcPr>
          <w:p w14:paraId="42A11FB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FB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FB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right w:w="40" w:type="dxa"/>
            </w:tcMar>
            <w:vAlign w:val="center"/>
          </w:tcPr>
          <w:p w14:paraId="42A11FB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1FB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1FB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5.0</w:t>
            </w:r>
          </w:p>
        </w:tc>
        <w:tc>
          <w:tcPr>
            <w:tcW w:w="0" w:type="auto"/>
            <w:shd w:val="clear" w:color="auto" w:fill="auto"/>
            <w:tcMar>
              <w:top w:w="40" w:type="dxa"/>
              <w:bottom w:w="40" w:type="dxa"/>
              <w:right w:w="40" w:type="dxa"/>
            </w:tcMar>
            <w:vAlign w:val="center"/>
          </w:tcPr>
          <w:p w14:paraId="42A11FB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1FCE" w14:textId="77777777">
        <w:tc>
          <w:tcPr>
            <w:tcW w:w="0" w:type="auto"/>
            <w:shd w:val="clear" w:color="auto" w:fill="CCEEFF"/>
            <w:tcMar>
              <w:top w:w="40" w:type="dxa"/>
              <w:left w:w="240" w:type="dxa"/>
              <w:bottom w:w="40" w:type="dxa"/>
              <w:right w:w="40" w:type="dxa"/>
            </w:tcMar>
            <w:vAlign w:val="center"/>
          </w:tcPr>
          <w:p w14:paraId="42A11FBF"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Long-term debt</w:t>
            </w:r>
            <w:r>
              <w:rPr>
                <w:rFonts w:ascii="Times New Roman" w:eastAsia="宋体" w:hAnsi="Times New Roman"/>
                <w:b/>
                <w:bCs/>
                <w:sz w:val="10"/>
                <w:szCs w:val="10"/>
              </w:rPr>
              <w:t>(1)</w:t>
            </w:r>
            <w:r>
              <w:rPr>
                <w:rFonts w:ascii="Times New Roman" w:eastAsia="宋体" w:hAnsi="Times New Roman"/>
                <w:b/>
                <w:bCs/>
                <w:sz w:val="16"/>
                <w:szCs w:val="16"/>
              </w:rPr>
              <w:t>:</w:t>
            </w:r>
          </w:p>
        </w:tc>
        <w:tc>
          <w:tcPr>
            <w:tcW w:w="0" w:type="auto"/>
            <w:shd w:val="clear" w:color="auto" w:fill="CCEEFF"/>
            <w:tcMar>
              <w:top w:w="40" w:type="dxa"/>
              <w:left w:w="40" w:type="dxa"/>
              <w:bottom w:w="40" w:type="dxa"/>
              <w:right w:w="40" w:type="dxa"/>
            </w:tcMar>
            <w:vAlign w:val="bottom"/>
          </w:tcPr>
          <w:p w14:paraId="42A11F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FC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F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FC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FC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FC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F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FC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F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FC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FC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FC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1FC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1F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1FEC" w14:textId="77777777">
        <w:tc>
          <w:tcPr>
            <w:tcW w:w="0" w:type="auto"/>
            <w:shd w:val="clear" w:color="auto" w:fill="auto"/>
            <w:tcMar>
              <w:top w:w="40" w:type="dxa"/>
              <w:left w:w="560" w:type="dxa"/>
              <w:bottom w:w="40" w:type="dxa"/>
              <w:right w:w="40" w:type="dxa"/>
            </w:tcMar>
            <w:vAlign w:val="center"/>
          </w:tcPr>
          <w:p w14:paraId="42A11FC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Fixed rate</w:t>
            </w:r>
          </w:p>
        </w:tc>
        <w:tc>
          <w:tcPr>
            <w:tcW w:w="0" w:type="auto"/>
            <w:shd w:val="clear" w:color="auto" w:fill="auto"/>
            <w:tcMar>
              <w:top w:w="40" w:type="dxa"/>
              <w:left w:w="40" w:type="dxa"/>
              <w:bottom w:w="40" w:type="dxa"/>
              <w:right w:w="40" w:type="dxa"/>
            </w:tcMar>
            <w:vAlign w:val="bottom"/>
          </w:tcPr>
          <w:p w14:paraId="42A11FD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FD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FD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4,612</w:t>
            </w:r>
          </w:p>
        </w:tc>
        <w:tc>
          <w:tcPr>
            <w:tcW w:w="0" w:type="auto"/>
            <w:shd w:val="clear" w:color="auto" w:fill="auto"/>
            <w:vAlign w:val="bottom"/>
          </w:tcPr>
          <w:p w14:paraId="42A11FD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FD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FD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FD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2,366</w:t>
            </w:r>
          </w:p>
        </w:tc>
        <w:tc>
          <w:tcPr>
            <w:tcW w:w="0" w:type="auto"/>
            <w:shd w:val="clear" w:color="auto" w:fill="auto"/>
            <w:vAlign w:val="bottom"/>
          </w:tcPr>
          <w:p w14:paraId="42A11FD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FD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FD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FD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2,802</w:t>
            </w:r>
          </w:p>
        </w:tc>
        <w:tc>
          <w:tcPr>
            <w:tcW w:w="0" w:type="auto"/>
            <w:shd w:val="clear" w:color="auto" w:fill="auto"/>
            <w:vAlign w:val="bottom"/>
          </w:tcPr>
          <w:p w14:paraId="42A11FD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FD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FD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FD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4,670</w:t>
            </w:r>
          </w:p>
        </w:tc>
        <w:tc>
          <w:tcPr>
            <w:tcW w:w="0" w:type="auto"/>
            <w:shd w:val="clear" w:color="auto" w:fill="auto"/>
            <w:vAlign w:val="bottom"/>
          </w:tcPr>
          <w:p w14:paraId="42A11FD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FE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FE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FE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4,400</w:t>
            </w:r>
          </w:p>
        </w:tc>
        <w:tc>
          <w:tcPr>
            <w:tcW w:w="0" w:type="auto"/>
            <w:shd w:val="clear" w:color="auto" w:fill="auto"/>
            <w:vAlign w:val="bottom"/>
          </w:tcPr>
          <w:p w14:paraId="42A11FE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FE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FE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FE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28,726</w:t>
            </w:r>
          </w:p>
        </w:tc>
        <w:tc>
          <w:tcPr>
            <w:tcW w:w="0" w:type="auto"/>
            <w:shd w:val="clear" w:color="auto" w:fill="auto"/>
            <w:vAlign w:val="bottom"/>
          </w:tcPr>
          <w:p w14:paraId="42A11FE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1FE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1FE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1FE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47,576</w:t>
            </w:r>
          </w:p>
        </w:tc>
        <w:tc>
          <w:tcPr>
            <w:tcW w:w="0" w:type="auto"/>
            <w:shd w:val="clear" w:color="auto" w:fill="auto"/>
            <w:vAlign w:val="bottom"/>
          </w:tcPr>
          <w:p w14:paraId="42A11FEB" w14:textId="77777777" w:rsidR="00BB68E1" w:rsidRDefault="00BB68E1">
            <w:pPr>
              <w:textAlignment w:val="bottom"/>
              <w:rPr>
                <w:rFonts w:ascii="Times New Roman" w:hAnsi="Times New Roman"/>
                <w:sz w:val="20"/>
                <w:szCs w:val="20"/>
              </w:rPr>
            </w:pPr>
          </w:p>
        </w:tc>
      </w:tr>
      <w:tr w:rsidR="00BB68E1" w14:paraId="42A12003" w14:textId="77777777">
        <w:tc>
          <w:tcPr>
            <w:tcW w:w="0" w:type="auto"/>
            <w:shd w:val="clear" w:color="auto" w:fill="CCEEFF"/>
            <w:tcMar>
              <w:top w:w="40" w:type="dxa"/>
              <w:left w:w="560" w:type="dxa"/>
              <w:bottom w:w="40" w:type="dxa"/>
              <w:right w:w="40" w:type="dxa"/>
            </w:tcMar>
            <w:vAlign w:val="center"/>
          </w:tcPr>
          <w:p w14:paraId="42A11FE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Weighted-average interest rate</w:t>
            </w:r>
          </w:p>
        </w:tc>
        <w:tc>
          <w:tcPr>
            <w:tcW w:w="0" w:type="auto"/>
            <w:shd w:val="clear" w:color="auto" w:fill="CCEEFF"/>
            <w:tcMar>
              <w:top w:w="40" w:type="dxa"/>
              <w:left w:w="40" w:type="dxa"/>
              <w:bottom w:w="40" w:type="dxa"/>
              <w:right w:w="40" w:type="dxa"/>
            </w:tcMar>
            <w:vAlign w:val="bottom"/>
          </w:tcPr>
          <w:p w14:paraId="42A11FE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FE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CCEEFF"/>
            <w:tcMar>
              <w:top w:w="40" w:type="dxa"/>
              <w:bottom w:w="40" w:type="dxa"/>
              <w:right w:w="40" w:type="dxa"/>
            </w:tcMar>
            <w:vAlign w:val="center"/>
          </w:tcPr>
          <w:p w14:paraId="42A11FF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FF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FF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3.8</w:t>
            </w:r>
          </w:p>
        </w:tc>
        <w:tc>
          <w:tcPr>
            <w:tcW w:w="0" w:type="auto"/>
            <w:shd w:val="clear" w:color="auto" w:fill="CCEEFF"/>
            <w:tcMar>
              <w:top w:w="40" w:type="dxa"/>
              <w:bottom w:w="40" w:type="dxa"/>
              <w:right w:w="40" w:type="dxa"/>
            </w:tcMar>
            <w:vAlign w:val="center"/>
          </w:tcPr>
          <w:p w14:paraId="42A11FF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FF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FF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w:t>
            </w:r>
          </w:p>
        </w:tc>
        <w:tc>
          <w:tcPr>
            <w:tcW w:w="0" w:type="auto"/>
            <w:shd w:val="clear" w:color="auto" w:fill="CCEEFF"/>
            <w:tcMar>
              <w:top w:w="40" w:type="dxa"/>
              <w:bottom w:w="40" w:type="dxa"/>
              <w:right w:w="40" w:type="dxa"/>
            </w:tcMar>
            <w:vAlign w:val="center"/>
          </w:tcPr>
          <w:p w14:paraId="42A11FF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FF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FF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w:t>
            </w:r>
          </w:p>
        </w:tc>
        <w:tc>
          <w:tcPr>
            <w:tcW w:w="0" w:type="auto"/>
            <w:shd w:val="clear" w:color="auto" w:fill="CCEEFF"/>
            <w:tcMar>
              <w:top w:w="40" w:type="dxa"/>
              <w:bottom w:w="40" w:type="dxa"/>
              <w:right w:w="40" w:type="dxa"/>
            </w:tcMar>
            <w:vAlign w:val="center"/>
          </w:tcPr>
          <w:p w14:paraId="42A11FF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FF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FF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w:t>
            </w:r>
          </w:p>
        </w:tc>
        <w:tc>
          <w:tcPr>
            <w:tcW w:w="0" w:type="auto"/>
            <w:shd w:val="clear" w:color="auto" w:fill="CCEEFF"/>
            <w:tcMar>
              <w:top w:w="40" w:type="dxa"/>
              <w:bottom w:w="40" w:type="dxa"/>
              <w:right w:w="40" w:type="dxa"/>
            </w:tcMar>
            <w:vAlign w:val="center"/>
          </w:tcPr>
          <w:p w14:paraId="42A11FF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1FF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1FF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4.4</w:t>
            </w:r>
          </w:p>
        </w:tc>
        <w:tc>
          <w:tcPr>
            <w:tcW w:w="0" w:type="auto"/>
            <w:shd w:val="clear" w:color="auto" w:fill="CCEEFF"/>
            <w:tcMar>
              <w:top w:w="40" w:type="dxa"/>
              <w:bottom w:w="40" w:type="dxa"/>
              <w:right w:w="40" w:type="dxa"/>
            </w:tcMar>
            <w:vAlign w:val="center"/>
          </w:tcPr>
          <w:p w14:paraId="42A11FF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00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00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3.8</w:t>
            </w:r>
          </w:p>
        </w:tc>
        <w:tc>
          <w:tcPr>
            <w:tcW w:w="0" w:type="auto"/>
            <w:shd w:val="clear" w:color="auto" w:fill="CCEEFF"/>
            <w:tcMar>
              <w:top w:w="40" w:type="dxa"/>
              <w:bottom w:w="40" w:type="dxa"/>
              <w:right w:w="40" w:type="dxa"/>
            </w:tcMar>
            <w:vAlign w:val="center"/>
          </w:tcPr>
          <w:p w14:paraId="42A1200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021" w14:textId="77777777">
        <w:tc>
          <w:tcPr>
            <w:tcW w:w="0" w:type="auto"/>
            <w:shd w:val="clear" w:color="auto" w:fill="auto"/>
            <w:tcMar>
              <w:top w:w="40" w:type="dxa"/>
              <w:left w:w="560" w:type="dxa"/>
              <w:bottom w:w="40" w:type="dxa"/>
              <w:right w:w="40" w:type="dxa"/>
            </w:tcMar>
            <w:vAlign w:val="center"/>
          </w:tcPr>
          <w:p w14:paraId="42A1200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Variable rate</w:t>
            </w:r>
          </w:p>
        </w:tc>
        <w:tc>
          <w:tcPr>
            <w:tcW w:w="0" w:type="auto"/>
            <w:shd w:val="clear" w:color="auto" w:fill="auto"/>
            <w:tcMar>
              <w:top w:w="40" w:type="dxa"/>
              <w:left w:w="40" w:type="dxa"/>
              <w:bottom w:w="40" w:type="dxa"/>
              <w:right w:w="40" w:type="dxa"/>
            </w:tcMar>
            <w:vAlign w:val="bottom"/>
          </w:tcPr>
          <w:p w14:paraId="42A1200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00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200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750</w:t>
            </w:r>
          </w:p>
        </w:tc>
        <w:tc>
          <w:tcPr>
            <w:tcW w:w="0" w:type="auto"/>
            <w:shd w:val="clear" w:color="auto" w:fill="auto"/>
            <w:vAlign w:val="bottom"/>
          </w:tcPr>
          <w:p w14:paraId="42A1200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00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00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200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750</w:t>
            </w:r>
          </w:p>
        </w:tc>
        <w:tc>
          <w:tcPr>
            <w:tcW w:w="0" w:type="auto"/>
            <w:shd w:val="clear" w:color="auto" w:fill="auto"/>
            <w:vAlign w:val="bottom"/>
          </w:tcPr>
          <w:p w14:paraId="42A1200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00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00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200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01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01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01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201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01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01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01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201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01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01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01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201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01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01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01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201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1,500</w:t>
            </w:r>
          </w:p>
        </w:tc>
        <w:tc>
          <w:tcPr>
            <w:tcW w:w="0" w:type="auto"/>
            <w:shd w:val="clear" w:color="auto" w:fill="auto"/>
            <w:vAlign w:val="bottom"/>
          </w:tcPr>
          <w:p w14:paraId="42A12020" w14:textId="77777777" w:rsidR="00BB68E1" w:rsidRDefault="00BB68E1">
            <w:pPr>
              <w:textAlignment w:val="bottom"/>
              <w:rPr>
                <w:rFonts w:ascii="Times New Roman" w:hAnsi="Times New Roman"/>
                <w:sz w:val="20"/>
                <w:szCs w:val="20"/>
              </w:rPr>
            </w:pPr>
          </w:p>
        </w:tc>
      </w:tr>
      <w:tr w:rsidR="00BB68E1" w14:paraId="42A12038" w14:textId="77777777">
        <w:tc>
          <w:tcPr>
            <w:tcW w:w="0" w:type="auto"/>
            <w:shd w:val="clear" w:color="auto" w:fill="CCEEFF"/>
            <w:tcMar>
              <w:top w:w="40" w:type="dxa"/>
              <w:left w:w="560" w:type="dxa"/>
              <w:bottom w:w="40" w:type="dxa"/>
              <w:right w:w="40" w:type="dxa"/>
            </w:tcMar>
            <w:vAlign w:val="center"/>
          </w:tcPr>
          <w:p w14:paraId="42A1202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Weighted-average interest rate</w:t>
            </w:r>
          </w:p>
        </w:tc>
        <w:tc>
          <w:tcPr>
            <w:tcW w:w="0" w:type="auto"/>
            <w:shd w:val="clear" w:color="auto" w:fill="CCEEFF"/>
            <w:tcMar>
              <w:top w:w="40" w:type="dxa"/>
              <w:left w:w="40" w:type="dxa"/>
              <w:bottom w:w="40" w:type="dxa"/>
              <w:right w:w="40" w:type="dxa"/>
            </w:tcMar>
            <w:vAlign w:val="bottom"/>
          </w:tcPr>
          <w:p w14:paraId="42A1202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02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w:t>
            </w:r>
          </w:p>
        </w:tc>
        <w:tc>
          <w:tcPr>
            <w:tcW w:w="0" w:type="auto"/>
            <w:shd w:val="clear" w:color="auto" w:fill="CCEEFF"/>
            <w:tcMar>
              <w:top w:w="40" w:type="dxa"/>
              <w:bottom w:w="40" w:type="dxa"/>
              <w:right w:w="40" w:type="dxa"/>
            </w:tcMar>
            <w:vAlign w:val="center"/>
          </w:tcPr>
          <w:p w14:paraId="42A1202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02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02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w:t>
            </w:r>
          </w:p>
        </w:tc>
        <w:tc>
          <w:tcPr>
            <w:tcW w:w="0" w:type="auto"/>
            <w:shd w:val="clear" w:color="auto" w:fill="CCEEFF"/>
            <w:tcMar>
              <w:top w:w="40" w:type="dxa"/>
              <w:bottom w:w="40" w:type="dxa"/>
              <w:right w:w="40" w:type="dxa"/>
            </w:tcMar>
            <w:vAlign w:val="center"/>
          </w:tcPr>
          <w:p w14:paraId="42A1202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02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02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right w:w="40" w:type="dxa"/>
            </w:tcMar>
            <w:vAlign w:val="center"/>
          </w:tcPr>
          <w:p w14:paraId="42A1202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02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02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right w:w="40" w:type="dxa"/>
            </w:tcMar>
            <w:vAlign w:val="center"/>
          </w:tcPr>
          <w:p w14:paraId="42A1202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02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03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right w:w="40" w:type="dxa"/>
            </w:tcMar>
            <w:vAlign w:val="center"/>
          </w:tcPr>
          <w:p w14:paraId="42A1203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03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03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right w:w="40" w:type="dxa"/>
            </w:tcMar>
            <w:vAlign w:val="center"/>
          </w:tcPr>
          <w:p w14:paraId="42A1203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03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03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w:t>
            </w:r>
          </w:p>
        </w:tc>
        <w:tc>
          <w:tcPr>
            <w:tcW w:w="0" w:type="auto"/>
            <w:shd w:val="clear" w:color="auto" w:fill="CCEEFF"/>
            <w:tcMar>
              <w:top w:w="40" w:type="dxa"/>
              <w:bottom w:w="40" w:type="dxa"/>
              <w:right w:w="40" w:type="dxa"/>
            </w:tcMar>
            <w:vAlign w:val="center"/>
          </w:tcPr>
          <w:p w14:paraId="42A1203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048" w14:textId="77777777">
        <w:tc>
          <w:tcPr>
            <w:tcW w:w="0" w:type="auto"/>
            <w:shd w:val="clear" w:color="auto" w:fill="auto"/>
            <w:tcMar>
              <w:top w:w="40" w:type="dxa"/>
              <w:left w:w="40" w:type="dxa"/>
              <w:bottom w:w="40" w:type="dxa"/>
              <w:right w:w="40" w:type="dxa"/>
            </w:tcMar>
            <w:vAlign w:val="center"/>
          </w:tcPr>
          <w:p w14:paraId="42A12039"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Interest rate derivatives</w:t>
            </w:r>
          </w:p>
        </w:tc>
        <w:tc>
          <w:tcPr>
            <w:tcW w:w="0" w:type="auto"/>
            <w:shd w:val="clear" w:color="auto" w:fill="auto"/>
            <w:tcMar>
              <w:top w:w="40" w:type="dxa"/>
              <w:left w:w="40" w:type="dxa"/>
              <w:bottom w:w="40" w:type="dxa"/>
              <w:right w:w="40" w:type="dxa"/>
            </w:tcMar>
            <w:vAlign w:val="bottom"/>
          </w:tcPr>
          <w:p w14:paraId="42A1203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0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0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03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03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03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04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04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04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04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04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04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04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04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058" w14:textId="77777777">
        <w:tc>
          <w:tcPr>
            <w:tcW w:w="0" w:type="auto"/>
            <w:shd w:val="clear" w:color="auto" w:fill="CCEEFF"/>
            <w:tcMar>
              <w:top w:w="40" w:type="dxa"/>
              <w:left w:w="240" w:type="dxa"/>
              <w:bottom w:w="40" w:type="dxa"/>
              <w:right w:w="40" w:type="dxa"/>
            </w:tcMar>
            <w:vAlign w:val="center"/>
          </w:tcPr>
          <w:p w14:paraId="42A12049"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Interest rate swaps:</w:t>
            </w:r>
          </w:p>
        </w:tc>
        <w:tc>
          <w:tcPr>
            <w:tcW w:w="0" w:type="auto"/>
            <w:shd w:val="clear" w:color="auto" w:fill="CCEEFF"/>
            <w:tcMar>
              <w:top w:w="40" w:type="dxa"/>
              <w:left w:w="40" w:type="dxa"/>
              <w:bottom w:w="40" w:type="dxa"/>
              <w:right w:w="40" w:type="dxa"/>
            </w:tcMar>
            <w:vAlign w:val="bottom"/>
          </w:tcPr>
          <w:p w14:paraId="42A1204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04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04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0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04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04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05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05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05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05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0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05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05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05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076" w14:textId="77777777">
        <w:tc>
          <w:tcPr>
            <w:tcW w:w="0" w:type="auto"/>
            <w:shd w:val="clear" w:color="auto" w:fill="auto"/>
            <w:tcMar>
              <w:top w:w="40" w:type="dxa"/>
              <w:left w:w="560" w:type="dxa"/>
              <w:bottom w:w="40" w:type="dxa"/>
              <w:right w:w="40" w:type="dxa"/>
            </w:tcMar>
            <w:vAlign w:val="center"/>
          </w:tcPr>
          <w:p w14:paraId="42A1205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Fixed to variable</w:t>
            </w:r>
          </w:p>
        </w:tc>
        <w:tc>
          <w:tcPr>
            <w:tcW w:w="0" w:type="auto"/>
            <w:shd w:val="clear" w:color="auto" w:fill="auto"/>
            <w:tcMar>
              <w:top w:w="40" w:type="dxa"/>
              <w:left w:w="40" w:type="dxa"/>
              <w:bottom w:w="40" w:type="dxa"/>
              <w:right w:w="40" w:type="dxa"/>
            </w:tcMar>
            <w:vAlign w:val="bottom"/>
          </w:tcPr>
          <w:p w14:paraId="42A1205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05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205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750</w:t>
            </w:r>
          </w:p>
        </w:tc>
        <w:tc>
          <w:tcPr>
            <w:tcW w:w="0" w:type="auto"/>
            <w:shd w:val="clear" w:color="auto" w:fill="auto"/>
            <w:vAlign w:val="bottom"/>
          </w:tcPr>
          <w:p w14:paraId="42A1205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05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05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206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06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06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06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206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06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06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06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206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1,750</w:t>
            </w:r>
          </w:p>
        </w:tc>
        <w:tc>
          <w:tcPr>
            <w:tcW w:w="0" w:type="auto"/>
            <w:shd w:val="clear" w:color="auto" w:fill="auto"/>
            <w:vAlign w:val="bottom"/>
          </w:tcPr>
          <w:p w14:paraId="42A1206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06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06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206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1,500</w:t>
            </w:r>
          </w:p>
        </w:tc>
        <w:tc>
          <w:tcPr>
            <w:tcW w:w="0" w:type="auto"/>
            <w:shd w:val="clear" w:color="auto" w:fill="auto"/>
            <w:vAlign w:val="bottom"/>
          </w:tcPr>
          <w:p w14:paraId="42A1206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0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06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207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07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07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07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207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4,000</w:t>
            </w:r>
          </w:p>
        </w:tc>
        <w:tc>
          <w:tcPr>
            <w:tcW w:w="0" w:type="auto"/>
            <w:shd w:val="clear" w:color="auto" w:fill="auto"/>
            <w:vAlign w:val="bottom"/>
          </w:tcPr>
          <w:p w14:paraId="42A12075" w14:textId="77777777" w:rsidR="00BB68E1" w:rsidRDefault="00BB68E1">
            <w:pPr>
              <w:textAlignment w:val="bottom"/>
              <w:rPr>
                <w:rFonts w:ascii="Times New Roman" w:hAnsi="Times New Roman"/>
                <w:sz w:val="20"/>
                <w:szCs w:val="20"/>
              </w:rPr>
            </w:pPr>
          </w:p>
        </w:tc>
      </w:tr>
      <w:tr w:rsidR="00BB68E1" w14:paraId="42A1208D" w14:textId="77777777">
        <w:tc>
          <w:tcPr>
            <w:tcW w:w="0" w:type="auto"/>
            <w:shd w:val="clear" w:color="auto" w:fill="CCEEFF"/>
            <w:tcMar>
              <w:top w:w="40" w:type="dxa"/>
              <w:left w:w="560" w:type="dxa"/>
              <w:bottom w:w="40" w:type="dxa"/>
              <w:right w:w="40" w:type="dxa"/>
            </w:tcMar>
            <w:vAlign w:val="center"/>
          </w:tcPr>
          <w:p w14:paraId="42A1207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Weighted-average pay rate</w:t>
            </w:r>
          </w:p>
        </w:tc>
        <w:tc>
          <w:tcPr>
            <w:tcW w:w="0" w:type="auto"/>
            <w:shd w:val="clear" w:color="auto" w:fill="CCEEFF"/>
            <w:tcMar>
              <w:top w:w="40" w:type="dxa"/>
              <w:left w:w="40" w:type="dxa"/>
              <w:bottom w:w="40" w:type="dxa"/>
              <w:right w:w="40" w:type="dxa"/>
            </w:tcMar>
            <w:vAlign w:val="bottom"/>
          </w:tcPr>
          <w:p w14:paraId="42A1207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07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w:t>
            </w:r>
          </w:p>
        </w:tc>
        <w:tc>
          <w:tcPr>
            <w:tcW w:w="0" w:type="auto"/>
            <w:shd w:val="clear" w:color="auto" w:fill="CCEEFF"/>
            <w:tcMar>
              <w:top w:w="40" w:type="dxa"/>
              <w:bottom w:w="40" w:type="dxa"/>
              <w:right w:w="40" w:type="dxa"/>
            </w:tcMar>
            <w:vAlign w:val="center"/>
          </w:tcPr>
          <w:p w14:paraId="42A1207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07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07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right w:w="40" w:type="dxa"/>
            </w:tcMar>
            <w:vAlign w:val="center"/>
          </w:tcPr>
          <w:p w14:paraId="42A1207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07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07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right w:w="40" w:type="dxa"/>
            </w:tcMar>
            <w:vAlign w:val="center"/>
          </w:tcPr>
          <w:p w14:paraId="42A1208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0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08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w:t>
            </w:r>
          </w:p>
        </w:tc>
        <w:tc>
          <w:tcPr>
            <w:tcW w:w="0" w:type="auto"/>
            <w:shd w:val="clear" w:color="auto" w:fill="CCEEFF"/>
            <w:tcMar>
              <w:top w:w="40" w:type="dxa"/>
              <w:bottom w:w="40" w:type="dxa"/>
              <w:right w:w="40" w:type="dxa"/>
            </w:tcMar>
            <w:vAlign w:val="center"/>
          </w:tcPr>
          <w:p w14:paraId="42A1208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0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08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CCEEFF"/>
            <w:tcMar>
              <w:top w:w="40" w:type="dxa"/>
              <w:bottom w:w="40" w:type="dxa"/>
              <w:right w:w="40" w:type="dxa"/>
            </w:tcMar>
            <w:vAlign w:val="center"/>
          </w:tcPr>
          <w:p w14:paraId="42A1208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0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08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right w:w="40" w:type="dxa"/>
            </w:tcMar>
            <w:vAlign w:val="center"/>
          </w:tcPr>
          <w:p w14:paraId="42A1208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08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08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w:t>
            </w:r>
          </w:p>
        </w:tc>
        <w:tc>
          <w:tcPr>
            <w:tcW w:w="0" w:type="auto"/>
            <w:shd w:val="clear" w:color="auto" w:fill="CCEEFF"/>
            <w:tcMar>
              <w:top w:w="40" w:type="dxa"/>
              <w:bottom w:w="40" w:type="dxa"/>
              <w:right w:w="40" w:type="dxa"/>
            </w:tcMar>
            <w:vAlign w:val="center"/>
          </w:tcPr>
          <w:p w14:paraId="42A1208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0A4" w14:textId="77777777">
        <w:tc>
          <w:tcPr>
            <w:tcW w:w="0" w:type="auto"/>
            <w:shd w:val="clear" w:color="auto" w:fill="auto"/>
            <w:tcMar>
              <w:top w:w="40" w:type="dxa"/>
              <w:left w:w="560" w:type="dxa"/>
              <w:bottom w:w="40" w:type="dxa"/>
              <w:right w:w="40" w:type="dxa"/>
            </w:tcMar>
            <w:vAlign w:val="center"/>
          </w:tcPr>
          <w:p w14:paraId="42A1208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Weighted-average receive rate</w:t>
            </w:r>
          </w:p>
        </w:tc>
        <w:tc>
          <w:tcPr>
            <w:tcW w:w="0" w:type="auto"/>
            <w:shd w:val="clear" w:color="auto" w:fill="auto"/>
            <w:tcMar>
              <w:top w:w="40" w:type="dxa"/>
              <w:left w:w="40" w:type="dxa"/>
              <w:bottom w:w="40" w:type="dxa"/>
              <w:right w:w="40" w:type="dxa"/>
            </w:tcMar>
            <w:vAlign w:val="bottom"/>
          </w:tcPr>
          <w:p w14:paraId="42A1208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09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w:t>
            </w:r>
          </w:p>
        </w:tc>
        <w:tc>
          <w:tcPr>
            <w:tcW w:w="0" w:type="auto"/>
            <w:shd w:val="clear" w:color="auto" w:fill="auto"/>
            <w:tcMar>
              <w:top w:w="40" w:type="dxa"/>
              <w:bottom w:w="40" w:type="dxa"/>
              <w:right w:w="40" w:type="dxa"/>
            </w:tcMar>
            <w:vAlign w:val="center"/>
          </w:tcPr>
          <w:p w14:paraId="42A1209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09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09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right w:w="40" w:type="dxa"/>
            </w:tcMar>
            <w:vAlign w:val="center"/>
          </w:tcPr>
          <w:p w14:paraId="42A1209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09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09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right w:w="40" w:type="dxa"/>
            </w:tcMar>
            <w:vAlign w:val="center"/>
          </w:tcPr>
          <w:p w14:paraId="42A1209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09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09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w:t>
            </w:r>
          </w:p>
        </w:tc>
        <w:tc>
          <w:tcPr>
            <w:tcW w:w="0" w:type="auto"/>
            <w:shd w:val="clear" w:color="auto" w:fill="auto"/>
            <w:tcMar>
              <w:top w:w="40" w:type="dxa"/>
              <w:bottom w:w="40" w:type="dxa"/>
              <w:right w:w="40" w:type="dxa"/>
            </w:tcMar>
            <w:vAlign w:val="center"/>
          </w:tcPr>
          <w:p w14:paraId="42A1209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09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09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w:t>
            </w:r>
          </w:p>
        </w:tc>
        <w:tc>
          <w:tcPr>
            <w:tcW w:w="0" w:type="auto"/>
            <w:shd w:val="clear" w:color="auto" w:fill="auto"/>
            <w:tcMar>
              <w:top w:w="40" w:type="dxa"/>
              <w:bottom w:w="40" w:type="dxa"/>
              <w:right w:w="40" w:type="dxa"/>
            </w:tcMar>
            <w:vAlign w:val="center"/>
          </w:tcPr>
          <w:p w14:paraId="42A1209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09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09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right w:w="40" w:type="dxa"/>
            </w:tcMar>
            <w:vAlign w:val="center"/>
          </w:tcPr>
          <w:p w14:paraId="42A120A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0A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0A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w:t>
            </w:r>
          </w:p>
        </w:tc>
        <w:tc>
          <w:tcPr>
            <w:tcW w:w="0" w:type="auto"/>
            <w:shd w:val="clear" w:color="auto" w:fill="auto"/>
            <w:tcMar>
              <w:top w:w="40" w:type="dxa"/>
              <w:bottom w:w="40" w:type="dxa"/>
              <w:right w:w="40" w:type="dxa"/>
            </w:tcMar>
            <w:vAlign w:val="center"/>
          </w:tcPr>
          <w:p w14:paraId="42A120A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bl>
    <w:p w14:paraId="42A120A5"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6827"/>
      </w:tblGrid>
      <w:tr w:rsidR="00BB68E1" w14:paraId="42A120A8" w14:textId="77777777">
        <w:trPr>
          <w:tblCellSpacing w:w="0" w:type="dxa"/>
        </w:trPr>
        <w:tc>
          <w:tcPr>
            <w:tcW w:w="480" w:type="dxa"/>
            <w:shd w:val="clear" w:color="auto" w:fill="auto"/>
            <w:vAlign w:val="center"/>
          </w:tcPr>
          <w:p w14:paraId="42A120A6" w14:textId="77777777" w:rsidR="00BB68E1" w:rsidRDefault="00BB68E1">
            <w:pPr>
              <w:rPr>
                <w:rFonts w:ascii="Times New Roman" w:hAnsi="Times New Roman"/>
                <w:sz w:val="20"/>
                <w:szCs w:val="20"/>
              </w:rPr>
            </w:pPr>
          </w:p>
        </w:tc>
        <w:tc>
          <w:tcPr>
            <w:tcW w:w="0" w:type="auto"/>
            <w:shd w:val="clear" w:color="auto" w:fill="auto"/>
            <w:vAlign w:val="center"/>
          </w:tcPr>
          <w:p w14:paraId="42A120A7" w14:textId="77777777" w:rsidR="00BB68E1" w:rsidRDefault="00BB68E1">
            <w:pPr>
              <w:rPr>
                <w:rFonts w:ascii="Times New Roman" w:hAnsi="Times New Roman"/>
                <w:sz w:val="20"/>
                <w:szCs w:val="20"/>
              </w:rPr>
            </w:pPr>
          </w:p>
        </w:tc>
      </w:tr>
      <w:tr w:rsidR="00BB68E1" w14:paraId="42A120AB" w14:textId="77777777">
        <w:trPr>
          <w:tblCellSpacing w:w="0" w:type="dxa"/>
        </w:trPr>
        <w:tc>
          <w:tcPr>
            <w:tcW w:w="0" w:type="auto"/>
            <w:shd w:val="clear" w:color="auto" w:fill="auto"/>
          </w:tcPr>
          <w:p w14:paraId="42A120A9"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(1)</w:t>
            </w:r>
          </w:p>
        </w:tc>
        <w:tc>
          <w:tcPr>
            <w:tcW w:w="0" w:type="auto"/>
            <w:shd w:val="clear" w:color="auto" w:fill="auto"/>
          </w:tcPr>
          <w:p w14:paraId="42A120AA"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The long-term debt amounts in the table exclude the Company's derivatives classified as fair value hedges.</w:t>
            </w:r>
          </w:p>
        </w:tc>
      </w:tr>
    </w:tbl>
    <w:p w14:paraId="42A120A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As of January 31, 2020, our variable rate borrowings, including the effect of our commercial paper and </w:t>
      </w:r>
      <w:r>
        <w:rPr>
          <w:rFonts w:ascii="Times New Roman" w:eastAsia="宋体" w:hAnsi="Times New Roman"/>
          <w:sz w:val="20"/>
          <w:szCs w:val="20"/>
        </w:rPr>
        <w:t>interest rate swaps, represented 12% of our total short-term and long-term debt. Based on January 31, 2020 debt levels, a 100 basis point change in prevailing market rates would cause our annual interest costs to change by approximately $61 million.</w:t>
      </w:r>
    </w:p>
    <w:p w14:paraId="42A120AD" w14:textId="77777777" w:rsidR="00BB68E1" w:rsidRDefault="00BB68E1">
      <w:pPr>
        <w:rPr>
          <w:rFonts w:ascii="Times New Roman" w:hAnsi="Times New Roman"/>
          <w:sz w:val="20"/>
          <w:szCs w:val="20"/>
        </w:rPr>
      </w:pPr>
    </w:p>
    <w:p w14:paraId="42A120AE"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44</w:t>
      </w:r>
    </w:p>
    <w:p w14:paraId="42A120AF" w14:textId="77777777" w:rsidR="00BB68E1" w:rsidRDefault="00BB68E1">
      <w:pPr>
        <w:spacing w:line="288" w:lineRule="auto"/>
        <w:jc w:val="center"/>
        <w:rPr>
          <w:rFonts w:ascii="Times New Roman" w:hAnsi="Times New Roman"/>
          <w:sz w:val="20"/>
          <w:szCs w:val="20"/>
        </w:rPr>
      </w:pPr>
    </w:p>
    <w:p w14:paraId="42A120B0" w14:textId="77777777" w:rsidR="00BB68E1" w:rsidRDefault="005D2D5E">
      <w:r>
        <w:rPr>
          <w:rFonts w:ascii="Times New Roman" w:hAnsi="Times New Roman"/>
          <w:sz w:val="20"/>
          <w:szCs w:val="20"/>
        </w:rPr>
        <w:pict w14:anchorId="42A142A3">
          <v:rect id="_x0000_i1068" style="width:415.3pt;height:1.5pt" o:hralign="center" o:hrstd="t" o:hr="t" fillcolor="#a0a0a0" stroked="f"/>
        </w:pict>
      </w:r>
    </w:p>
    <w:p w14:paraId="42A120B1" w14:textId="77777777" w:rsidR="00BB68E1" w:rsidRDefault="00BB68E1">
      <w:pPr>
        <w:spacing w:line="288" w:lineRule="auto"/>
        <w:rPr>
          <w:rFonts w:ascii="Times New Roman" w:hAnsi="Times New Roman"/>
          <w:sz w:val="20"/>
          <w:szCs w:val="20"/>
        </w:rPr>
      </w:pPr>
    </w:p>
    <w:p w14:paraId="42A120B2" w14:textId="77777777" w:rsidR="00BB68E1" w:rsidRDefault="00BB68E1">
      <w:pPr>
        <w:rPr>
          <w:rFonts w:ascii="Times New Roman" w:hAnsi="Times New Roman"/>
          <w:sz w:val="20"/>
          <w:szCs w:val="20"/>
        </w:rPr>
      </w:pPr>
    </w:p>
    <w:p w14:paraId="42A120B3"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Foreign Currency Risk</w:t>
      </w:r>
    </w:p>
    <w:p w14:paraId="42A120B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are exposed to fluctuations in currency exchange rates as a result of our net investments and operations in countries other than the U.S, as well our foreign-currency-denominated long-term debt. For fiscal 2020, movements in cu</w:t>
      </w:r>
      <w:r>
        <w:rPr>
          <w:rFonts w:ascii="Times New Roman" w:eastAsia="宋体" w:hAnsi="Times New Roman"/>
          <w:sz w:val="20"/>
          <w:szCs w:val="20"/>
        </w:rPr>
        <w:t>rrency exchange rates and the related impact on the translation of the balance sheets of the Company's subsidiaries in the UK and Mexico were the primary cause of the $0.3 billion gain in the currency translation and other category of accumulated other com</w:t>
      </w:r>
      <w:r>
        <w:rPr>
          <w:rFonts w:ascii="Times New Roman" w:eastAsia="宋体" w:hAnsi="Times New Roman"/>
          <w:sz w:val="20"/>
          <w:szCs w:val="20"/>
        </w:rPr>
        <w:t xml:space="preserve">prehensive loss. </w:t>
      </w:r>
    </w:p>
    <w:p w14:paraId="42A120B5"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We hedge a portion of our foreign currency risk by entering into currency swaps. The aggregate fair value of these swaps was in a liability position of $241 million and asset position of $62 million as of January 31, 2020 and January 31, </w:t>
      </w:r>
      <w:r>
        <w:rPr>
          <w:rFonts w:ascii="Times New Roman" w:eastAsia="宋体" w:hAnsi="Times New Roman"/>
          <w:sz w:val="20"/>
          <w:szCs w:val="20"/>
        </w:rPr>
        <w:t>2019, respectively. The change in the fair value of these swaps was due to fluctuations in currency exchange rates, primarily the strengthening of the U.S. dollar relative to other currencies in fiscal 2020. The hypothetical result of a uniform 10% weakeni</w:t>
      </w:r>
      <w:r>
        <w:rPr>
          <w:rFonts w:ascii="Times New Roman" w:eastAsia="宋体" w:hAnsi="Times New Roman"/>
          <w:sz w:val="20"/>
          <w:szCs w:val="20"/>
        </w:rPr>
        <w:t>ng in the value of the U.S. dollar relative to other currencies underlying these swaps would have resulted in a change in the value of the swaps of $173 million. A hypothetical 10% change in interest rates underlying these swaps from the market rates in ef</w:t>
      </w:r>
      <w:r>
        <w:rPr>
          <w:rFonts w:ascii="Times New Roman" w:eastAsia="宋体" w:hAnsi="Times New Roman"/>
          <w:sz w:val="20"/>
          <w:szCs w:val="20"/>
        </w:rPr>
        <w:t>fect as of January 31, 2020 would have resulted in a change in the value of the swaps of $42 million.</w:t>
      </w:r>
    </w:p>
    <w:p w14:paraId="42A120B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addition to currency swaps, we also hedge a portion of our foreign currency risk by designating foreign-currency-denominated long-term debt as nonderiv</w:t>
      </w:r>
      <w:r>
        <w:rPr>
          <w:rFonts w:ascii="Times New Roman" w:eastAsia="宋体" w:hAnsi="Times New Roman"/>
          <w:sz w:val="20"/>
          <w:szCs w:val="20"/>
        </w:rPr>
        <w:t>ative hedges of net investments of certain of our foreign operations. We had outstanding long-term debt of £1.7 billion as of January 31, 2020 and January 31, 2019 that was designated as a hedge of our net investment in the UK. As of January 31, 2020, a hy</w:t>
      </w:r>
      <w:r>
        <w:rPr>
          <w:rFonts w:ascii="Times New Roman" w:eastAsia="宋体" w:hAnsi="Times New Roman"/>
          <w:sz w:val="20"/>
          <w:szCs w:val="20"/>
        </w:rPr>
        <w:t>pothetical 10% increase or decrease in the value of the U.S. dollar relative to the British pound would have resulted in a change in the value of the debt of $201 million. In addition, we had outstanding long-term debt of ¥180 billion as of January 31, 202</w:t>
      </w:r>
      <w:r>
        <w:rPr>
          <w:rFonts w:ascii="Times New Roman" w:eastAsia="宋体" w:hAnsi="Times New Roman"/>
          <w:sz w:val="20"/>
          <w:szCs w:val="20"/>
        </w:rPr>
        <w:t>0 and January 31, 2019 that was designated as a hedge of our net investment in Japan. As of January 31, 2020, a hypothetical 10% change in value of the U.S. dollar relative to the Japanese yen would have resulted in a change in the value of the debt of $15</w:t>
      </w:r>
      <w:r>
        <w:rPr>
          <w:rFonts w:ascii="Times New Roman" w:eastAsia="宋体" w:hAnsi="Times New Roman"/>
          <w:sz w:val="20"/>
          <w:szCs w:val="20"/>
        </w:rPr>
        <w:t>0 million.</w:t>
      </w:r>
    </w:p>
    <w:p w14:paraId="42A120B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certain countries, we also enter into immaterial foreign currency forward contracts to hedge the purchase and payment of purchase commitments denominated in non-functional currencies.</w:t>
      </w:r>
    </w:p>
    <w:p w14:paraId="42A120B8"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Investment Risk</w:t>
      </w:r>
    </w:p>
    <w:p w14:paraId="42A120B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are exposed to changes in the JD.com ("</w:t>
      </w:r>
      <w:r>
        <w:rPr>
          <w:rFonts w:ascii="Times New Roman" w:eastAsia="宋体" w:hAnsi="Times New Roman"/>
          <w:sz w:val="20"/>
          <w:szCs w:val="20"/>
        </w:rPr>
        <w:t xml:space="preserve">JD") stock price as a result of our equity investment in JD. The change in fair value is recorded within other gains and losses resulted in a gain of $1.9 billion in fiscal 2020 due to an increase in the stock price of JD. As of January 31, 2020, the fair </w:t>
      </w:r>
      <w:r>
        <w:rPr>
          <w:rFonts w:ascii="Times New Roman" w:eastAsia="宋体" w:hAnsi="Times New Roman"/>
          <w:sz w:val="20"/>
          <w:szCs w:val="20"/>
        </w:rPr>
        <w:t xml:space="preserve">value of our equity investment in JD was $5.4 billion. As of January 31, 2020, a hypothetical 10% change in the stock price of JD would have changed our investment in JD by approximately $550 million. </w:t>
      </w:r>
    </w:p>
    <w:p w14:paraId="42A120BA" w14:textId="77777777" w:rsidR="00BB68E1" w:rsidRDefault="00BB68E1">
      <w:pPr>
        <w:spacing w:line="288" w:lineRule="auto"/>
        <w:rPr>
          <w:rFonts w:ascii="Times New Roman" w:hAnsi="Times New Roman"/>
          <w:sz w:val="20"/>
          <w:szCs w:val="20"/>
        </w:rPr>
      </w:pPr>
    </w:p>
    <w:p w14:paraId="42A120BB" w14:textId="77777777" w:rsidR="00BB68E1" w:rsidRDefault="00BB68E1">
      <w:pPr>
        <w:rPr>
          <w:rFonts w:ascii="Times New Roman" w:hAnsi="Times New Roman"/>
          <w:sz w:val="20"/>
          <w:szCs w:val="20"/>
        </w:rPr>
      </w:pPr>
    </w:p>
    <w:p w14:paraId="42A120BC"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45</w:t>
      </w:r>
    </w:p>
    <w:p w14:paraId="42A120BD" w14:textId="77777777" w:rsidR="00BB68E1" w:rsidRDefault="00BB68E1">
      <w:pPr>
        <w:spacing w:line="288" w:lineRule="auto"/>
        <w:jc w:val="center"/>
        <w:rPr>
          <w:rFonts w:ascii="Times New Roman" w:hAnsi="Times New Roman"/>
          <w:sz w:val="20"/>
          <w:szCs w:val="20"/>
        </w:rPr>
      </w:pPr>
    </w:p>
    <w:p w14:paraId="42A120BE" w14:textId="77777777" w:rsidR="00BB68E1" w:rsidRDefault="005D2D5E">
      <w:r>
        <w:rPr>
          <w:rFonts w:ascii="Times New Roman" w:hAnsi="Times New Roman"/>
          <w:sz w:val="20"/>
          <w:szCs w:val="20"/>
        </w:rPr>
        <w:pict w14:anchorId="42A142A4">
          <v:rect id="_x0000_i1069" style="width:415.3pt;height:1.5pt" o:hralign="center" o:hrstd="t" o:hr="t" fillcolor="#a0a0a0" stroked="f"/>
        </w:pict>
      </w:r>
    </w:p>
    <w:p w14:paraId="42A120BF" w14:textId="77777777" w:rsidR="00BB68E1" w:rsidRDefault="00BB68E1">
      <w:pPr>
        <w:spacing w:line="288" w:lineRule="auto"/>
        <w:rPr>
          <w:rFonts w:ascii="Times New Roman" w:hAnsi="Times New Roman"/>
          <w:sz w:val="20"/>
          <w:szCs w:val="20"/>
        </w:rPr>
      </w:pPr>
    </w:p>
    <w:p w14:paraId="42A120C0" w14:textId="77777777" w:rsidR="00BB68E1" w:rsidRDefault="00BB68E1">
      <w:pPr>
        <w:rPr>
          <w:rFonts w:ascii="Times New Roman" w:hAnsi="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BB68E1" w14:paraId="42A120C2" w14:textId="77777777">
        <w:tc>
          <w:tcPr>
            <w:tcW w:w="0" w:type="auto"/>
            <w:gridSpan w:val="2"/>
            <w:shd w:val="clear" w:color="auto" w:fill="auto"/>
            <w:vAlign w:val="center"/>
          </w:tcPr>
          <w:p w14:paraId="42A120C1" w14:textId="77777777" w:rsidR="00BB68E1" w:rsidRDefault="00BB68E1">
            <w:pPr>
              <w:rPr>
                <w:rFonts w:ascii="Times New Roman" w:hAnsi="Times New Roman"/>
                <w:sz w:val="20"/>
                <w:szCs w:val="20"/>
              </w:rPr>
            </w:pPr>
          </w:p>
        </w:tc>
      </w:tr>
      <w:tr w:rsidR="00BB68E1" w14:paraId="42A120C5" w14:textId="77777777">
        <w:tc>
          <w:tcPr>
            <w:tcW w:w="550" w:type="pct"/>
            <w:shd w:val="clear" w:color="auto" w:fill="auto"/>
            <w:vAlign w:val="center"/>
          </w:tcPr>
          <w:p w14:paraId="42A120C3" w14:textId="77777777" w:rsidR="00BB68E1" w:rsidRDefault="00BB68E1">
            <w:pPr>
              <w:rPr>
                <w:rFonts w:ascii="Times New Roman" w:hAnsi="Times New Roman"/>
                <w:sz w:val="20"/>
                <w:szCs w:val="20"/>
              </w:rPr>
            </w:pPr>
          </w:p>
        </w:tc>
        <w:tc>
          <w:tcPr>
            <w:tcW w:w="4450" w:type="pct"/>
            <w:shd w:val="clear" w:color="auto" w:fill="auto"/>
            <w:vAlign w:val="center"/>
          </w:tcPr>
          <w:p w14:paraId="42A120C4" w14:textId="77777777" w:rsidR="00BB68E1" w:rsidRDefault="00BB68E1">
            <w:pPr>
              <w:rPr>
                <w:rFonts w:ascii="Times New Roman" w:hAnsi="Times New Roman"/>
                <w:sz w:val="20"/>
                <w:szCs w:val="20"/>
              </w:rPr>
            </w:pPr>
          </w:p>
        </w:tc>
      </w:tr>
      <w:tr w:rsidR="00BB68E1" w14:paraId="42A120C8" w14:textId="77777777">
        <w:tc>
          <w:tcPr>
            <w:tcW w:w="0" w:type="auto"/>
            <w:shd w:val="clear" w:color="auto" w:fill="auto"/>
            <w:tcMar>
              <w:top w:w="40" w:type="dxa"/>
              <w:left w:w="40" w:type="dxa"/>
              <w:bottom w:w="40" w:type="dxa"/>
              <w:right w:w="40" w:type="dxa"/>
            </w:tcMar>
          </w:tcPr>
          <w:p w14:paraId="42A120C6"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8.</w:t>
            </w:r>
          </w:p>
        </w:tc>
        <w:tc>
          <w:tcPr>
            <w:tcW w:w="0" w:type="auto"/>
            <w:shd w:val="clear" w:color="auto" w:fill="auto"/>
            <w:tcMar>
              <w:top w:w="40" w:type="dxa"/>
              <w:left w:w="40" w:type="dxa"/>
              <w:bottom w:w="40" w:type="dxa"/>
              <w:right w:w="40" w:type="dxa"/>
            </w:tcMar>
          </w:tcPr>
          <w:p w14:paraId="42A120C7"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 xml:space="preserve">FINANCIAL STATEMENTS AND </w:t>
            </w:r>
            <w:r>
              <w:rPr>
                <w:rFonts w:ascii="Times New Roman" w:eastAsia="宋体" w:hAnsi="Times New Roman"/>
                <w:b/>
                <w:bCs/>
                <w:sz w:val="20"/>
                <w:szCs w:val="20"/>
                <w:u w:val="single"/>
              </w:rPr>
              <w:t>SUPPLEMENTARY DATA</w:t>
            </w:r>
          </w:p>
        </w:tc>
      </w:tr>
    </w:tbl>
    <w:p w14:paraId="42A120C9"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Consolidated Financial Statements of Walmart Inc.</w:t>
      </w:r>
    </w:p>
    <w:p w14:paraId="42A120CA"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For the Fiscal Year Ended January 31, 2020</w:t>
      </w:r>
    </w:p>
    <w:p w14:paraId="42A120CB" w14:textId="77777777" w:rsidR="00BB68E1" w:rsidRDefault="00BB68E1">
      <w:pPr>
        <w:spacing w:line="288" w:lineRule="auto"/>
        <w:jc w:val="center"/>
        <w:rPr>
          <w:rFonts w:ascii="Times New Roman" w:hAnsi="Times New Roman"/>
          <w:sz w:val="20"/>
          <w:szCs w:val="20"/>
        </w:rPr>
      </w:pPr>
    </w:p>
    <w:p w14:paraId="42A120CC" w14:textId="77777777" w:rsidR="00BB68E1" w:rsidRDefault="00BB68E1">
      <w:pPr>
        <w:spacing w:line="288" w:lineRule="auto"/>
        <w:jc w:val="center"/>
        <w:rPr>
          <w:rFonts w:ascii="Times New Roman" w:hAnsi="Times New Roman"/>
          <w:sz w:val="20"/>
          <w:szCs w:val="20"/>
        </w:rPr>
      </w:pPr>
    </w:p>
    <w:p w14:paraId="42A120CD" w14:textId="77777777" w:rsidR="00BB68E1" w:rsidRDefault="00BB68E1">
      <w:pPr>
        <w:spacing w:line="288" w:lineRule="auto"/>
        <w:jc w:val="center"/>
        <w:rPr>
          <w:rFonts w:ascii="Times New Roman" w:hAnsi="Times New Roman"/>
          <w:sz w:val="20"/>
          <w:szCs w:val="20"/>
        </w:rPr>
      </w:pPr>
    </w:p>
    <w:p w14:paraId="42A120CE"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Table of Contents</w:t>
      </w:r>
    </w:p>
    <w:p w14:paraId="42A120CF" w14:textId="77777777" w:rsidR="00BB68E1" w:rsidRDefault="00BB68E1">
      <w:pPr>
        <w:spacing w:line="288" w:lineRule="auto"/>
        <w:jc w:val="cente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6894"/>
        <w:gridCol w:w="1412"/>
      </w:tblGrid>
      <w:tr w:rsidR="00BB68E1" w14:paraId="42A120D1" w14:textId="77777777">
        <w:trPr>
          <w:jc w:val="center"/>
        </w:trPr>
        <w:tc>
          <w:tcPr>
            <w:tcW w:w="0" w:type="auto"/>
            <w:gridSpan w:val="2"/>
            <w:shd w:val="clear" w:color="auto" w:fill="auto"/>
            <w:vAlign w:val="center"/>
          </w:tcPr>
          <w:p w14:paraId="42A120D0" w14:textId="77777777" w:rsidR="00BB68E1" w:rsidRDefault="00BB68E1">
            <w:pPr>
              <w:rPr>
                <w:rFonts w:ascii="Times New Roman" w:hAnsi="Times New Roman"/>
                <w:sz w:val="20"/>
                <w:szCs w:val="20"/>
              </w:rPr>
            </w:pPr>
          </w:p>
        </w:tc>
      </w:tr>
      <w:tr w:rsidR="00BB68E1" w14:paraId="42A120D4" w14:textId="77777777">
        <w:trPr>
          <w:jc w:val="center"/>
        </w:trPr>
        <w:tc>
          <w:tcPr>
            <w:tcW w:w="4150" w:type="pct"/>
            <w:shd w:val="clear" w:color="auto" w:fill="auto"/>
            <w:vAlign w:val="center"/>
          </w:tcPr>
          <w:p w14:paraId="42A120D2" w14:textId="77777777" w:rsidR="00BB68E1" w:rsidRDefault="00BB68E1">
            <w:pPr>
              <w:rPr>
                <w:rFonts w:ascii="Times New Roman" w:hAnsi="Times New Roman"/>
                <w:sz w:val="20"/>
                <w:szCs w:val="20"/>
              </w:rPr>
            </w:pPr>
          </w:p>
        </w:tc>
        <w:tc>
          <w:tcPr>
            <w:tcW w:w="850" w:type="pct"/>
            <w:shd w:val="clear" w:color="auto" w:fill="auto"/>
            <w:vAlign w:val="center"/>
          </w:tcPr>
          <w:p w14:paraId="42A120D3" w14:textId="77777777" w:rsidR="00BB68E1" w:rsidRDefault="00BB68E1">
            <w:pPr>
              <w:rPr>
                <w:rFonts w:ascii="Times New Roman" w:hAnsi="Times New Roman"/>
                <w:sz w:val="20"/>
                <w:szCs w:val="20"/>
              </w:rPr>
            </w:pPr>
          </w:p>
        </w:tc>
      </w:tr>
      <w:tr w:rsidR="00BB68E1" w14:paraId="42A120D7" w14:textId="77777777">
        <w:trPr>
          <w:jc w:val="center"/>
        </w:trPr>
        <w:tc>
          <w:tcPr>
            <w:tcW w:w="0" w:type="auto"/>
            <w:shd w:val="clear" w:color="auto" w:fill="auto"/>
            <w:tcMar>
              <w:top w:w="40" w:type="dxa"/>
              <w:left w:w="40" w:type="dxa"/>
              <w:bottom w:w="40" w:type="dxa"/>
              <w:right w:w="40" w:type="dxa"/>
            </w:tcMar>
            <w:vAlign w:val="bottom"/>
          </w:tcPr>
          <w:p w14:paraId="42A120D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20D6" w14:textId="77777777" w:rsidR="00BB68E1" w:rsidRDefault="005D2D5E">
            <w:pPr>
              <w:jc w:val="center"/>
              <w:textAlignment w:val="bottom"/>
              <w:rPr>
                <w:rFonts w:ascii="Times New Roman" w:hAnsi="Times New Roman"/>
                <w:sz w:val="18"/>
                <w:szCs w:val="18"/>
              </w:rPr>
            </w:pPr>
            <w:r>
              <w:rPr>
                <w:rFonts w:ascii="Times New Roman" w:eastAsia="宋体" w:hAnsi="Times New Roman"/>
                <w:b/>
                <w:bCs/>
                <w:sz w:val="18"/>
                <w:szCs w:val="18"/>
              </w:rPr>
              <w:t>Page</w:t>
            </w:r>
          </w:p>
        </w:tc>
      </w:tr>
      <w:tr w:rsidR="00BB68E1" w14:paraId="42A120DA" w14:textId="77777777">
        <w:trPr>
          <w:jc w:val="center"/>
        </w:trPr>
        <w:tc>
          <w:tcPr>
            <w:tcW w:w="0" w:type="auto"/>
            <w:shd w:val="clear" w:color="auto" w:fill="CCEEFF"/>
            <w:tcMar>
              <w:top w:w="40" w:type="dxa"/>
              <w:left w:w="40" w:type="dxa"/>
              <w:bottom w:w="40" w:type="dxa"/>
              <w:right w:w="40" w:type="dxa"/>
            </w:tcMar>
            <w:vAlign w:val="bottom"/>
          </w:tcPr>
          <w:p w14:paraId="42A120D8" w14:textId="77777777" w:rsidR="00BB68E1" w:rsidRDefault="005D2D5E">
            <w:pPr>
              <w:textAlignment w:val="bottom"/>
              <w:rPr>
                <w:rFonts w:ascii="Times New Roman" w:hAnsi="Times New Roman"/>
                <w:sz w:val="20"/>
                <w:szCs w:val="20"/>
              </w:rPr>
            </w:pPr>
            <w:hyperlink r:id="rId108" w:anchor="s4AEFBBF11B245E5BA229BE2818365175" w:history="1">
              <w:r>
                <w:rPr>
                  <w:rStyle w:val="a5"/>
                  <w:rFonts w:ascii="Times New Roman" w:eastAsia="宋体" w:hAnsi="Times New Roman"/>
                  <w:color w:val="000000"/>
                  <w:sz w:val="20"/>
                  <w:szCs w:val="20"/>
                  <w:u w:val="none"/>
                </w:rPr>
                <w:t>Report of Independent Registered Public Accounting Firm</w:t>
              </w:r>
            </w:hyperlink>
          </w:p>
        </w:tc>
        <w:tc>
          <w:tcPr>
            <w:tcW w:w="0" w:type="auto"/>
            <w:tcBorders>
              <w:top w:val="single" w:sz="8" w:space="0" w:color="000000"/>
            </w:tcBorders>
            <w:shd w:val="clear" w:color="auto" w:fill="CCEEFF"/>
            <w:tcMar>
              <w:top w:w="40" w:type="dxa"/>
              <w:left w:w="40" w:type="dxa"/>
              <w:bottom w:w="40" w:type="dxa"/>
              <w:right w:w="40" w:type="dxa"/>
            </w:tcMar>
            <w:vAlign w:val="bottom"/>
          </w:tcPr>
          <w:p w14:paraId="42A120D9" w14:textId="77777777" w:rsidR="00BB68E1" w:rsidRDefault="005D2D5E">
            <w:pPr>
              <w:jc w:val="center"/>
              <w:textAlignment w:val="bottom"/>
              <w:rPr>
                <w:rFonts w:ascii="Times New Roman" w:hAnsi="Times New Roman"/>
                <w:sz w:val="20"/>
                <w:szCs w:val="20"/>
              </w:rPr>
            </w:pPr>
            <w:hyperlink r:id="rId109" w:anchor="s4AEFBBF11B245E5BA229BE2818365175" w:history="1">
              <w:r>
                <w:rPr>
                  <w:rStyle w:val="a5"/>
                  <w:rFonts w:ascii="Times New Roman" w:eastAsia="宋体" w:hAnsi="Times New Roman"/>
                  <w:color w:val="000000"/>
                  <w:sz w:val="20"/>
                  <w:szCs w:val="20"/>
                  <w:u w:val="none"/>
                </w:rPr>
                <w:t>47</w:t>
              </w:r>
            </w:hyperlink>
          </w:p>
        </w:tc>
      </w:tr>
      <w:tr w:rsidR="00BB68E1" w14:paraId="42A120DD" w14:textId="77777777">
        <w:trPr>
          <w:jc w:val="center"/>
        </w:trPr>
        <w:tc>
          <w:tcPr>
            <w:tcW w:w="0" w:type="auto"/>
            <w:shd w:val="clear" w:color="auto" w:fill="auto"/>
            <w:tcMar>
              <w:top w:w="40" w:type="dxa"/>
              <w:left w:w="40" w:type="dxa"/>
              <w:bottom w:w="40" w:type="dxa"/>
              <w:right w:w="40" w:type="dxa"/>
            </w:tcMar>
            <w:vAlign w:val="bottom"/>
          </w:tcPr>
          <w:p w14:paraId="42A120DB" w14:textId="77777777" w:rsidR="00BB68E1" w:rsidRDefault="005D2D5E">
            <w:pPr>
              <w:textAlignment w:val="bottom"/>
              <w:rPr>
                <w:rFonts w:ascii="Times New Roman" w:hAnsi="Times New Roman"/>
                <w:sz w:val="20"/>
                <w:szCs w:val="20"/>
              </w:rPr>
            </w:pPr>
            <w:hyperlink r:id="rId110" w:anchor="s57407E5B61B2541AA68D0261A526092F" w:history="1">
              <w:r>
                <w:rPr>
                  <w:rStyle w:val="a5"/>
                  <w:rFonts w:ascii="Times New Roman" w:eastAsia="宋体" w:hAnsi="Times New Roman"/>
                  <w:color w:val="000000"/>
                  <w:sz w:val="20"/>
                  <w:szCs w:val="20"/>
                  <w:u w:val="none"/>
                </w:rPr>
                <w:t>Report of Independent Registered Public Accounting Firm on Internal Control over Financial Reporting</w:t>
              </w:r>
            </w:hyperlink>
          </w:p>
        </w:tc>
        <w:tc>
          <w:tcPr>
            <w:tcW w:w="0" w:type="auto"/>
            <w:shd w:val="clear" w:color="auto" w:fill="auto"/>
            <w:tcMar>
              <w:top w:w="40" w:type="dxa"/>
              <w:left w:w="40" w:type="dxa"/>
              <w:bottom w:w="40" w:type="dxa"/>
              <w:right w:w="40" w:type="dxa"/>
            </w:tcMar>
            <w:vAlign w:val="bottom"/>
          </w:tcPr>
          <w:p w14:paraId="42A120DC" w14:textId="77777777" w:rsidR="00BB68E1" w:rsidRDefault="005D2D5E">
            <w:pPr>
              <w:jc w:val="center"/>
              <w:textAlignment w:val="bottom"/>
              <w:rPr>
                <w:rFonts w:ascii="Times New Roman" w:hAnsi="Times New Roman"/>
                <w:sz w:val="20"/>
                <w:szCs w:val="20"/>
              </w:rPr>
            </w:pPr>
            <w:hyperlink r:id="rId111" w:anchor="s57407E5B61B2541AA68D0261A526092F" w:history="1">
              <w:r>
                <w:rPr>
                  <w:rStyle w:val="a5"/>
                  <w:rFonts w:ascii="Times New Roman" w:eastAsia="宋体" w:hAnsi="Times New Roman"/>
                  <w:color w:val="000000"/>
                  <w:sz w:val="20"/>
                  <w:szCs w:val="20"/>
                  <w:u w:val="none"/>
                </w:rPr>
                <w:t>49</w:t>
              </w:r>
            </w:hyperlink>
          </w:p>
        </w:tc>
      </w:tr>
      <w:tr w:rsidR="00BB68E1" w14:paraId="42A120E0" w14:textId="77777777">
        <w:trPr>
          <w:jc w:val="center"/>
        </w:trPr>
        <w:tc>
          <w:tcPr>
            <w:tcW w:w="0" w:type="auto"/>
            <w:shd w:val="clear" w:color="auto" w:fill="CCEEFF"/>
            <w:tcMar>
              <w:top w:w="40" w:type="dxa"/>
              <w:left w:w="40" w:type="dxa"/>
              <w:bottom w:w="40" w:type="dxa"/>
              <w:right w:w="40" w:type="dxa"/>
            </w:tcMar>
            <w:vAlign w:val="bottom"/>
          </w:tcPr>
          <w:p w14:paraId="42A120DE" w14:textId="77777777" w:rsidR="00BB68E1" w:rsidRDefault="005D2D5E">
            <w:pPr>
              <w:textAlignment w:val="bottom"/>
              <w:rPr>
                <w:rFonts w:ascii="Times New Roman" w:hAnsi="Times New Roman"/>
                <w:sz w:val="20"/>
                <w:szCs w:val="20"/>
              </w:rPr>
            </w:pPr>
            <w:hyperlink r:id="rId112" w:anchor="s51D75A291C625B1CADEC7B12E891FB90" w:history="1">
              <w:r>
                <w:rPr>
                  <w:rStyle w:val="a5"/>
                  <w:rFonts w:ascii="Times New Roman" w:eastAsia="宋体" w:hAnsi="Times New Roman"/>
                  <w:color w:val="000000"/>
                  <w:sz w:val="20"/>
                  <w:szCs w:val="20"/>
                  <w:u w:val="none"/>
                </w:rPr>
                <w:t>Consolidated Statements of Income</w:t>
              </w:r>
            </w:hyperlink>
          </w:p>
        </w:tc>
        <w:tc>
          <w:tcPr>
            <w:tcW w:w="0" w:type="auto"/>
            <w:shd w:val="clear" w:color="auto" w:fill="CCEEFF"/>
            <w:tcMar>
              <w:top w:w="40" w:type="dxa"/>
              <w:left w:w="40" w:type="dxa"/>
              <w:bottom w:w="40" w:type="dxa"/>
              <w:right w:w="40" w:type="dxa"/>
            </w:tcMar>
            <w:vAlign w:val="bottom"/>
          </w:tcPr>
          <w:p w14:paraId="42A120DF" w14:textId="77777777" w:rsidR="00BB68E1" w:rsidRDefault="005D2D5E">
            <w:pPr>
              <w:jc w:val="center"/>
              <w:textAlignment w:val="bottom"/>
              <w:rPr>
                <w:rFonts w:ascii="Times New Roman" w:hAnsi="Times New Roman"/>
                <w:sz w:val="20"/>
                <w:szCs w:val="20"/>
              </w:rPr>
            </w:pPr>
            <w:hyperlink r:id="rId113" w:anchor="s51D75A291C625B1CADEC7B12E891FB90" w:history="1">
              <w:r>
                <w:rPr>
                  <w:rStyle w:val="a5"/>
                  <w:rFonts w:ascii="Times New Roman" w:eastAsia="宋体" w:hAnsi="Times New Roman"/>
                  <w:color w:val="000000"/>
                  <w:sz w:val="20"/>
                  <w:szCs w:val="20"/>
                  <w:u w:val="none"/>
                </w:rPr>
                <w:t>50</w:t>
              </w:r>
            </w:hyperlink>
          </w:p>
        </w:tc>
      </w:tr>
      <w:tr w:rsidR="00BB68E1" w14:paraId="42A120E3" w14:textId="77777777">
        <w:trPr>
          <w:jc w:val="center"/>
        </w:trPr>
        <w:tc>
          <w:tcPr>
            <w:tcW w:w="0" w:type="auto"/>
            <w:shd w:val="clear" w:color="auto" w:fill="auto"/>
            <w:tcMar>
              <w:top w:w="40" w:type="dxa"/>
              <w:left w:w="40" w:type="dxa"/>
              <w:bottom w:w="40" w:type="dxa"/>
              <w:right w:w="40" w:type="dxa"/>
            </w:tcMar>
            <w:vAlign w:val="bottom"/>
          </w:tcPr>
          <w:p w14:paraId="42A120E1" w14:textId="77777777" w:rsidR="00BB68E1" w:rsidRDefault="005D2D5E">
            <w:pPr>
              <w:textAlignment w:val="bottom"/>
              <w:rPr>
                <w:rFonts w:ascii="Times New Roman" w:hAnsi="Times New Roman"/>
                <w:sz w:val="20"/>
                <w:szCs w:val="20"/>
              </w:rPr>
            </w:pPr>
            <w:hyperlink r:id="rId114" w:anchor="s3D26B653660A50DB9BADF7283FE18BBB" w:history="1">
              <w:r>
                <w:rPr>
                  <w:rStyle w:val="a5"/>
                  <w:rFonts w:ascii="Times New Roman" w:eastAsia="宋体" w:hAnsi="Times New Roman"/>
                  <w:color w:val="000000"/>
                  <w:sz w:val="20"/>
                  <w:szCs w:val="20"/>
                  <w:u w:val="none"/>
                </w:rPr>
                <w:t>Consol</w:t>
              </w:r>
              <w:r>
                <w:rPr>
                  <w:rStyle w:val="a5"/>
                  <w:rFonts w:ascii="Times New Roman" w:eastAsia="宋体" w:hAnsi="Times New Roman"/>
                  <w:color w:val="000000"/>
                  <w:sz w:val="20"/>
                  <w:szCs w:val="20"/>
                  <w:u w:val="none"/>
                </w:rPr>
                <w:t>idated Statements of Comprehensive Income</w:t>
              </w:r>
            </w:hyperlink>
          </w:p>
        </w:tc>
        <w:tc>
          <w:tcPr>
            <w:tcW w:w="0" w:type="auto"/>
            <w:shd w:val="clear" w:color="auto" w:fill="auto"/>
            <w:tcMar>
              <w:top w:w="40" w:type="dxa"/>
              <w:left w:w="40" w:type="dxa"/>
              <w:bottom w:w="40" w:type="dxa"/>
              <w:right w:w="40" w:type="dxa"/>
            </w:tcMar>
            <w:vAlign w:val="bottom"/>
          </w:tcPr>
          <w:p w14:paraId="42A120E2" w14:textId="77777777" w:rsidR="00BB68E1" w:rsidRDefault="005D2D5E">
            <w:pPr>
              <w:jc w:val="center"/>
              <w:textAlignment w:val="bottom"/>
              <w:rPr>
                <w:rFonts w:ascii="Times New Roman" w:hAnsi="Times New Roman"/>
                <w:sz w:val="20"/>
                <w:szCs w:val="20"/>
              </w:rPr>
            </w:pPr>
            <w:hyperlink r:id="rId115" w:anchor="s3D26B653660A50DB9BADF7283FE18BBB" w:history="1">
              <w:r>
                <w:rPr>
                  <w:rStyle w:val="a5"/>
                  <w:rFonts w:ascii="Times New Roman" w:eastAsia="宋体" w:hAnsi="Times New Roman"/>
                  <w:color w:val="000000"/>
                  <w:sz w:val="20"/>
                  <w:szCs w:val="20"/>
                  <w:u w:val="none"/>
                </w:rPr>
                <w:t>51</w:t>
              </w:r>
            </w:hyperlink>
          </w:p>
        </w:tc>
      </w:tr>
      <w:tr w:rsidR="00BB68E1" w14:paraId="42A120E6" w14:textId="77777777">
        <w:trPr>
          <w:jc w:val="center"/>
        </w:trPr>
        <w:tc>
          <w:tcPr>
            <w:tcW w:w="0" w:type="auto"/>
            <w:shd w:val="clear" w:color="auto" w:fill="CCEEFF"/>
            <w:tcMar>
              <w:top w:w="40" w:type="dxa"/>
              <w:left w:w="40" w:type="dxa"/>
              <w:bottom w:w="40" w:type="dxa"/>
              <w:right w:w="40" w:type="dxa"/>
            </w:tcMar>
            <w:vAlign w:val="bottom"/>
          </w:tcPr>
          <w:p w14:paraId="42A120E4" w14:textId="77777777" w:rsidR="00BB68E1" w:rsidRDefault="005D2D5E">
            <w:pPr>
              <w:textAlignment w:val="bottom"/>
              <w:rPr>
                <w:rFonts w:ascii="Times New Roman" w:hAnsi="Times New Roman"/>
                <w:sz w:val="20"/>
                <w:szCs w:val="20"/>
              </w:rPr>
            </w:pPr>
            <w:hyperlink r:id="rId116" w:anchor="sAC160A6F2C825A5A95520B8B78DFED5D" w:history="1">
              <w:r>
                <w:rPr>
                  <w:rStyle w:val="a5"/>
                  <w:rFonts w:ascii="Times New Roman" w:eastAsia="宋体" w:hAnsi="Times New Roman"/>
                  <w:color w:val="000000"/>
                  <w:sz w:val="20"/>
                  <w:szCs w:val="20"/>
                  <w:u w:val="none"/>
                </w:rPr>
                <w:t>Consolidated Balance Sheets</w:t>
              </w:r>
            </w:hyperlink>
          </w:p>
        </w:tc>
        <w:tc>
          <w:tcPr>
            <w:tcW w:w="0" w:type="auto"/>
            <w:shd w:val="clear" w:color="auto" w:fill="CCEEFF"/>
            <w:tcMar>
              <w:top w:w="40" w:type="dxa"/>
              <w:left w:w="40" w:type="dxa"/>
              <w:bottom w:w="40" w:type="dxa"/>
              <w:right w:w="40" w:type="dxa"/>
            </w:tcMar>
            <w:vAlign w:val="bottom"/>
          </w:tcPr>
          <w:p w14:paraId="42A120E5" w14:textId="77777777" w:rsidR="00BB68E1" w:rsidRDefault="005D2D5E">
            <w:pPr>
              <w:jc w:val="center"/>
              <w:textAlignment w:val="bottom"/>
              <w:rPr>
                <w:rFonts w:ascii="Times New Roman" w:hAnsi="Times New Roman"/>
                <w:sz w:val="20"/>
                <w:szCs w:val="20"/>
              </w:rPr>
            </w:pPr>
            <w:hyperlink r:id="rId117" w:anchor="sAC160A6F2C825A5A95520B8B78DFED5D" w:history="1">
              <w:r>
                <w:rPr>
                  <w:rStyle w:val="a5"/>
                  <w:rFonts w:ascii="Times New Roman" w:eastAsia="宋体" w:hAnsi="Times New Roman"/>
                  <w:color w:val="000000"/>
                  <w:sz w:val="20"/>
                  <w:szCs w:val="20"/>
                  <w:u w:val="none"/>
                </w:rPr>
                <w:t>52</w:t>
              </w:r>
            </w:hyperlink>
          </w:p>
        </w:tc>
      </w:tr>
      <w:tr w:rsidR="00BB68E1" w14:paraId="42A120E9" w14:textId="77777777">
        <w:trPr>
          <w:jc w:val="center"/>
        </w:trPr>
        <w:tc>
          <w:tcPr>
            <w:tcW w:w="0" w:type="auto"/>
            <w:shd w:val="clear" w:color="auto" w:fill="auto"/>
            <w:tcMar>
              <w:top w:w="40" w:type="dxa"/>
              <w:left w:w="40" w:type="dxa"/>
              <w:bottom w:w="40" w:type="dxa"/>
              <w:right w:w="40" w:type="dxa"/>
            </w:tcMar>
            <w:vAlign w:val="bottom"/>
          </w:tcPr>
          <w:p w14:paraId="42A120E7" w14:textId="77777777" w:rsidR="00BB68E1" w:rsidRDefault="005D2D5E">
            <w:pPr>
              <w:textAlignment w:val="bottom"/>
              <w:rPr>
                <w:rFonts w:ascii="Times New Roman" w:hAnsi="Times New Roman"/>
                <w:sz w:val="20"/>
                <w:szCs w:val="20"/>
              </w:rPr>
            </w:pPr>
            <w:hyperlink r:id="rId118" w:anchor="sB59A7864434C5579BB40C49FB62D7C60" w:history="1">
              <w:r>
                <w:rPr>
                  <w:rStyle w:val="a5"/>
                  <w:rFonts w:ascii="Times New Roman" w:eastAsia="宋体" w:hAnsi="Times New Roman"/>
                  <w:color w:val="000000"/>
                  <w:sz w:val="20"/>
                  <w:szCs w:val="20"/>
                  <w:u w:val="none"/>
                </w:rPr>
                <w:t>Consolidated Statements of Shareholders' Equity</w:t>
              </w:r>
            </w:hyperlink>
          </w:p>
        </w:tc>
        <w:tc>
          <w:tcPr>
            <w:tcW w:w="0" w:type="auto"/>
            <w:shd w:val="clear" w:color="auto" w:fill="auto"/>
            <w:tcMar>
              <w:top w:w="40" w:type="dxa"/>
              <w:left w:w="40" w:type="dxa"/>
              <w:bottom w:w="40" w:type="dxa"/>
              <w:right w:w="40" w:type="dxa"/>
            </w:tcMar>
            <w:vAlign w:val="bottom"/>
          </w:tcPr>
          <w:p w14:paraId="42A120E8" w14:textId="77777777" w:rsidR="00BB68E1" w:rsidRDefault="005D2D5E">
            <w:pPr>
              <w:jc w:val="center"/>
              <w:textAlignment w:val="bottom"/>
              <w:rPr>
                <w:rFonts w:ascii="Times New Roman" w:hAnsi="Times New Roman"/>
                <w:sz w:val="20"/>
                <w:szCs w:val="20"/>
              </w:rPr>
            </w:pPr>
            <w:hyperlink r:id="rId119" w:anchor="sB59A7864434C5579BB40C49FB62D7C60" w:history="1">
              <w:r>
                <w:rPr>
                  <w:rStyle w:val="a5"/>
                  <w:rFonts w:ascii="Times New Roman" w:eastAsia="宋体" w:hAnsi="Times New Roman"/>
                  <w:color w:val="000000"/>
                  <w:sz w:val="20"/>
                  <w:szCs w:val="20"/>
                  <w:u w:val="none"/>
                </w:rPr>
                <w:t>53</w:t>
              </w:r>
            </w:hyperlink>
          </w:p>
        </w:tc>
      </w:tr>
      <w:tr w:rsidR="00BB68E1" w14:paraId="42A120EC" w14:textId="77777777">
        <w:trPr>
          <w:jc w:val="center"/>
        </w:trPr>
        <w:tc>
          <w:tcPr>
            <w:tcW w:w="0" w:type="auto"/>
            <w:shd w:val="clear" w:color="auto" w:fill="CCEEFF"/>
            <w:tcMar>
              <w:top w:w="40" w:type="dxa"/>
              <w:left w:w="40" w:type="dxa"/>
              <w:bottom w:w="40" w:type="dxa"/>
              <w:right w:w="40" w:type="dxa"/>
            </w:tcMar>
            <w:vAlign w:val="bottom"/>
          </w:tcPr>
          <w:p w14:paraId="42A120EA" w14:textId="77777777" w:rsidR="00BB68E1" w:rsidRDefault="005D2D5E">
            <w:pPr>
              <w:textAlignment w:val="bottom"/>
              <w:rPr>
                <w:rFonts w:ascii="Times New Roman" w:hAnsi="Times New Roman"/>
                <w:sz w:val="20"/>
                <w:szCs w:val="20"/>
              </w:rPr>
            </w:pPr>
            <w:hyperlink r:id="rId120" w:anchor="s830BEBEFB8905718B932FF045B3DAB94" w:history="1">
              <w:r>
                <w:rPr>
                  <w:rStyle w:val="a5"/>
                  <w:rFonts w:ascii="Times New Roman" w:eastAsia="宋体" w:hAnsi="Times New Roman"/>
                  <w:color w:val="000000"/>
                  <w:sz w:val="20"/>
                  <w:szCs w:val="20"/>
                  <w:u w:val="none"/>
                </w:rPr>
                <w:t>Consolidated Statements of Cash Flows</w:t>
              </w:r>
            </w:hyperlink>
          </w:p>
        </w:tc>
        <w:tc>
          <w:tcPr>
            <w:tcW w:w="0" w:type="auto"/>
            <w:shd w:val="clear" w:color="auto" w:fill="CCEEFF"/>
            <w:tcMar>
              <w:top w:w="40" w:type="dxa"/>
              <w:left w:w="40" w:type="dxa"/>
              <w:bottom w:w="40" w:type="dxa"/>
              <w:right w:w="40" w:type="dxa"/>
            </w:tcMar>
            <w:vAlign w:val="bottom"/>
          </w:tcPr>
          <w:p w14:paraId="42A120EB" w14:textId="77777777" w:rsidR="00BB68E1" w:rsidRDefault="005D2D5E">
            <w:pPr>
              <w:jc w:val="center"/>
              <w:textAlignment w:val="bottom"/>
              <w:rPr>
                <w:rFonts w:ascii="Times New Roman" w:hAnsi="Times New Roman"/>
                <w:sz w:val="20"/>
                <w:szCs w:val="20"/>
              </w:rPr>
            </w:pPr>
            <w:hyperlink r:id="rId121" w:anchor="s830BEBEFB8905718B932FF045B3DAB94" w:history="1">
              <w:r>
                <w:rPr>
                  <w:rStyle w:val="a5"/>
                  <w:rFonts w:ascii="Times New Roman" w:eastAsia="宋体" w:hAnsi="Times New Roman"/>
                  <w:color w:val="000000"/>
                  <w:sz w:val="20"/>
                  <w:szCs w:val="20"/>
                  <w:u w:val="none"/>
                </w:rPr>
                <w:t>54</w:t>
              </w:r>
            </w:hyperlink>
          </w:p>
        </w:tc>
      </w:tr>
      <w:tr w:rsidR="00BB68E1" w14:paraId="42A120EF" w14:textId="77777777">
        <w:trPr>
          <w:jc w:val="center"/>
        </w:trPr>
        <w:tc>
          <w:tcPr>
            <w:tcW w:w="0" w:type="auto"/>
            <w:shd w:val="clear" w:color="auto" w:fill="auto"/>
            <w:tcMar>
              <w:top w:w="40" w:type="dxa"/>
              <w:left w:w="40" w:type="dxa"/>
              <w:bottom w:w="40" w:type="dxa"/>
              <w:right w:w="40" w:type="dxa"/>
            </w:tcMar>
            <w:vAlign w:val="bottom"/>
          </w:tcPr>
          <w:p w14:paraId="42A120ED" w14:textId="77777777" w:rsidR="00BB68E1" w:rsidRDefault="005D2D5E">
            <w:pPr>
              <w:textAlignment w:val="bottom"/>
              <w:rPr>
                <w:rFonts w:ascii="Times New Roman" w:hAnsi="Times New Roman"/>
                <w:sz w:val="20"/>
                <w:szCs w:val="20"/>
              </w:rPr>
            </w:pPr>
            <w:hyperlink r:id="rId122" w:anchor="sA5E98BE962E35B089A50138DA2F89B85" w:history="1">
              <w:r>
                <w:rPr>
                  <w:rStyle w:val="a5"/>
                  <w:rFonts w:ascii="Times New Roman" w:eastAsia="宋体" w:hAnsi="Times New Roman"/>
                  <w:color w:val="000000"/>
                  <w:sz w:val="20"/>
                  <w:szCs w:val="20"/>
                  <w:u w:val="none"/>
                </w:rPr>
                <w:t>Notes to Consolidated Financial Statements</w:t>
              </w:r>
            </w:hyperlink>
          </w:p>
        </w:tc>
        <w:tc>
          <w:tcPr>
            <w:tcW w:w="0" w:type="auto"/>
            <w:shd w:val="clear" w:color="auto" w:fill="auto"/>
            <w:tcMar>
              <w:top w:w="40" w:type="dxa"/>
              <w:left w:w="40" w:type="dxa"/>
              <w:bottom w:w="40" w:type="dxa"/>
              <w:right w:w="40" w:type="dxa"/>
            </w:tcMar>
            <w:vAlign w:val="bottom"/>
          </w:tcPr>
          <w:p w14:paraId="42A120EE" w14:textId="77777777" w:rsidR="00BB68E1" w:rsidRDefault="005D2D5E">
            <w:pPr>
              <w:jc w:val="center"/>
              <w:textAlignment w:val="bottom"/>
              <w:rPr>
                <w:rFonts w:ascii="Times New Roman" w:hAnsi="Times New Roman"/>
                <w:sz w:val="20"/>
                <w:szCs w:val="20"/>
              </w:rPr>
            </w:pPr>
            <w:hyperlink r:id="rId123" w:anchor="sA5E98BE962E35B089A50138DA2F89B85" w:history="1">
              <w:r>
                <w:rPr>
                  <w:rStyle w:val="a5"/>
                  <w:rFonts w:ascii="Times New Roman" w:eastAsia="宋体" w:hAnsi="Times New Roman"/>
                  <w:color w:val="000000"/>
                  <w:sz w:val="20"/>
                  <w:szCs w:val="20"/>
                  <w:u w:val="none"/>
                </w:rPr>
                <w:t>55</w:t>
              </w:r>
            </w:hyperlink>
          </w:p>
        </w:tc>
      </w:tr>
    </w:tbl>
    <w:p w14:paraId="42A120F0" w14:textId="77777777" w:rsidR="00BB68E1" w:rsidRDefault="00BB68E1">
      <w:pPr>
        <w:spacing w:line="288" w:lineRule="auto"/>
        <w:rPr>
          <w:rFonts w:ascii="Times New Roman" w:hAnsi="Times New Roman"/>
          <w:sz w:val="20"/>
          <w:szCs w:val="20"/>
        </w:rPr>
      </w:pPr>
    </w:p>
    <w:p w14:paraId="42A120F1" w14:textId="77777777" w:rsidR="00BB68E1" w:rsidRDefault="00BB68E1">
      <w:pPr>
        <w:rPr>
          <w:rFonts w:ascii="Times New Roman" w:hAnsi="Times New Roman"/>
          <w:sz w:val="20"/>
          <w:szCs w:val="20"/>
        </w:rPr>
      </w:pPr>
    </w:p>
    <w:p w14:paraId="42A120F2"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46</w:t>
      </w:r>
    </w:p>
    <w:p w14:paraId="42A120F3" w14:textId="77777777" w:rsidR="00BB68E1" w:rsidRDefault="00BB68E1">
      <w:pPr>
        <w:spacing w:line="288" w:lineRule="auto"/>
        <w:jc w:val="center"/>
        <w:rPr>
          <w:rFonts w:ascii="Times New Roman" w:hAnsi="Times New Roman"/>
          <w:sz w:val="20"/>
          <w:szCs w:val="20"/>
        </w:rPr>
      </w:pPr>
    </w:p>
    <w:p w14:paraId="42A120F4" w14:textId="77777777" w:rsidR="00BB68E1" w:rsidRDefault="005D2D5E">
      <w:r>
        <w:rPr>
          <w:rFonts w:ascii="Times New Roman" w:hAnsi="Times New Roman"/>
          <w:sz w:val="20"/>
          <w:szCs w:val="20"/>
        </w:rPr>
        <w:pict w14:anchorId="42A142A5">
          <v:rect id="_x0000_i1070" style="width:415.3pt;height:1.5pt" o:hralign="center" o:hrstd="t" o:hr="t" fillcolor="#a0a0a0" stroked="f"/>
        </w:pict>
      </w:r>
    </w:p>
    <w:p w14:paraId="42A120F5" w14:textId="77777777" w:rsidR="00BB68E1" w:rsidRDefault="00BB68E1">
      <w:pPr>
        <w:spacing w:line="288" w:lineRule="auto"/>
        <w:rPr>
          <w:rFonts w:ascii="Times New Roman" w:hAnsi="Times New Roman"/>
          <w:sz w:val="20"/>
          <w:szCs w:val="20"/>
        </w:rPr>
      </w:pPr>
    </w:p>
    <w:p w14:paraId="42A120F6" w14:textId="77777777" w:rsidR="00BB68E1" w:rsidRDefault="00BB68E1">
      <w:pPr>
        <w:rPr>
          <w:rFonts w:ascii="Times New Roman" w:hAnsi="Times New Roman"/>
          <w:sz w:val="20"/>
          <w:szCs w:val="20"/>
        </w:rPr>
      </w:pPr>
    </w:p>
    <w:p w14:paraId="42A120F7"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Report of Independent Registered Public Accounting Firm</w:t>
      </w:r>
    </w:p>
    <w:p w14:paraId="42A120F8" w14:textId="77777777" w:rsidR="00BB68E1" w:rsidRDefault="00BB68E1">
      <w:pPr>
        <w:spacing w:line="288" w:lineRule="auto"/>
        <w:rPr>
          <w:rFonts w:ascii="Times New Roman" w:hAnsi="Times New Roman"/>
          <w:sz w:val="20"/>
          <w:szCs w:val="20"/>
        </w:rPr>
      </w:pPr>
    </w:p>
    <w:p w14:paraId="42A120F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To the Shareholders and the Board of Directors of Walmart Inc.</w:t>
      </w:r>
    </w:p>
    <w:p w14:paraId="42A120FA" w14:textId="77777777" w:rsidR="00BB68E1" w:rsidRDefault="00BB68E1">
      <w:pPr>
        <w:spacing w:line="288" w:lineRule="auto"/>
        <w:rPr>
          <w:rFonts w:ascii="Times New Roman" w:hAnsi="Times New Roman"/>
          <w:sz w:val="20"/>
          <w:szCs w:val="20"/>
        </w:rPr>
      </w:pPr>
    </w:p>
    <w:p w14:paraId="42A120FB"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 xml:space="preserve">Opinion on the Financial Statements </w:t>
      </w:r>
    </w:p>
    <w:p w14:paraId="42A120FC" w14:textId="77777777" w:rsidR="00BB68E1" w:rsidRDefault="00BB68E1">
      <w:pPr>
        <w:spacing w:line="288" w:lineRule="auto"/>
        <w:jc w:val="both"/>
        <w:rPr>
          <w:rFonts w:ascii="Times New Roman" w:hAnsi="Times New Roman"/>
          <w:sz w:val="20"/>
          <w:szCs w:val="20"/>
        </w:rPr>
      </w:pPr>
    </w:p>
    <w:p w14:paraId="42A120F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We have audited the accompanying consolidated balance sheets of Walmart Inc. (the Company) as of January 31, 2020 and 2019, the related consolidated statements of income, comprehensive income, shareholders' equity and </w:t>
      </w:r>
      <w:r>
        <w:rPr>
          <w:rFonts w:ascii="Times New Roman" w:eastAsia="宋体" w:hAnsi="Times New Roman"/>
          <w:sz w:val="20"/>
          <w:szCs w:val="20"/>
        </w:rPr>
        <w:t xml:space="preserve">cash flows for each of the three years in the period ended January 31, 2020, and the related notes (collectively referred to as the "Consolidated Financial Statements"). In our opinion, the Consolidated Financial Statements present fairly, in all material </w:t>
      </w:r>
      <w:r>
        <w:rPr>
          <w:rFonts w:ascii="Times New Roman" w:eastAsia="宋体" w:hAnsi="Times New Roman"/>
          <w:sz w:val="20"/>
          <w:szCs w:val="20"/>
        </w:rPr>
        <w:t>respects, the financial position of the Company at January 31, 2020 and 2019, and the results of its operations and its cash flows for each of the three years in the period ended January 31, 2020, in conformity with U.S. generally accepted accounting princ</w:t>
      </w:r>
      <w:r>
        <w:rPr>
          <w:rFonts w:ascii="Times New Roman" w:eastAsia="宋体" w:hAnsi="Times New Roman"/>
          <w:sz w:val="20"/>
          <w:szCs w:val="20"/>
        </w:rPr>
        <w:t>iples.</w:t>
      </w:r>
    </w:p>
    <w:p w14:paraId="42A120FE" w14:textId="77777777" w:rsidR="00BB68E1" w:rsidRDefault="00BB68E1">
      <w:pPr>
        <w:spacing w:line="288" w:lineRule="auto"/>
        <w:jc w:val="both"/>
        <w:rPr>
          <w:rFonts w:ascii="Times New Roman" w:hAnsi="Times New Roman"/>
          <w:sz w:val="20"/>
          <w:szCs w:val="20"/>
        </w:rPr>
      </w:pPr>
    </w:p>
    <w:p w14:paraId="42A120F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also have audited, in accordance with the standards of the Public Company Accounting Oversight Board (United States) (PCAOB), the Company's internal control over financial reporting as of January 31, 2020, based on criteria established in Intern</w:t>
      </w:r>
      <w:r>
        <w:rPr>
          <w:rFonts w:ascii="Times New Roman" w:eastAsia="宋体" w:hAnsi="Times New Roman"/>
          <w:sz w:val="20"/>
          <w:szCs w:val="20"/>
        </w:rPr>
        <w:t>al Control-Integrated Framework issued by the Committee of Sponsoring Organizations of the Treadway Commission (2013 framework) and our report dated March 20, 2020 expressed an unqualified opinion thereon.</w:t>
      </w:r>
    </w:p>
    <w:p w14:paraId="42A12100" w14:textId="77777777" w:rsidR="00BB68E1" w:rsidRDefault="00BB68E1">
      <w:pPr>
        <w:spacing w:line="288" w:lineRule="auto"/>
        <w:rPr>
          <w:rFonts w:ascii="Times New Roman" w:hAnsi="Times New Roman"/>
          <w:sz w:val="20"/>
          <w:szCs w:val="20"/>
        </w:rPr>
      </w:pPr>
    </w:p>
    <w:p w14:paraId="42A12101"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Adoption of ASU No. 2016-02</w:t>
      </w:r>
    </w:p>
    <w:p w14:paraId="42A12102" w14:textId="77777777" w:rsidR="00BB68E1" w:rsidRDefault="00BB68E1">
      <w:pPr>
        <w:spacing w:line="288" w:lineRule="auto"/>
        <w:jc w:val="both"/>
        <w:rPr>
          <w:rFonts w:ascii="Times New Roman" w:hAnsi="Times New Roman"/>
          <w:sz w:val="20"/>
          <w:szCs w:val="20"/>
        </w:rPr>
      </w:pPr>
    </w:p>
    <w:p w14:paraId="42A12103" w14:textId="77777777" w:rsidR="00BB68E1" w:rsidRDefault="005D2D5E">
      <w:pPr>
        <w:spacing w:line="288" w:lineRule="auto"/>
        <w:jc w:val="both"/>
        <w:rPr>
          <w:rFonts w:ascii="Times New Roman" w:hAnsi="Times New Roman"/>
          <w:sz w:val="20"/>
          <w:szCs w:val="20"/>
        </w:rPr>
      </w:pPr>
      <w:r>
        <w:rPr>
          <w:rFonts w:ascii="Times New Roman" w:eastAsia="宋体" w:hAnsi="Times New Roman"/>
          <w:sz w:val="20"/>
          <w:szCs w:val="20"/>
        </w:rPr>
        <w:t>As discussed in Note</w:t>
      </w:r>
      <w:r>
        <w:rPr>
          <w:rFonts w:ascii="Times New Roman" w:eastAsia="宋体" w:hAnsi="Times New Roman"/>
          <w:sz w:val="20"/>
          <w:szCs w:val="20"/>
        </w:rPr>
        <w:t xml:space="preserve"> 1 to the Consolidated Financial Statements, the Company changed its method of accounting for leases effective February 1, 2019, due to the adoption of Accounting Standards Update (“ASU”) No. 2016-02, </w:t>
      </w:r>
      <w:r>
        <w:rPr>
          <w:rFonts w:ascii="Times New Roman" w:eastAsia="宋体" w:hAnsi="Times New Roman"/>
          <w:i/>
          <w:iCs/>
          <w:sz w:val="20"/>
          <w:szCs w:val="20"/>
        </w:rPr>
        <w:t>Leases</w:t>
      </w:r>
      <w:r>
        <w:rPr>
          <w:rFonts w:ascii="Times New Roman" w:eastAsia="宋体" w:hAnsi="Times New Roman"/>
          <w:sz w:val="20"/>
          <w:szCs w:val="20"/>
        </w:rPr>
        <w:t xml:space="preserve"> </w:t>
      </w:r>
      <w:r>
        <w:rPr>
          <w:rFonts w:ascii="Times New Roman" w:eastAsia="宋体" w:hAnsi="Times New Roman"/>
          <w:i/>
          <w:iCs/>
          <w:sz w:val="20"/>
          <w:szCs w:val="20"/>
        </w:rPr>
        <w:t>(Topic 842)</w:t>
      </w:r>
      <w:r>
        <w:rPr>
          <w:rFonts w:ascii="Times New Roman" w:eastAsia="宋体" w:hAnsi="Times New Roman"/>
          <w:sz w:val="20"/>
          <w:szCs w:val="20"/>
        </w:rPr>
        <w:t xml:space="preserve">. </w:t>
      </w:r>
    </w:p>
    <w:p w14:paraId="42A12104" w14:textId="77777777" w:rsidR="00BB68E1" w:rsidRDefault="00BB68E1">
      <w:pPr>
        <w:spacing w:line="288" w:lineRule="auto"/>
        <w:rPr>
          <w:rFonts w:ascii="Times New Roman" w:hAnsi="Times New Roman"/>
          <w:sz w:val="20"/>
          <w:szCs w:val="20"/>
        </w:rPr>
      </w:pPr>
    </w:p>
    <w:p w14:paraId="42A12105"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 xml:space="preserve">Basis for Opinion </w:t>
      </w:r>
    </w:p>
    <w:p w14:paraId="42A12106" w14:textId="77777777" w:rsidR="00BB68E1" w:rsidRDefault="00BB68E1">
      <w:pPr>
        <w:spacing w:line="288" w:lineRule="auto"/>
        <w:jc w:val="both"/>
        <w:rPr>
          <w:rFonts w:ascii="Times New Roman" w:hAnsi="Times New Roman"/>
          <w:sz w:val="20"/>
          <w:szCs w:val="20"/>
        </w:rPr>
      </w:pPr>
    </w:p>
    <w:p w14:paraId="42A1210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These financi</w:t>
      </w:r>
      <w:r>
        <w:rPr>
          <w:rFonts w:ascii="Times New Roman" w:eastAsia="宋体" w:hAnsi="Times New Roman"/>
          <w:sz w:val="20"/>
          <w:szCs w:val="20"/>
        </w:rPr>
        <w:t>al statements are the responsibility of the Company's management. Our responsibility is to express an opinion on the Company’s financial statements based on our audits. We are a public accounting firm registered with the PCAOB and are required to be indepe</w:t>
      </w:r>
      <w:r>
        <w:rPr>
          <w:rFonts w:ascii="Times New Roman" w:eastAsia="宋体" w:hAnsi="Times New Roman"/>
          <w:sz w:val="20"/>
          <w:szCs w:val="20"/>
        </w:rPr>
        <w:t>ndent with respect to the Company in accordance with the U.S. federal securities laws and the applicable rules and regulations of the Securities and Exchange Commission and the PCAOB.</w:t>
      </w:r>
    </w:p>
    <w:p w14:paraId="42A12108" w14:textId="77777777" w:rsidR="00BB68E1" w:rsidRDefault="00BB68E1">
      <w:pPr>
        <w:spacing w:line="288" w:lineRule="auto"/>
        <w:jc w:val="both"/>
        <w:rPr>
          <w:rFonts w:ascii="Times New Roman" w:hAnsi="Times New Roman"/>
          <w:sz w:val="20"/>
          <w:szCs w:val="20"/>
        </w:rPr>
      </w:pPr>
    </w:p>
    <w:p w14:paraId="42A1210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We conducted our audits in accordance with the standards of the PCAOB. </w:t>
      </w:r>
      <w:r>
        <w:rPr>
          <w:rFonts w:ascii="Times New Roman" w:eastAsia="宋体" w:hAnsi="Times New Roman"/>
          <w:sz w:val="20"/>
          <w:szCs w:val="20"/>
        </w:rPr>
        <w:t>Those standards require that we plan and perform the audit to obtain reasonable assurance about whether the financial statements are free of material misstatement, whether due to error or fraud. Our audits included performing procedures to assess the risks</w:t>
      </w:r>
      <w:r>
        <w:rPr>
          <w:rFonts w:ascii="Times New Roman" w:eastAsia="宋体" w:hAnsi="Times New Roman"/>
          <w:sz w:val="20"/>
          <w:szCs w:val="20"/>
        </w:rPr>
        <w:t xml:space="preserve"> of material misstatement of the financial statements, whether due to error or fraud, and performing procedures that respond to those risks. Such procedures included examining, on a test basis, evidence regarding the amounts and disclosures in the financia</w:t>
      </w:r>
      <w:r>
        <w:rPr>
          <w:rFonts w:ascii="Times New Roman" w:eastAsia="宋体" w:hAnsi="Times New Roman"/>
          <w:sz w:val="20"/>
          <w:szCs w:val="20"/>
        </w:rPr>
        <w:t>l statements. Our audits also included evaluating the accounting principles used and significant estimates made by management, as well as evaluating the overall presentation of the financial statements. We believe that our audits provide a reasonable basis</w:t>
      </w:r>
      <w:r>
        <w:rPr>
          <w:rFonts w:ascii="Times New Roman" w:eastAsia="宋体" w:hAnsi="Times New Roman"/>
          <w:sz w:val="20"/>
          <w:szCs w:val="20"/>
        </w:rPr>
        <w:t xml:space="preserve"> for our opinion.</w:t>
      </w:r>
    </w:p>
    <w:p w14:paraId="42A1210A" w14:textId="77777777" w:rsidR="00BB68E1" w:rsidRDefault="00BB68E1">
      <w:pPr>
        <w:spacing w:line="288" w:lineRule="auto"/>
        <w:rPr>
          <w:rFonts w:ascii="Times New Roman" w:hAnsi="Times New Roman"/>
          <w:sz w:val="20"/>
          <w:szCs w:val="20"/>
        </w:rPr>
      </w:pPr>
    </w:p>
    <w:p w14:paraId="42A1210B"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Critical Audit Matters</w:t>
      </w:r>
    </w:p>
    <w:p w14:paraId="42A1210C" w14:textId="77777777" w:rsidR="00BB68E1" w:rsidRDefault="00BB68E1">
      <w:pPr>
        <w:spacing w:line="288" w:lineRule="auto"/>
        <w:rPr>
          <w:rFonts w:ascii="Times New Roman" w:hAnsi="Times New Roman"/>
          <w:sz w:val="20"/>
          <w:szCs w:val="20"/>
        </w:rPr>
      </w:pPr>
    </w:p>
    <w:p w14:paraId="42A1210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critical audit matters communicated below are matters arising from the current period audit of the financial statements that were communicated or required to be communicated to the audit committee and </w:t>
      </w:r>
      <w:r>
        <w:rPr>
          <w:rFonts w:ascii="Times New Roman" w:eastAsia="宋体" w:hAnsi="Times New Roman"/>
          <w:sz w:val="20"/>
          <w:szCs w:val="20"/>
        </w:rPr>
        <w:t>that: (1) relate to accounts or disclosures that are material to the financial statements and (2) involved our especially challenging, subjective or complex judgments. The communication of critical audit matters does not alter in any way our opinion on the</w:t>
      </w:r>
      <w:r>
        <w:rPr>
          <w:rFonts w:ascii="Times New Roman" w:eastAsia="宋体" w:hAnsi="Times New Roman"/>
          <w:sz w:val="20"/>
          <w:szCs w:val="20"/>
        </w:rPr>
        <w:t xml:space="preserve"> Consolidated Financial Statements, taken as a whole, and we are not, by communicating the critical audit matters below, providing separate opinions on the critical audit matters or on the accounts or disclosures to which they relate.</w:t>
      </w:r>
    </w:p>
    <w:p w14:paraId="42A1210E" w14:textId="77777777" w:rsidR="00BB68E1" w:rsidRDefault="00BB68E1">
      <w:pPr>
        <w:spacing w:line="288" w:lineRule="auto"/>
        <w:jc w:val="both"/>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1163"/>
        <w:gridCol w:w="249"/>
        <w:gridCol w:w="6894"/>
      </w:tblGrid>
      <w:tr w:rsidR="00BB68E1" w14:paraId="42A12110" w14:textId="77777777">
        <w:trPr>
          <w:jc w:val="center"/>
        </w:trPr>
        <w:tc>
          <w:tcPr>
            <w:tcW w:w="0" w:type="auto"/>
            <w:gridSpan w:val="3"/>
            <w:shd w:val="clear" w:color="auto" w:fill="auto"/>
            <w:vAlign w:val="center"/>
          </w:tcPr>
          <w:p w14:paraId="42A1210F" w14:textId="77777777" w:rsidR="00BB68E1" w:rsidRDefault="00BB68E1">
            <w:pPr>
              <w:rPr>
                <w:rFonts w:ascii="Times New Roman" w:hAnsi="Times New Roman"/>
                <w:sz w:val="20"/>
                <w:szCs w:val="20"/>
              </w:rPr>
            </w:pPr>
          </w:p>
        </w:tc>
      </w:tr>
      <w:tr w:rsidR="00BB68E1" w14:paraId="42A12114" w14:textId="77777777">
        <w:trPr>
          <w:jc w:val="center"/>
        </w:trPr>
        <w:tc>
          <w:tcPr>
            <w:tcW w:w="700" w:type="pct"/>
            <w:shd w:val="clear" w:color="auto" w:fill="auto"/>
            <w:vAlign w:val="center"/>
          </w:tcPr>
          <w:p w14:paraId="42A12111" w14:textId="77777777" w:rsidR="00BB68E1" w:rsidRDefault="00BB68E1">
            <w:pPr>
              <w:rPr>
                <w:rFonts w:ascii="Times New Roman" w:hAnsi="Times New Roman"/>
                <w:sz w:val="20"/>
                <w:szCs w:val="20"/>
              </w:rPr>
            </w:pPr>
          </w:p>
        </w:tc>
        <w:tc>
          <w:tcPr>
            <w:tcW w:w="150" w:type="pct"/>
            <w:shd w:val="clear" w:color="auto" w:fill="auto"/>
            <w:vAlign w:val="center"/>
          </w:tcPr>
          <w:p w14:paraId="42A12112" w14:textId="77777777" w:rsidR="00BB68E1" w:rsidRDefault="00BB68E1">
            <w:pPr>
              <w:rPr>
                <w:rFonts w:ascii="Times New Roman" w:hAnsi="Times New Roman"/>
                <w:sz w:val="20"/>
                <w:szCs w:val="20"/>
              </w:rPr>
            </w:pPr>
          </w:p>
        </w:tc>
        <w:tc>
          <w:tcPr>
            <w:tcW w:w="4150" w:type="pct"/>
            <w:shd w:val="clear" w:color="auto" w:fill="auto"/>
            <w:vAlign w:val="center"/>
          </w:tcPr>
          <w:p w14:paraId="42A12113" w14:textId="77777777" w:rsidR="00BB68E1" w:rsidRDefault="00BB68E1">
            <w:pPr>
              <w:rPr>
                <w:rFonts w:ascii="Times New Roman" w:hAnsi="Times New Roman"/>
                <w:sz w:val="20"/>
                <w:szCs w:val="20"/>
              </w:rPr>
            </w:pPr>
          </w:p>
        </w:tc>
      </w:tr>
      <w:tr w:rsidR="00BB68E1" w14:paraId="42A12119" w14:textId="77777777">
        <w:trPr>
          <w:jc w:val="center"/>
        </w:trPr>
        <w:tc>
          <w:tcPr>
            <w:tcW w:w="0" w:type="auto"/>
            <w:shd w:val="clear" w:color="auto" w:fill="auto"/>
            <w:tcMar>
              <w:top w:w="40" w:type="dxa"/>
              <w:left w:w="40" w:type="dxa"/>
              <w:bottom w:w="40" w:type="dxa"/>
              <w:right w:w="40" w:type="dxa"/>
            </w:tcMar>
            <w:vAlign w:val="bottom"/>
          </w:tcPr>
          <w:p w14:paraId="42A1211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11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2117" w14:textId="77777777" w:rsidR="00BB68E1" w:rsidRDefault="005D2D5E">
            <w:pPr>
              <w:jc w:val="both"/>
              <w:textAlignment w:val="top"/>
              <w:rPr>
                <w:rFonts w:ascii="Times New Roman" w:hAnsi="Times New Roman"/>
                <w:sz w:val="20"/>
                <w:szCs w:val="20"/>
              </w:rPr>
            </w:pPr>
            <w:r>
              <w:rPr>
                <w:rFonts w:ascii="Times New Roman" w:eastAsia="宋体" w:hAnsi="Times New Roman"/>
                <w:b/>
                <w:bCs/>
                <w:i/>
                <w:iCs/>
                <w:sz w:val="20"/>
                <w:szCs w:val="20"/>
              </w:rPr>
              <w:t>Contingencies</w:t>
            </w:r>
          </w:p>
          <w:p w14:paraId="42A12118" w14:textId="77777777" w:rsidR="00BB68E1" w:rsidRDefault="00BB68E1">
            <w:pPr>
              <w:jc w:val="both"/>
              <w:textAlignment w:val="top"/>
              <w:rPr>
                <w:rFonts w:ascii="Times New Roman" w:hAnsi="Times New Roman"/>
                <w:sz w:val="20"/>
                <w:szCs w:val="20"/>
              </w:rPr>
            </w:pPr>
          </w:p>
        </w:tc>
      </w:tr>
      <w:tr w:rsidR="00BB68E1" w14:paraId="42A1211E" w14:textId="77777777">
        <w:trPr>
          <w:jc w:val="center"/>
        </w:trPr>
        <w:tc>
          <w:tcPr>
            <w:tcW w:w="0" w:type="auto"/>
            <w:shd w:val="clear" w:color="auto" w:fill="auto"/>
            <w:tcMar>
              <w:top w:w="40" w:type="dxa"/>
              <w:left w:w="40" w:type="dxa"/>
              <w:bottom w:w="40" w:type="dxa"/>
              <w:right w:w="40" w:type="dxa"/>
            </w:tcMar>
          </w:tcPr>
          <w:p w14:paraId="42A1211A" w14:textId="77777777" w:rsidR="00BB68E1" w:rsidRDefault="005D2D5E">
            <w:pPr>
              <w:textAlignment w:val="top"/>
              <w:rPr>
                <w:rFonts w:ascii="Times New Roman" w:hAnsi="Times New Roman"/>
                <w:sz w:val="20"/>
                <w:szCs w:val="20"/>
              </w:rPr>
            </w:pPr>
            <w:r>
              <w:rPr>
                <w:rFonts w:ascii="Times New Roman" w:eastAsia="宋体" w:hAnsi="Times New Roman"/>
                <w:i/>
                <w:iCs/>
                <w:sz w:val="20"/>
                <w:szCs w:val="20"/>
              </w:rPr>
              <w:t>Description of the Matter</w:t>
            </w:r>
          </w:p>
        </w:tc>
        <w:tc>
          <w:tcPr>
            <w:tcW w:w="0" w:type="auto"/>
            <w:shd w:val="clear" w:color="auto" w:fill="auto"/>
            <w:tcMar>
              <w:top w:w="40" w:type="dxa"/>
              <w:left w:w="40" w:type="dxa"/>
              <w:bottom w:w="40" w:type="dxa"/>
              <w:right w:w="40" w:type="dxa"/>
            </w:tcMar>
            <w:vAlign w:val="bottom"/>
          </w:tcPr>
          <w:p w14:paraId="42A1211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11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xml:space="preserve">As described in Note 10 to the Consolidated Financial Statements, at January 31, 2020, the Company is involved in a number of legal proceedings and has made accruals with respect to certain of these </w:t>
            </w:r>
            <w:r>
              <w:rPr>
                <w:rFonts w:ascii="Times New Roman" w:eastAsia="宋体" w:hAnsi="Times New Roman"/>
                <w:sz w:val="20"/>
                <w:szCs w:val="20"/>
              </w:rPr>
              <w:t>matters. For other matters, a liability is not probable, or the amount cannot be reasonably estimated and therefore an accrual has not been made. Where a liability is reasonably possible and may be material, such matters have been disclosed. Management ass</w:t>
            </w:r>
            <w:r>
              <w:rPr>
                <w:rFonts w:ascii="Times New Roman" w:eastAsia="宋体" w:hAnsi="Times New Roman"/>
                <w:sz w:val="20"/>
                <w:szCs w:val="20"/>
              </w:rPr>
              <w:t xml:space="preserve">essed the probability of occurrence and the estimation of any potential loss based on the ability to predict the number of claims that may be filed or whether any loss or range of loss can be reasonably estimated. For example, in assessing the probability </w:t>
            </w:r>
            <w:r>
              <w:rPr>
                <w:rFonts w:ascii="Times New Roman" w:eastAsia="宋体" w:hAnsi="Times New Roman"/>
                <w:sz w:val="20"/>
                <w:szCs w:val="20"/>
              </w:rPr>
              <w:t>of occurrence in a particular legal proceeding, management exercises judgment to determine if it can predict the number of claims that may be filed and whether it can reasonably estimate any loss or range of loss that may arise from that proceeding.</w:t>
            </w:r>
          </w:p>
          <w:p w14:paraId="42A1211D" w14:textId="77777777" w:rsidR="00BB68E1" w:rsidRDefault="00BB68E1">
            <w:pPr>
              <w:textAlignment w:val="bottom"/>
              <w:rPr>
                <w:rFonts w:ascii="Times New Roman" w:hAnsi="Times New Roman"/>
                <w:sz w:val="20"/>
                <w:szCs w:val="20"/>
              </w:rPr>
            </w:pPr>
          </w:p>
        </w:tc>
      </w:tr>
    </w:tbl>
    <w:p w14:paraId="42A1211F" w14:textId="77777777" w:rsidR="00BB68E1" w:rsidRDefault="00BB68E1">
      <w:pPr>
        <w:rPr>
          <w:rFonts w:ascii="Times New Roman" w:hAnsi="Times New Roman"/>
          <w:sz w:val="20"/>
          <w:szCs w:val="20"/>
        </w:rPr>
      </w:pPr>
    </w:p>
    <w:p w14:paraId="42A12120"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47</w:t>
      </w:r>
    </w:p>
    <w:p w14:paraId="42A12121" w14:textId="77777777" w:rsidR="00BB68E1" w:rsidRDefault="00BB68E1">
      <w:pPr>
        <w:spacing w:line="288" w:lineRule="auto"/>
        <w:jc w:val="center"/>
        <w:rPr>
          <w:rFonts w:ascii="Times New Roman" w:hAnsi="Times New Roman"/>
          <w:sz w:val="20"/>
          <w:szCs w:val="20"/>
        </w:rPr>
      </w:pPr>
    </w:p>
    <w:p w14:paraId="42A12122" w14:textId="77777777" w:rsidR="00BB68E1" w:rsidRDefault="005D2D5E">
      <w:r>
        <w:rPr>
          <w:rFonts w:ascii="Times New Roman" w:hAnsi="Times New Roman"/>
          <w:sz w:val="20"/>
          <w:szCs w:val="20"/>
        </w:rPr>
        <w:pict w14:anchorId="42A142A6">
          <v:rect id="_x0000_i1071" style="width:415.3pt;height:1.5pt" o:hralign="center" o:hrstd="t" o:hr="t" fillcolor="#a0a0a0" stroked="f"/>
        </w:pict>
      </w:r>
    </w:p>
    <w:p w14:paraId="42A12123" w14:textId="77777777" w:rsidR="00BB68E1" w:rsidRDefault="00BB68E1">
      <w:pPr>
        <w:spacing w:line="288" w:lineRule="auto"/>
        <w:rPr>
          <w:rFonts w:ascii="Times New Roman" w:hAnsi="Times New Roman"/>
          <w:sz w:val="20"/>
          <w:szCs w:val="20"/>
        </w:rPr>
      </w:pPr>
    </w:p>
    <w:p w14:paraId="42A12124" w14:textId="77777777" w:rsidR="00BB68E1" w:rsidRDefault="00BB68E1">
      <w:pPr>
        <w:rPr>
          <w:rFonts w:ascii="Times New Roman" w:hAnsi="Times New Roman"/>
          <w:sz w:val="20"/>
          <w:szCs w:val="20"/>
        </w:rPr>
      </w:pPr>
    </w:p>
    <w:p w14:paraId="42A12125" w14:textId="77777777" w:rsidR="00BB68E1" w:rsidRDefault="00BB68E1">
      <w:pPr>
        <w:spacing w:line="288" w:lineRule="auto"/>
        <w:jc w:val="both"/>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1163"/>
        <w:gridCol w:w="249"/>
        <w:gridCol w:w="6894"/>
      </w:tblGrid>
      <w:tr w:rsidR="00BB68E1" w14:paraId="42A12127" w14:textId="77777777">
        <w:trPr>
          <w:jc w:val="center"/>
        </w:trPr>
        <w:tc>
          <w:tcPr>
            <w:tcW w:w="0" w:type="auto"/>
            <w:gridSpan w:val="3"/>
            <w:shd w:val="clear" w:color="auto" w:fill="auto"/>
            <w:vAlign w:val="center"/>
          </w:tcPr>
          <w:p w14:paraId="42A12126" w14:textId="77777777" w:rsidR="00BB68E1" w:rsidRDefault="00BB68E1">
            <w:pPr>
              <w:rPr>
                <w:rFonts w:ascii="Times New Roman" w:hAnsi="Times New Roman"/>
                <w:sz w:val="20"/>
                <w:szCs w:val="20"/>
              </w:rPr>
            </w:pPr>
          </w:p>
        </w:tc>
      </w:tr>
      <w:tr w:rsidR="00BB68E1" w14:paraId="42A1212B" w14:textId="77777777">
        <w:trPr>
          <w:jc w:val="center"/>
        </w:trPr>
        <w:tc>
          <w:tcPr>
            <w:tcW w:w="700" w:type="pct"/>
            <w:shd w:val="clear" w:color="auto" w:fill="auto"/>
            <w:vAlign w:val="center"/>
          </w:tcPr>
          <w:p w14:paraId="42A12128" w14:textId="77777777" w:rsidR="00BB68E1" w:rsidRDefault="00BB68E1">
            <w:pPr>
              <w:rPr>
                <w:rFonts w:ascii="Times New Roman" w:hAnsi="Times New Roman"/>
                <w:sz w:val="20"/>
                <w:szCs w:val="20"/>
              </w:rPr>
            </w:pPr>
          </w:p>
        </w:tc>
        <w:tc>
          <w:tcPr>
            <w:tcW w:w="150" w:type="pct"/>
            <w:shd w:val="clear" w:color="auto" w:fill="auto"/>
            <w:vAlign w:val="center"/>
          </w:tcPr>
          <w:p w14:paraId="42A12129" w14:textId="77777777" w:rsidR="00BB68E1" w:rsidRDefault="00BB68E1">
            <w:pPr>
              <w:rPr>
                <w:rFonts w:ascii="Times New Roman" w:hAnsi="Times New Roman"/>
                <w:sz w:val="20"/>
                <w:szCs w:val="20"/>
              </w:rPr>
            </w:pPr>
          </w:p>
        </w:tc>
        <w:tc>
          <w:tcPr>
            <w:tcW w:w="4150" w:type="pct"/>
            <w:shd w:val="clear" w:color="auto" w:fill="auto"/>
            <w:vAlign w:val="center"/>
          </w:tcPr>
          <w:p w14:paraId="42A1212A" w14:textId="77777777" w:rsidR="00BB68E1" w:rsidRDefault="00BB68E1">
            <w:pPr>
              <w:rPr>
                <w:rFonts w:ascii="Times New Roman" w:hAnsi="Times New Roman"/>
                <w:sz w:val="20"/>
                <w:szCs w:val="20"/>
              </w:rPr>
            </w:pPr>
          </w:p>
        </w:tc>
      </w:tr>
      <w:tr w:rsidR="00BB68E1" w14:paraId="42A12130" w14:textId="77777777">
        <w:trPr>
          <w:jc w:val="center"/>
        </w:trPr>
        <w:tc>
          <w:tcPr>
            <w:tcW w:w="0" w:type="auto"/>
            <w:shd w:val="clear" w:color="auto" w:fill="auto"/>
            <w:tcMar>
              <w:top w:w="40" w:type="dxa"/>
              <w:left w:w="40" w:type="dxa"/>
              <w:bottom w:w="40" w:type="dxa"/>
              <w:right w:w="40" w:type="dxa"/>
            </w:tcMar>
            <w:vAlign w:val="bottom"/>
          </w:tcPr>
          <w:p w14:paraId="42A1212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right w:w="40" w:type="dxa"/>
            </w:tcMar>
            <w:vAlign w:val="bottom"/>
          </w:tcPr>
          <w:p w14:paraId="42A1212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212E"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Auditing management’s accounting for, and disclosure of, loss contingencies was complex and highly judgmental as it involved our assessment of the significant judgments made by management when assessing the probability of occurrence or when determining whe</w:t>
            </w:r>
            <w:r>
              <w:rPr>
                <w:rFonts w:ascii="Times New Roman" w:eastAsia="宋体" w:hAnsi="Times New Roman"/>
                <w:sz w:val="20"/>
                <w:szCs w:val="20"/>
              </w:rPr>
              <w:t xml:space="preserve">ther an estimate of the loss or range of loss could be made. </w:t>
            </w:r>
          </w:p>
          <w:p w14:paraId="42A1212F" w14:textId="77777777" w:rsidR="00BB68E1" w:rsidRDefault="00BB68E1">
            <w:pPr>
              <w:textAlignment w:val="top"/>
              <w:rPr>
                <w:rFonts w:ascii="Times New Roman" w:hAnsi="Times New Roman"/>
                <w:sz w:val="20"/>
                <w:szCs w:val="20"/>
              </w:rPr>
            </w:pPr>
          </w:p>
        </w:tc>
      </w:tr>
      <w:tr w:rsidR="00BB68E1" w14:paraId="42A12137" w14:textId="77777777">
        <w:trPr>
          <w:jc w:val="center"/>
        </w:trPr>
        <w:tc>
          <w:tcPr>
            <w:tcW w:w="0" w:type="auto"/>
            <w:shd w:val="clear" w:color="auto" w:fill="auto"/>
            <w:tcMar>
              <w:top w:w="40" w:type="dxa"/>
              <w:left w:w="40" w:type="dxa"/>
              <w:bottom w:w="40" w:type="dxa"/>
              <w:right w:w="40" w:type="dxa"/>
            </w:tcMar>
          </w:tcPr>
          <w:p w14:paraId="42A12131" w14:textId="77777777" w:rsidR="00BB68E1" w:rsidRDefault="005D2D5E">
            <w:pPr>
              <w:textAlignment w:val="top"/>
              <w:rPr>
                <w:rFonts w:ascii="Times New Roman" w:hAnsi="Times New Roman"/>
                <w:sz w:val="20"/>
                <w:szCs w:val="20"/>
              </w:rPr>
            </w:pPr>
            <w:r>
              <w:rPr>
                <w:rFonts w:ascii="Times New Roman" w:eastAsia="宋体" w:hAnsi="Times New Roman"/>
                <w:i/>
                <w:iCs/>
                <w:sz w:val="20"/>
                <w:szCs w:val="20"/>
              </w:rPr>
              <w:t>How We Addressed the Matter in Our Audit</w:t>
            </w:r>
          </w:p>
        </w:tc>
        <w:tc>
          <w:tcPr>
            <w:tcW w:w="0" w:type="auto"/>
            <w:shd w:val="clear" w:color="auto" w:fill="auto"/>
            <w:tcMar>
              <w:top w:w="40" w:type="dxa"/>
              <w:left w:w="40" w:type="dxa"/>
              <w:bottom w:w="40" w:type="dxa"/>
              <w:right w:w="40" w:type="dxa"/>
            </w:tcMar>
            <w:vAlign w:val="bottom"/>
          </w:tcPr>
          <w:p w14:paraId="42A1213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2133"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We obtained an understanding, evaluated the design and tested the operating effectiveness of controls over the identification and evaluation of conti</w:t>
            </w:r>
            <w:r>
              <w:rPr>
                <w:rFonts w:ascii="Times New Roman" w:eastAsia="宋体" w:hAnsi="Times New Roman"/>
                <w:sz w:val="20"/>
                <w:szCs w:val="20"/>
              </w:rPr>
              <w:t xml:space="preserve">ngencies. For example, we tested controls over the Company’s assessment of the likelihood of loss and the Company’s determinations regarding the measurement of loss. </w:t>
            </w:r>
          </w:p>
          <w:p w14:paraId="42A12134"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 xml:space="preserve">To test the Company’s assessment of the probability of occurrence or determination of an </w:t>
            </w:r>
            <w:r>
              <w:rPr>
                <w:rFonts w:ascii="Times New Roman" w:eastAsia="宋体" w:hAnsi="Times New Roman"/>
                <w:sz w:val="20"/>
                <w:szCs w:val="20"/>
              </w:rPr>
              <w:t>estimate of loss, or range of loss, among other procedures, we read the minutes of the meetings of the board of directors and committees of the board of directors, reviewed opinions provided to the Company by certain outside legal counsel, read letters rec</w:t>
            </w:r>
            <w:r>
              <w:rPr>
                <w:rFonts w:ascii="Times New Roman" w:eastAsia="宋体" w:hAnsi="Times New Roman"/>
                <w:sz w:val="20"/>
                <w:szCs w:val="20"/>
              </w:rPr>
              <w:t>eived directly by us from internal and external counsel, and evaluated the current status of contingencies based on discussions with internal legal counsel. We also evaluated the appropriateness of the related disclosures.</w:t>
            </w:r>
          </w:p>
          <w:p w14:paraId="42A12135" w14:textId="77777777" w:rsidR="00BB68E1" w:rsidRDefault="00BB68E1">
            <w:pPr>
              <w:textAlignment w:val="top"/>
              <w:rPr>
                <w:rFonts w:ascii="Times New Roman" w:hAnsi="Times New Roman"/>
                <w:sz w:val="20"/>
                <w:szCs w:val="20"/>
              </w:rPr>
            </w:pPr>
          </w:p>
          <w:p w14:paraId="42A12136" w14:textId="77777777" w:rsidR="00BB68E1" w:rsidRDefault="00BB68E1">
            <w:pPr>
              <w:textAlignment w:val="top"/>
              <w:rPr>
                <w:rFonts w:ascii="Times New Roman" w:hAnsi="Times New Roman"/>
                <w:sz w:val="20"/>
                <w:szCs w:val="20"/>
              </w:rPr>
            </w:pPr>
          </w:p>
        </w:tc>
      </w:tr>
      <w:tr w:rsidR="00BB68E1" w14:paraId="42A1213C" w14:textId="77777777">
        <w:trPr>
          <w:jc w:val="center"/>
        </w:trPr>
        <w:tc>
          <w:tcPr>
            <w:tcW w:w="0" w:type="auto"/>
            <w:shd w:val="clear" w:color="auto" w:fill="auto"/>
            <w:tcMar>
              <w:top w:w="40" w:type="dxa"/>
              <w:left w:w="40" w:type="dxa"/>
              <w:bottom w:w="40" w:type="dxa"/>
              <w:right w:w="40" w:type="dxa"/>
            </w:tcMar>
            <w:vAlign w:val="bottom"/>
          </w:tcPr>
          <w:p w14:paraId="42A1213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13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213A" w14:textId="77777777" w:rsidR="00BB68E1" w:rsidRDefault="005D2D5E">
            <w:pPr>
              <w:textAlignment w:val="top"/>
              <w:rPr>
                <w:rFonts w:ascii="Times New Roman" w:hAnsi="Times New Roman"/>
                <w:sz w:val="20"/>
                <w:szCs w:val="20"/>
              </w:rPr>
            </w:pPr>
            <w:r>
              <w:rPr>
                <w:rFonts w:ascii="Times New Roman" w:eastAsia="宋体" w:hAnsi="Times New Roman"/>
                <w:b/>
                <w:bCs/>
                <w:i/>
                <w:iCs/>
                <w:sz w:val="20"/>
                <w:szCs w:val="20"/>
              </w:rPr>
              <w:t xml:space="preserve">Valuation of </w:t>
            </w:r>
            <w:r>
              <w:rPr>
                <w:rFonts w:ascii="Times New Roman" w:eastAsia="宋体" w:hAnsi="Times New Roman"/>
                <w:b/>
                <w:bCs/>
                <w:i/>
                <w:iCs/>
                <w:sz w:val="20"/>
                <w:szCs w:val="20"/>
              </w:rPr>
              <w:t>Indefinite-Lived Intangible Assets</w:t>
            </w:r>
          </w:p>
          <w:p w14:paraId="42A1213B" w14:textId="77777777" w:rsidR="00BB68E1" w:rsidRDefault="00BB68E1">
            <w:pPr>
              <w:textAlignment w:val="top"/>
              <w:rPr>
                <w:rFonts w:ascii="Times New Roman" w:hAnsi="Times New Roman"/>
                <w:sz w:val="20"/>
                <w:szCs w:val="20"/>
              </w:rPr>
            </w:pPr>
          </w:p>
        </w:tc>
      </w:tr>
      <w:tr w:rsidR="00BB68E1" w14:paraId="42A12141" w14:textId="77777777">
        <w:trPr>
          <w:jc w:val="center"/>
        </w:trPr>
        <w:tc>
          <w:tcPr>
            <w:tcW w:w="0" w:type="auto"/>
            <w:shd w:val="clear" w:color="auto" w:fill="auto"/>
            <w:tcMar>
              <w:top w:w="40" w:type="dxa"/>
              <w:left w:w="40" w:type="dxa"/>
              <w:bottom w:w="40" w:type="dxa"/>
              <w:right w:w="40" w:type="dxa"/>
            </w:tcMar>
          </w:tcPr>
          <w:p w14:paraId="42A1213D" w14:textId="77777777" w:rsidR="00BB68E1" w:rsidRDefault="005D2D5E">
            <w:pPr>
              <w:textAlignment w:val="top"/>
              <w:rPr>
                <w:rFonts w:ascii="Times New Roman" w:hAnsi="Times New Roman"/>
                <w:sz w:val="20"/>
                <w:szCs w:val="20"/>
              </w:rPr>
            </w:pPr>
            <w:r>
              <w:rPr>
                <w:rFonts w:ascii="Times New Roman" w:eastAsia="宋体" w:hAnsi="Times New Roman"/>
                <w:i/>
                <w:iCs/>
                <w:sz w:val="20"/>
                <w:szCs w:val="20"/>
              </w:rPr>
              <w:t>Description of the Matter</w:t>
            </w:r>
          </w:p>
        </w:tc>
        <w:tc>
          <w:tcPr>
            <w:tcW w:w="0" w:type="auto"/>
            <w:shd w:val="clear" w:color="auto" w:fill="auto"/>
            <w:tcMar>
              <w:top w:w="40" w:type="dxa"/>
              <w:left w:w="40" w:type="dxa"/>
              <w:bottom w:w="40" w:type="dxa"/>
              <w:right w:w="40" w:type="dxa"/>
            </w:tcMar>
            <w:vAlign w:val="bottom"/>
          </w:tcPr>
          <w:p w14:paraId="42A1213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213F"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At January 31, 2020, the Company has $5.2 billion of indefinite-lived intangible assets. As disclosed in Notes 1, 8 and 12 to the Consolidated Financial Statements, these assets are evaluated</w:t>
            </w:r>
            <w:r>
              <w:rPr>
                <w:rFonts w:ascii="Times New Roman" w:eastAsia="宋体" w:hAnsi="Times New Roman"/>
                <w:sz w:val="20"/>
                <w:szCs w:val="20"/>
              </w:rPr>
              <w:t xml:space="preserve"> for impairment at least annually using valuation techniques to estimate fair value. These fair value estimates are sensitive to certain significant assumptions including revenue growth rates, discount rates, and royalty rates.</w:t>
            </w:r>
          </w:p>
          <w:p w14:paraId="42A12140"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Auditing management’s annual</w:t>
            </w:r>
            <w:r>
              <w:rPr>
                <w:rFonts w:ascii="Times New Roman" w:eastAsia="宋体" w:hAnsi="Times New Roman"/>
                <w:sz w:val="20"/>
                <w:szCs w:val="20"/>
              </w:rPr>
              <w:t xml:space="preserve"> indefinite-lived intangible assets impairment tests was complex and highly judgmental due to the significant measurement uncertainty in determining the fair values of the indefinite-lived intangibles. For example, the fair value estimates are sensitive to</w:t>
            </w:r>
            <w:r>
              <w:rPr>
                <w:rFonts w:ascii="Times New Roman" w:eastAsia="宋体" w:hAnsi="Times New Roman"/>
                <w:sz w:val="20"/>
                <w:szCs w:val="20"/>
              </w:rPr>
              <w:t xml:space="preserve"> significant assumptions identified above that are affected by future market or economic conditions. </w:t>
            </w:r>
          </w:p>
        </w:tc>
      </w:tr>
      <w:tr w:rsidR="00BB68E1" w14:paraId="42A12146" w14:textId="77777777">
        <w:trPr>
          <w:jc w:val="center"/>
        </w:trPr>
        <w:tc>
          <w:tcPr>
            <w:tcW w:w="0" w:type="auto"/>
            <w:shd w:val="clear" w:color="auto" w:fill="auto"/>
            <w:tcMar>
              <w:top w:w="40" w:type="dxa"/>
              <w:left w:w="40" w:type="dxa"/>
              <w:bottom w:w="40" w:type="dxa"/>
              <w:right w:w="40" w:type="dxa"/>
            </w:tcMar>
          </w:tcPr>
          <w:p w14:paraId="42A12142" w14:textId="77777777" w:rsidR="00BB68E1" w:rsidRDefault="005D2D5E">
            <w:pPr>
              <w:textAlignment w:val="top"/>
              <w:rPr>
                <w:rFonts w:ascii="Times New Roman" w:hAnsi="Times New Roman"/>
                <w:sz w:val="20"/>
                <w:szCs w:val="20"/>
              </w:rPr>
            </w:pPr>
            <w:r>
              <w:rPr>
                <w:rFonts w:ascii="Times New Roman" w:eastAsia="宋体" w:hAnsi="Times New Roman"/>
                <w:i/>
                <w:iCs/>
                <w:sz w:val="20"/>
                <w:szCs w:val="20"/>
              </w:rPr>
              <w:t>How We Addressed the Matter in Our Audit</w:t>
            </w:r>
          </w:p>
        </w:tc>
        <w:tc>
          <w:tcPr>
            <w:tcW w:w="0" w:type="auto"/>
            <w:shd w:val="clear" w:color="auto" w:fill="auto"/>
            <w:tcMar>
              <w:top w:w="40" w:type="dxa"/>
              <w:left w:w="40" w:type="dxa"/>
              <w:bottom w:w="40" w:type="dxa"/>
              <w:right w:w="40" w:type="dxa"/>
            </w:tcMar>
            <w:vAlign w:val="bottom"/>
          </w:tcPr>
          <w:p w14:paraId="42A1214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2144"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We obtained an understanding, evaluated the design and tested the operating effectiveness of controls over the Company’s indefinite-lived intangible asset impairment review process. Our procedures included testing controls over management’s review of the s</w:t>
            </w:r>
            <w:r>
              <w:rPr>
                <w:rFonts w:ascii="Times New Roman" w:eastAsia="宋体" w:hAnsi="Times New Roman"/>
                <w:sz w:val="20"/>
                <w:szCs w:val="20"/>
              </w:rPr>
              <w:t xml:space="preserve">ignificant assumptions described above used to estimate the fair values of the indefinite-lived intangible assets. </w:t>
            </w:r>
          </w:p>
          <w:p w14:paraId="42A12145"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To test the estimated fair values of the indefinite-lived intangible assets, we performed audit procedures that included, among others, asse</w:t>
            </w:r>
            <w:r>
              <w:rPr>
                <w:rFonts w:ascii="Times New Roman" w:eastAsia="宋体" w:hAnsi="Times New Roman"/>
                <w:sz w:val="20"/>
                <w:szCs w:val="20"/>
              </w:rPr>
              <w:t>ssing methodologies used to determine the fair value, testing the significant assumptions discussed above and testing the completeness and accuracy of the underlying data used by the Company. For example, we evaluated management’s forecasted revenue growth</w:t>
            </w:r>
            <w:r>
              <w:rPr>
                <w:rFonts w:ascii="Times New Roman" w:eastAsia="宋体" w:hAnsi="Times New Roman"/>
                <w:sz w:val="20"/>
                <w:szCs w:val="20"/>
              </w:rPr>
              <w:t xml:space="preserve"> rates used in the fair value estimates by comparing those assumptions to the historical results of the Company and current industry, market and economic forecasts. We involved a valuation specialist to assist in evaluating the valuation methodologies and </w:t>
            </w:r>
            <w:r>
              <w:rPr>
                <w:rFonts w:ascii="Times New Roman" w:eastAsia="宋体" w:hAnsi="Times New Roman"/>
                <w:sz w:val="20"/>
                <w:szCs w:val="20"/>
              </w:rPr>
              <w:t>the significant assumptions such as discount rates and royalty rates. Additionally, we performed sensitivity analyses of significant assumptions to evaluate the effect on the fair value estimates of the indefinite-lived intangible assets.</w:t>
            </w:r>
          </w:p>
        </w:tc>
      </w:tr>
    </w:tbl>
    <w:p w14:paraId="42A12147" w14:textId="77777777" w:rsidR="00BB68E1" w:rsidRDefault="00BB68E1">
      <w:pPr>
        <w:spacing w:line="288" w:lineRule="auto"/>
        <w:rPr>
          <w:rFonts w:ascii="Times New Roman" w:hAnsi="Times New Roman"/>
          <w:sz w:val="20"/>
          <w:szCs w:val="20"/>
        </w:rPr>
      </w:pPr>
    </w:p>
    <w:p w14:paraId="42A1214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/s/ Ernst &amp; You</w:t>
      </w:r>
      <w:r>
        <w:rPr>
          <w:rFonts w:ascii="Times New Roman" w:eastAsia="宋体" w:hAnsi="Times New Roman"/>
          <w:sz w:val="20"/>
          <w:szCs w:val="20"/>
        </w:rPr>
        <w:t xml:space="preserve">ng LLP </w:t>
      </w:r>
    </w:p>
    <w:p w14:paraId="42A12149" w14:textId="77777777" w:rsidR="00BB68E1" w:rsidRDefault="00BB68E1">
      <w:pPr>
        <w:spacing w:line="288" w:lineRule="auto"/>
        <w:rPr>
          <w:rFonts w:ascii="Times New Roman" w:hAnsi="Times New Roman"/>
          <w:sz w:val="20"/>
          <w:szCs w:val="20"/>
        </w:rPr>
      </w:pPr>
    </w:p>
    <w:p w14:paraId="42A1214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have served as the Company's auditor since 1969.</w:t>
      </w:r>
    </w:p>
    <w:p w14:paraId="42A1214B" w14:textId="77777777" w:rsidR="00BB68E1" w:rsidRDefault="00BB68E1">
      <w:pPr>
        <w:spacing w:line="288" w:lineRule="auto"/>
        <w:rPr>
          <w:rFonts w:ascii="Times New Roman" w:hAnsi="Times New Roman"/>
          <w:sz w:val="20"/>
          <w:szCs w:val="20"/>
        </w:rPr>
      </w:pPr>
    </w:p>
    <w:p w14:paraId="42A1214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Rogers, Arkansas</w:t>
      </w:r>
    </w:p>
    <w:p w14:paraId="42A1214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March 20, 2020</w:t>
      </w:r>
    </w:p>
    <w:p w14:paraId="42A1214E" w14:textId="77777777" w:rsidR="00BB68E1" w:rsidRDefault="00BB68E1">
      <w:pPr>
        <w:spacing w:line="288" w:lineRule="auto"/>
        <w:rPr>
          <w:rFonts w:ascii="Times New Roman" w:hAnsi="Times New Roman"/>
          <w:sz w:val="20"/>
          <w:szCs w:val="20"/>
        </w:rPr>
      </w:pPr>
    </w:p>
    <w:p w14:paraId="42A1214F" w14:textId="77777777" w:rsidR="00BB68E1" w:rsidRDefault="00BB68E1">
      <w:pPr>
        <w:rPr>
          <w:rFonts w:ascii="Times New Roman" w:hAnsi="Times New Roman"/>
          <w:sz w:val="20"/>
          <w:szCs w:val="20"/>
        </w:rPr>
      </w:pPr>
    </w:p>
    <w:p w14:paraId="42A12150"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lastRenderedPageBreak/>
        <w:t>48</w:t>
      </w:r>
    </w:p>
    <w:p w14:paraId="42A12151" w14:textId="77777777" w:rsidR="00BB68E1" w:rsidRDefault="00BB68E1">
      <w:pPr>
        <w:spacing w:line="288" w:lineRule="auto"/>
        <w:jc w:val="center"/>
        <w:rPr>
          <w:rFonts w:ascii="Times New Roman" w:hAnsi="Times New Roman"/>
          <w:sz w:val="20"/>
          <w:szCs w:val="20"/>
        </w:rPr>
      </w:pPr>
    </w:p>
    <w:p w14:paraId="42A12152" w14:textId="77777777" w:rsidR="00BB68E1" w:rsidRDefault="005D2D5E">
      <w:r>
        <w:rPr>
          <w:rFonts w:ascii="Times New Roman" w:hAnsi="Times New Roman"/>
          <w:sz w:val="20"/>
          <w:szCs w:val="20"/>
        </w:rPr>
        <w:pict w14:anchorId="42A142A7">
          <v:rect id="_x0000_i1072" style="width:415.3pt;height:1.5pt" o:hralign="center" o:hrstd="t" o:hr="t" fillcolor="#a0a0a0" stroked="f"/>
        </w:pict>
      </w:r>
    </w:p>
    <w:p w14:paraId="42A12153" w14:textId="77777777" w:rsidR="00BB68E1" w:rsidRDefault="00BB68E1">
      <w:pPr>
        <w:spacing w:line="288" w:lineRule="auto"/>
        <w:rPr>
          <w:rFonts w:ascii="Times New Roman" w:hAnsi="Times New Roman"/>
          <w:sz w:val="20"/>
          <w:szCs w:val="20"/>
        </w:rPr>
      </w:pPr>
    </w:p>
    <w:p w14:paraId="42A12154" w14:textId="77777777" w:rsidR="00BB68E1" w:rsidRDefault="00BB68E1">
      <w:pPr>
        <w:rPr>
          <w:rFonts w:ascii="Times New Roman" w:hAnsi="Times New Roman"/>
          <w:sz w:val="20"/>
          <w:szCs w:val="20"/>
        </w:rPr>
      </w:pPr>
    </w:p>
    <w:p w14:paraId="42A12155"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Report of Independent Registered Public Accounting Firm</w:t>
      </w:r>
    </w:p>
    <w:p w14:paraId="42A1215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To the Shareholders and the Board of Directors of Walmart Inc. </w:t>
      </w:r>
    </w:p>
    <w:p w14:paraId="42A12157"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 xml:space="preserve">Opinion on Internal Control over Financial Reporting </w:t>
      </w:r>
    </w:p>
    <w:p w14:paraId="42A1215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have audited Walmart Inc.'s internal control over financial reporting as of January 31, 2020, based on criteria established in Internal Control-Integrated Framework issued by the Committee of Sponsor</w:t>
      </w:r>
      <w:r>
        <w:rPr>
          <w:rFonts w:ascii="Times New Roman" w:eastAsia="宋体" w:hAnsi="Times New Roman"/>
          <w:sz w:val="20"/>
          <w:szCs w:val="20"/>
        </w:rPr>
        <w:t>ing Organizations of the Treadway Commission (2013 framework) (the COSO criteria). In our opinion, Walmart Inc. (the Company) maintained, in all material respects, effective internal control over financial reporting as of January 31, 2020, based on the COS</w:t>
      </w:r>
      <w:r>
        <w:rPr>
          <w:rFonts w:ascii="Times New Roman" w:eastAsia="宋体" w:hAnsi="Times New Roman"/>
          <w:sz w:val="20"/>
          <w:szCs w:val="20"/>
        </w:rPr>
        <w:t>O criteria.</w:t>
      </w:r>
    </w:p>
    <w:p w14:paraId="42A1215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also have audited, in accordance with the standards of the Public Company Accounting Oversight Board (United States) (PCAOB), the accompanying consolidated balance sheets of Walmart Inc. as of January 31, 2020 and 2019, the related consolida</w:t>
      </w:r>
      <w:r>
        <w:rPr>
          <w:rFonts w:ascii="Times New Roman" w:eastAsia="宋体" w:hAnsi="Times New Roman"/>
          <w:sz w:val="20"/>
          <w:szCs w:val="20"/>
        </w:rPr>
        <w:t>ted statements of income, comprehensive income, shareholders' equity and cash flows for each of the three years in the period ended January 31, 2020, and the related notes and our report dated March 20, 2020 expressed an unqualified opinion thereon.</w:t>
      </w:r>
    </w:p>
    <w:p w14:paraId="42A1215A" w14:textId="77777777" w:rsidR="00BB68E1" w:rsidRDefault="005D2D5E">
      <w:pPr>
        <w:spacing w:line="288" w:lineRule="auto"/>
        <w:jc w:val="both"/>
        <w:rPr>
          <w:rFonts w:ascii="Times New Roman" w:hAnsi="Times New Roman"/>
          <w:sz w:val="20"/>
          <w:szCs w:val="20"/>
        </w:rPr>
      </w:pPr>
      <w:r>
        <w:rPr>
          <w:rFonts w:ascii="Times New Roman" w:eastAsia="宋体" w:hAnsi="Times New Roman"/>
          <w:b/>
          <w:bCs/>
          <w:sz w:val="20"/>
          <w:szCs w:val="20"/>
        </w:rPr>
        <w:t xml:space="preserve">Basis </w:t>
      </w:r>
      <w:r>
        <w:rPr>
          <w:rFonts w:ascii="Times New Roman" w:eastAsia="宋体" w:hAnsi="Times New Roman"/>
          <w:b/>
          <w:bCs/>
          <w:sz w:val="20"/>
          <w:szCs w:val="20"/>
        </w:rPr>
        <w:t xml:space="preserve">for Opinion </w:t>
      </w:r>
    </w:p>
    <w:p w14:paraId="42A1215B"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Company’s management is responsible for maintaining effective internal control over financial reporting and for its assessment of the effectiveness of internal control over financial reporting included in the accompanying Report on Interna</w:t>
      </w:r>
      <w:r>
        <w:rPr>
          <w:rFonts w:ascii="Times New Roman" w:eastAsia="宋体" w:hAnsi="Times New Roman"/>
          <w:sz w:val="20"/>
          <w:szCs w:val="20"/>
        </w:rPr>
        <w:t>l Control over Financial Reporting. Our responsibility is to express an opinion on the Company’s internal control over financial reporting based on our audit. We are a public accounting firm registered with the PCAOB and are required to be independent with</w:t>
      </w:r>
      <w:r>
        <w:rPr>
          <w:rFonts w:ascii="Times New Roman" w:eastAsia="宋体" w:hAnsi="Times New Roman"/>
          <w:sz w:val="20"/>
          <w:szCs w:val="20"/>
        </w:rPr>
        <w:t xml:space="preserve"> respect to the Company in accordance with the U.S. federal securities laws and the applicable rules and regulations of the Securities and Exchange Commission and the PCAOB. </w:t>
      </w:r>
    </w:p>
    <w:p w14:paraId="42A1215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We conducted our audit in accordance with the standards of the PCAOB. Those stand</w:t>
      </w:r>
      <w:r>
        <w:rPr>
          <w:rFonts w:ascii="Times New Roman" w:eastAsia="宋体" w:hAnsi="Times New Roman"/>
          <w:sz w:val="20"/>
          <w:szCs w:val="20"/>
        </w:rPr>
        <w:t xml:space="preserve">ards require that we plan and perform the audit to obtain reasonable assurance about whether effective internal control over financial reporting was maintained in all material respects. </w:t>
      </w:r>
    </w:p>
    <w:p w14:paraId="42A1215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Our audit included obtaining an understanding of internal control ove</w:t>
      </w:r>
      <w:r>
        <w:rPr>
          <w:rFonts w:ascii="Times New Roman" w:eastAsia="宋体" w:hAnsi="Times New Roman"/>
          <w:sz w:val="20"/>
          <w:szCs w:val="20"/>
        </w:rPr>
        <w:t xml:space="preserve">r financial reporting, assessing the risk that a material weakness exists, testing and evaluating the design and operating effectiveness of internal control based on the assessed risk, and performing such other procedures as we considered necessary in the </w:t>
      </w:r>
      <w:r>
        <w:rPr>
          <w:rFonts w:ascii="Times New Roman" w:eastAsia="宋体" w:hAnsi="Times New Roman"/>
          <w:sz w:val="20"/>
          <w:szCs w:val="20"/>
        </w:rPr>
        <w:t xml:space="preserve">circumstances. We believe that our audit provides a reasonable basis for our opinion. </w:t>
      </w:r>
    </w:p>
    <w:p w14:paraId="42A1215E"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 xml:space="preserve">Definition and Limitations of Internal Control over Financial Reporting </w:t>
      </w:r>
    </w:p>
    <w:p w14:paraId="42A1215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 company’s internal control over financial reporting is a process designed to provide reasonabl</w:t>
      </w:r>
      <w:r>
        <w:rPr>
          <w:rFonts w:ascii="Times New Roman" w:eastAsia="宋体" w:hAnsi="Times New Roman"/>
          <w:sz w:val="20"/>
          <w:szCs w:val="20"/>
        </w:rPr>
        <w:t>e assurance regarding the reliability of financial reporting and the preparation of financial statements for external purposes in accordance with generally accepted accounting principles. A company’s internal control over financial reporting includes those</w:t>
      </w:r>
      <w:r>
        <w:rPr>
          <w:rFonts w:ascii="Times New Roman" w:eastAsia="宋体" w:hAnsi="Times New Roman"/>
          <w:sz w:val="20"/>
          <w:szCs w:val="20"/>
        </w:rPr>
        <w:t xml:space="preserve"> policies and procedures that (1) pertain to the maintenance of records that, in reasonable detail, accurately and fairly reflect the transactions and dispositions of the assets of the company; (2) provide reasonable assurance that transactions are recorde</w:t>
      </w:r>
      <w:r>
        <w:rPr>
          <w:rFonts w:ascii="Times New Roman" w:eastAsia="宋体" w:hAnsi="Times New Roman"/>
          <w:sz w:val="20"/>
          <w:szCs w:val="20"/>
        </w:rPr>
        <w:t>d as necessary to permit preparation of financial statements in accordance with generally accepted accounting principles, and that receipts and expenditures of the company are being made only in accordance with authorizations of management and directors of</w:t>
      </w:r>
      <w:r>
        <w:rPr>
          <w:rFonts w:ascii="Times New Roman" w:eastAsia="宋体" w:hAnsi="Times New Roman"/>
          <w:sz w:val="20"/>
          <w:szCs w:val="20"/>
        </w:rPr>
        <w:t xml:space="preserve"> the company; and (3) provide reasonable assurance regarding prevention or timely detection of unauthorized acquisition, use, or disposition of the company’s assets that could have a material effect on the financial statements. </w:t>
      </w:r>
    </w:p>
    <w:p w14:paraId="42A1216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Because of its </w:t>
      </w:r>
      <w:r>
        <w:rPr>
          <w:rFonts w:ascii="Times New Roman" w:eastAsia="宋体" w:hAnsi="Times New Roman"/>
          <w:sz w:val="20"/>
          <w:szCs w:val="20"/>
        </w:rPr>
        <w:t>inherent limitations, internal control over financial reporting may not prevent or detect misstatements. Also, projections of any evaluation of effectiveness to future periods are subject to the risk that controls may become inadequate because of changes i</w:t>
      </w:r>
      <w:r>
        <w:rPr>
          <w:rFonts w:ascii="Times New Roman" w:eastAsia="宋体" w:hAnsi="Times New Roman"/>
          <w:sz w:val="20"/>
          <w:szCs w:val="20"/>
        </w:rPr>
        <w:t>n conditions, or that the degree of compliance with the policies or procedures may deteriorate.</w:t>
      </w:r>
    </w:p>
    <w:p w14:paraId="42A12161" w14:textId="77777777" w:rsidR="00BB68E1" w:rsidRDefault="00BB68E1">
      <w:pPr>
        <w:spacing w:line="288" w:lineRule="auto"/>
        <w:rPr>
          <w:rFonts w:ascii="Times New Roman" w:hAnsi="Times New Roman"/>
          <w:sz w:val="20"/>
          <w:szCs w:val="20"/>
        </w:rPr>
      </w:pPr>
    </w:p>
    <w:p w14:paraId="42A1216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 xml:space="preserve">/s/ Ernst &amp; Young LLP </w:t>
      </w:r>
    </w:p>
    <w:p w14:paraId="42A1216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Rogers, Arkansas</w:t>
      </w:r>
    </w:p>
    <w:p w14:paraId="42A1216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March 20, 2020</w:t>
      </w:r>
    </w:p>
    <w:p w14:paraId="42A12165" w14:textId="77777777" w:rsidR="00BB68E1" w:rsidRDefault="00BB68E1">
      <w:pPr>
        <w:rPr>
          <w:rFonts w:ascii="Times New Roman" w:hAnsi="Times New Roman"/>
          <w:sz w:val="20"/>
          <w:szCs w:val="20"/>
        </w:rPr>
      </w:pPr>
    </w:p>
    <w:p w14:paraId="42A12166"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49</w:t>
      </w:r>
    </w:p>
    <w:p w14:paraId="42A12167" w14:textId="77777777" w:rsidR="00BB68E1" w:rsidRDefault="00BB68E1">
      <w:pPr>
        <w:spacing w:line="288" w:lineRule="auto"/>
        <w:jc w:val="center"/>
        <w:rPr>
          <w:rFonts w:ascii="Times New Roman" w:hAnsi="Times New Roman"/>
          <w:sz w:val="20"/>
          <w:szCs w:val="20"/>
        </w:rPr>
      </w:pPr>
    </w:p>
    <w:p w14:paraId="42A12168" w14:textId="77777777" w:rsidR="00BB68E1" w:rsidRDefault="005D2D5E">
      <w:r>
        <w:rPr>
          <w:rFonts w:ascii="Times New Roman" w:hAnsi="Times New Roman"/>
          <w:sz w:val="20"/>
          <w:szCs w:val="20"/>
        </w:rPr>
        <w:pict w14:anchorId="42A142A8">
          <v:rect id="_x0000_i1073" style="width:415.3pt;height:1.5pt" o:hralign="center" o:hrstd="t" o:hr="t" fillcolor="#a0a0a0" stroked="f"/>
        </w:pict>
      </w:r>
    </w:p>
    <w:p w14:paraId="42A12169" w14:textId="77777777" w:rsidR="00BB68E1" w:rsidRDefault="00BB68E1">
      <w:pPr>
        <w:spacing w:line="288" w:lineRule="auto"/>
        <w:rPr>
          <w:rFonts w:ascii="Times New Roman" w:hAnsi="Times New Roman"/>
          <w:sz w:val="20"/>
          <w:szCs w:val="20"/>
        </w:rPr>
      </w:pPr>
    </w:p>
    <w:p w14:paraId="42A1216A" w14:textId="77777777" w:rsidR="00BB68E1" w:rsidRDefault="00BB68E1">
      <w:pPr>
        <w:rPr>
          <w:rFonts w:ascii="Times New Roman" w:hAnsi="Times New Roman"/>
          <w:sz w:val="20"/>
          <w:szCs w:val="20"/>
        </w:rPr>
      </w:pPr>
    </w:p>
    <w:p w14:paraId="42A1216B"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42A1216C"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Consolidated Statements of Income</w:t>
      </w:r>
    </w:p>
    <w:p w14:paraId="42A1216D" w14:textId="77777777" w:rsidR="00BB68E1" w:rsidRDefault="00BB68E1">
      <w:pPr>
        <w:spacing w:line="288" w:lineRule="auto"/>
        <w:jc w:val="center"/>
        <w:rPr>
          <w:rFonts w:ascii="Times New Roman" w:hAnsi="Times New Roman"/>
          <w:sz w:val="20"/>
          <w:szCs w:val="20"/>
        </w:rPr>
      </w:pPr>
    </w:p>
    <w:tbl>
      <w:tblPr>
        <w:tblW w:w="4990" w:type="pct"/>
        <w:jc w:val="center"/>
        <w:tblCellMar>
          <w:left w:w="0" w:type="dxa"/>
          <w:right w:w="0" w:type="dxa"/>
        </w:tblCellMar>
        <w:tblLook w:val="04A0" w:firstRow="1" w:lastRow="0" w:firstColumn="1" w:lastColumn="0" w:noHBand="0" w:noVBand="1"/>
      </w:tblPr>
      <w:tblGrid>
        <w:gridCol w:w="4984"/>
        <w:gridCol w:w="130"/>
        <w:gridCol w:w="120"/>
        <w:gridCol w:w="757"/>
        <w:gridCol w:w="94"/>
        <w:gridCol w:w="130"/>
        <w:gridCol w:w="120"/>
        <w:gridCol w:w="758"/>
        <w:gridCol w:w="94"/>
        <w:gridCol w:w="130"/>
        <w:gridCol w:w="120"/>
        <w:gridCol w:w="758"/>
        <w:gridCol w:w="94"/>
      </w:tblGrid>
      <w:tr w:rsidR="00BB68E1" w14:paraId="42A1216F" w14:textId="77777777">
        <w:trPr>
          <w:jc w:val="center"/>
        </w:trPr>
        <w:tc>
          <w:tcPr>
            <w:tcW w:w="0" w:type="auto"/>
            <w:gridSpan w:val="13"/>
            <w:shd w:val="clear" w:color="auto" w:fill="auto"/>
            <w:vAlign w:val="center"/>
          </w:tcPr>
          <w:p w14:paraId="42A1216E" w14:textId="77777777" w:rsidR="00BB68E1" w:rsidRDefault="00BB68E1">
            <w:pPr>
              <w:rPr>
                <w:rFonts w:ascii="Times New Roman" w:hAnsi="Times New Roman"/>
                <w:sz w:val="20"/>
                <w:szCs w:val="20"/>
              </w:rPr>
            </w:pPr>
          </w:p>
        </w:tc>
      </w:tr>
      <w:tr w:rsidR="00BB68E1" w14:paraId="42A1217D" w14:textId="77777777">
        <w:trPr>
          <w:jc w:val="center"/>
        </w:trPr>
        <w:tc>
          <w:tcPr>
            <w:tcW w:w="3050" w:type="pct"/>
            <w:shd w:val="clear" w:color="auto" w:fill="auto"/>
            <w:vAlign w:val="center"/>
          </w:tcPr>
          <w:p w14:paraId="42A12170" w14:textId="77777777" w:rsidR="00BB68E1" w:rsidRDefault="00BB68E1">
            <w:pPr>
              <w:rPr>
                <w:rFonts w:ascii="Times New Roman" w:hAnsi="Times New Roman"/>
                <w:sz w:val="20"/>
                <w:szCs w:val="20"/>
              </w:rPr>
            </w:pPr>
          </w:p>
        </w:tc>
        <w:tc>
          <w:tcPr>
            <w:tcW w:w="50" w:type="pct"/>
            <w:shd w:val="clear" w:color="auto" w:fill="auto"/>
            <w:vAlign w:val="center"/>
          </w:tcPr>
          <w:p w14:paraId="42A12171" w14:textId="77777777" w:rsidR="00BB68E1" w:rsidRDefault="00BB68E1">
            <w:pPr>
              <w:rPr>
                <w:rFonts w:ascii="Times New Roman" w:hAnsi="Times New Roman"/>
                <w:sz w:val="20"/>
                <w:szCs w:val="20"/>
              </w:rPr>
            </w:pPr>
          </w:p>
        </w:tc>
        <w:tc>
          <w:tcPr>
            <w:tcW w:w="50" w:type="pct"/>
            <w:shd w:val="clear" w:color="auto" w:fill="auto"/>
            <w:vAlign w:val="center"/>
          </w:tcPr>
          <w:p w14:paraId="42A12172" w14:textId="77777777" w:rsidR="00BB68E1" w:rsidRDefault="00BB68E1">
            <w:pPr>
              <w:rPr>
                <w:rFonts w:ascii="Times New Roman" w:hAnsi="Times New Roman"/>
                <w:sz w:val="20"/>
                <w:szCs w:val="20"/>
              </w:rPr>
            </w:pPr>
          </w:p>
        </w:tc>
        <w:tc>
          <w:tcPr>
            <w:tcW w:w="500" w:type="pct"/>
            <w:shd w:val="clear" w:color="auto" w:fill="auto"/>
            <w:vAlign w:val="center"/>
          </w:tcPr>
          <w:p w14:paraId="42A12173" w14:textId="77777777" w:rsidR="00BB68E1" w:rsidRDefault="00BB68E1">
            <w:pPr>
              <w:rPr>
                <w:rFonts w:ascii="Times New Roman" w:hAnsi="Times New Roman"/>
                <w:sz w:val="20"/>
                <w:szCs w:val="20"/>
              </w:rPr>
            </w:pPr>
          </w:p>
        </w:tc>
        <w:tc>
          <w:tcPr>
            <w:tcW w:w="50" w:type="pct"/>
            <w:shd w:val="clear" w:color="auto" w:fill="auto"/>
            <w:vAlign w:val="center"/>
          </w:tcPr>
          <w:p w14:paraId="42A12174" w14:textId="77777777" w:rsidR="00BB68E1" w:rsidRDefault="00BB68E1">
            <w:pPr>
              <w:rPr>
                <w:rFonts w:ascii="Times New Roman" w:hAnsi="Times New Roman"/>
                <w:sz w:val="20"/>
                <w:szCs w:val="20"/>
              </w:rPr>
            </w:pPr>
          </w:p>
        </w:tc>
        <w:tc>
          <w:tcPr>
            <w:tcW w:w="50" w:type="pct"/>
            <w:shd w:val="clear" w:color="auto" w:fill="auto"/>
            <w:vAlign w:val="center"/>
          </w:tcPr>
          <w:p w14:paraId="42A12175" w14:textId="77777777" w:rsidR="00BB68E1" w:rsidRDefault="00BB68E1">
            <w:pPr>
              <w:rPr>
                <w:rFonts w:ascii="Times New Roman" w:hAnsi="Times New Roman"/>
                <w:sz w:val="20"/>
                <w:szCs w:val="20"/>
              </w:rPr>
            </w:pPr>
          </w:p>
        </w:tc>
        <w:tc>
          <w:tcPr>
            <w:tcW w:w="50" w:type="pct"/>
            <w:shd w:val="clear" w:color="auto" w:fill="auto"/>
            <w:vAlign w:val="center"/>
          </w:tcPr>
          <w:p w14:paraId="42A12176" w14:textId="77777777" w:rsidR="00BB68E1" w:rsidRDefault="00BB68E1">
            <w:pPr>
              <w:rPr>
                <w:rFonts w:ascii="Times New Roman" w:hAnsi="Times New Roman"/>
                <w:sz w:val="20"/>
                <w:szCs w:val="20"/>
              </w:rPr>
            </w:pPr>
          </w:p>
        </w:tc>
        <w:tc>
          <w:tcPr>
            <w:tcW w:w="500" w:type="pct"/>
            <w:shd w:val="clear" w:color="auto" w:fill="auto"/>
            <w:vAlign w:val="center"/>
          </w:tcPr>
          <w:p w14:paraId="42A12177" w14:textId="77777777" w:rsidR="00BB68E1" w:rsidRDefault="00BB68E1">
            <w:pPr>
              <w:rPr>
                <w:rFonts w:ascii="Times New Roman" w:hAnsi="Times New Roman"/>
                <w:sz w:val="20"/>
                <w:szCs w:val="20"/>
              </w:rPr>
            </w:pPr>
          </w:p>
        </w:tc>
        <w:tc>
          <w:tcPr>
            <w:tcW w:w="50" w:type="pct"/>
            <w:shd w:val="clear" w:color="auto" w:fill="auto"/>
            <w:vAlign w:val="center"/>
          </w:tcPr>
          <w:p w14:paraId="42A12178" w14:textId="77777777" w:rsidR="00BB68E1" w:rsidRDefault="00BB68E1">
            <w:pPr>
              <w:rPr>
                <w:rFonts w:ascii="Times New Roman" w:hAnsi="Times New Roman"/>
                <w:sz w:val="20"/>
                <w:szCs w:val="20"/>
              </w:rPr>
            </w:pPr>
          </w:p>
        </w:tc>
        <w:tc>
          <w:tcPr>
            <w:tcW w:w="50" w:type="pct"/>
            <w:shd w:val="clear" w:color="auto" w:fill="auto"/>
            <w:vAlign w:val="center"/>
          </w:tcPr>
          <w:p w14:paraId="42A12179" w14:textId="77777777" w:rsidR="00BB68E1" w:rsidRDefault="00BB68E1">
            <w:pPr>
              <w:rPr>
                <w:rFonts w:ascii="Times New Roman" w:hAnsi="Times New Roman"/>
                <w:sz w:val="20"/>
                <w:szCs w:val="20"/>
              </w:rPr>
            </w:pPr>
          </w:p>
        </w:tc>
        <w:tc>
          <w:tcPr>
            <w:tcW w:w="50" w:type="pct"/>
            <w:shd w:val="clear" w:color="auto" w:fill="auto"/>
            <w:vAlign w:val="center"/>
          </w:tcPr>
          <w:p w14:paraId="42A1217A" w14:textId="77777777" w:rsidR="00BB68E1" w:rsidRDefault="00BB68E1">
            <w:pPr>
              <w:rPr>
                <w:rFonts w:ascii="Times New Roman" w:hAnsi="Times New Roman"/>
                <w:sz w:val="20"/>
                <w:szCs w:val="20"/>
              </w:rPr>
            </w:pPr>
          </w:p>
        </w:tc>
        <w:tc>
          <w:tcPr>
            <w:tcW w:w="500" w:type="pct"/>
            <w:shd w:val="clear" w:color="auto" w:fill="auto"/>
            <w:vAlign w:val="center"/>
          </w:tcPr>
          <w:p w14:paraId="42A1217B" w14:textId="77777777" w:rsidR="00BB68E1" w:rsidRDefault="00BB68E1">
            <w:pPr>
              <w:rPr>
                <w:rFonts w:ascii="Times New Roman" w:hAnsi="Times New Roman"/>
                <w:sz w:val="20"/>
                <w:szCs w:val="20"/>
              </w:rPr>
            </w:pPr>
          </w:p>
        </w:tc>
        <w:tc>
          <w:tcPr>
            <w:tcW w:w="50" w:type="pct"/>
            <w:shd w:val="clear" w:color="auto" w:fill="auto"/>
            <w:vAlign w:val="center"/>
          </w:tcPr>
          <w:p w14:paraId="42A1217C" w14:textId="77777777" w:rsidR="00BB68E1" w:rsidRDefault="00BB68E1">
            <w:pPr>
              <w:rPr>
                <w:rFonts w:ascii="Times New Roman" w:hAnsi="Times New Roman"/>
                <w:sz w:val="20"/>
                <w:szCs w:val="20"/>
              </w:rPr>
            </w:pPr>
          </w:p>
        </w:tc>
      </w:tr>
      <w:tr w:rsidR="00BB68E1" w14:paraId="42A12181" w14:textId="77777777">
        <w:trPr>
          <w:jc w:val="center"/>
        </w:trPr>
        <w:tc>
          <w:tcPr>
            <w:tcW w:w="0" w:type="auto"/>
            <w:shd w:val="clear" w:color="auto" w:fill="auto"/>
            <w:tcMar>
              <w:top w:w="40" w:type="dxa"/>
              <w:left w:w="40" w:type="dxa"/>
              <w:bottom w:w="40" w:type="dxa"/>
              <w:right w:w="40" w:type="dxa"/>
            </w:tcMar>
            <w:vAlign w:val="bottom"/>
          </w:tcPr>
          <w:p w14:paraId="42A1217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17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2180"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 xml:space="preserve">Fiscal Years Ended </w:t>
            </w:r>
            <w:r>
              <w:rPr>
                <w:rFonts w:ascii="Times New Roman" w:eastAsia="宋体" w:hAnsi="Times New Roman"/>
                <w:b/>
                <w:bCs/>
                <w:sz w:val="16"/>
                <w:szCs w:val="16"/>
              </w:rPr>
              <w:t>January 31,</w:t>
            </w:r>
          </w:p>
        </w:tc>
      </w:tr>
      <w:tr w:rsidR="00BB68E1" w14:paraId="42A12189" w14:textId="77777777">
        <w:trPr>
          <w:jc w:val="center"/>
        </w:trPr>
        <w:tc>
          <w:tcPr>
            <w:tcW w:w="0" w:type="auto"/>
            <w:shd w:val="clear" w:color="auto" w:fill="auto"/>
            <w:tcMar>
              <w:top w:w="40" w:type="dxa"/>
              <w:left w:w="40" w:type="dxa"/>
              <w:bottom w:w="40" w:type="dxa"/>
              <w:right w:w="40" w:type="dxa"/>
            </w:tcMar>
            <w:vAlign w:val="bottom"/>
          </w:tcPr>
          <w:p w14:paraId="42A12182"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 except per share data)</w:t>
            </w:r>
          </w:p>
        </w:tc>
        <w:tc>
          <w:tcPr>
            <w:tcW w:w="0" w:type="auto"/>
            <w:shd w:val="clear" w:color="auto" w:fill="auto"/>
            <w:tcMar>
              <w:top w:w="40" w:type="dxa"/>
              <w:left w:w="40" w:type="dxa"/>
              <w:bottom w:w="40" w:type="dxa"/>
              <w:right w:w="40" w:type="dxa"/>
            </w:tcMar>
            <w:vAlign w:val="bottom"/>
          </w:tcPr>
          <w:p w14:paraId="42A1218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2184"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2A1218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2186"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42A121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2188"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2191" w14:textId="77777777">
        <w:trPr>
          <w:jc w:val="center"/>
        </w:trPr>
        <w:tc>
          <w:tcPr>
            <w:tcW w:w="0" w:type="auto"/>
            <w:shd w:val="clear" w:color="auto" w:fill="CCEEFF"/>
            <w:tcMar>
              <w:top w:w="40" w:type="dxa"/>
              <w:left w:w="40" w:type="dxa"/>
              <w:bottom w:w="40" w:type="dxa"/>
              <w:right w:w="40" w:type="dxa"/>
            </w:tcMar>
            <w:vAlign w:val="center"/>
          </w:tcPr>
          <w:p w14:paraId="42A1218A"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Revenues:</w:t>
            </w:r>
          </w:p>
        </w:tc>
        <w:tc>
          <w:tcPr>
            <w:tcW w:w="0" w:type="auto"/>
            <w:shd w:val="clear" w:color="auto" w:fill="CCEEFF"/>
            <w:tcMar>
              <w:top w:w="40" w:type="dxa"/>
              <w:left w:w="40" w:type="dxa"/>
              <w:bottom w:w="40" w:type="dxa"/>
              <w:right w:w="40" w:type="dxa"/>
            </w:tcMar>
            <w:vAlign w:val="bottom"/>
          </w:tcPr>
          <w:p w14:paraId="42A1218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18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18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18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18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19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19F" w14:textId="77777777">
        <w:trPr>
          <w:jc w:val="center"/>
        </w:trPr>
        <w:tc>
          <w:tcPr>
            <w:tcW w:w="0" w:type="auto"/>
            <w:shd w:val="clear" w:color="auto" w:fill="auto"/>
            <w:tcMar>
              <w:top w:w="40" w:type="dxa"/>
              <w:left w:w="560" w:type="dxa"/>
              <w:bottom w:w="40" w:type="dxa"/>
              <w:right w:w="40" w:type="dxa"/>
            </w:tcMar>
            <w:vAlign w:val="center"/>
          </w:tcPr>
          <w:p w14:paraId="42A1219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auto"/>
            <w:tcMar>
              <w:top w:w="40" w:type="dxa"/>
              <w:left w:w="40" w:type="dxa"/>
              <w:bottom w:w="40" w:type="dxa"/>
              <w:right w:w="40" w:type="dxa"/>
            </w:tcMar>
            <w:vAlign w:val="bottom"/>
          </w:tcPr>
          <w:p w14:paraId="42A1219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19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219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519,926</w:t>
            </w:r>
          </w:p>
        </w:tc>
        <w:tc>
          <w:tcPr>
            <w:tcW w:w="0" w:type="auto"/>
            <w:shd w:val="clear" w:color="auto" w:fill="auto"/>
            <w:vAlign w:val="bottom"/>
          </w:tcPr>
          <w:p w14:paraId="42A1219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19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19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219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510,329</w:t>
            </w:r>
          </w:p>
        </w:tc>
        <w:tc>
          <w:tcPr>
            <w:tcW w:w="0" w:type="auto"/>
            <w:shd w:val="clear" w:color="auto" w:fill="auto"/>
            <w:vAlign w:val="bottom"/>
          </w:tcPr>
          <w:p w14:paraId="42A1219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19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19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219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495,761</w:t>
            </w:r>
          </w:p>
        </w:tc>
        <w:tc>
          <w:tcPr>
            <w:tcW w:w="0" w:type="auto"/>
            <w:shd w:val="clear" w:color="auto" w:fill="auto"/>
            <w:vAlign w:val="bottom"/>
          </w:tcPr>
          <w:p w14:paraId="42A1219E" w14:textId="77777777" w:rsidR="00BB68E1" w:rsidRDefault="00BB68E1">
            <w:pPr>
              <w:textAlignment w:val="bottom"/>
              <w:rPr>
                <w:rFonts w:ascii="Times New Roman" w:hAnsi="Times New Roman"/>
                <w:sz w:val="20"/>
                <w:szCs w:val="20"/>
              </w:rPr>
            </w:pPr>
          </w:p>
        </w:tc>
      </w:tr>
      <w:tr w:rsidR="00BB68E1" w14:paraId="42A121AA" w14:textId="77777777">
        <w:trPr>
          <w:jc w:val="center"/>
        </w:trPr>
        <w:tc>
          <w:tcPr>
            <w:tcW w:w="0" w:type="auto"/>
            <w:shd w:val="clear" w:color="auto" w:fill="CCEEFF"/>
            <w:tcMar>
              <w:top w:w="40" w:type="dxa"/>
              <w:left w:w="560" w:type="dxa"/>
              <w:bottom w:w="40" w:type="dxa"/>
              <w:right w:w="40" w:type="dxa"/>
            </w:tcMar>
            <w:vAlign w:val="center"/>
          </w:tcPr>
          <w:p w14:paraId="42A121A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Membership and other income</w:t>
            </w:r>
          </w:p>
        </w:tc>
        <w:tc>
          <w:tcPr>
            <w:tcW w:w="0" w:type="auto"/>
            <w:shd w:val="clear" w:color="auto" w:fill="CCEEFF"/>
            <w:tcMar>
              <w:top w:w="40" w:type="dxa"/>
              <w:left w:w="40" w:type="dxa"/>
              <w:bottom w:w="40" w:type="dxa"/>
              <w:right w:w="40" w:type="dxa"/>
            </w:tcMar>
            <w:vAlign w:val="bottom"/>
          </w:tcPr>
          <w:p w14:paraId="42A121A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1A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4,038</w:t>
            </w:r>
          </w:p>
        </w:tc>
        <w:tc>
          <w:tcPr>
            <w:tcW w:w="0" w:type="auto"/>
            <w:tcBorders>
              <w:bottom w:val="single" w:sz="8" w:space="0" w:color="000000"/>
            </w:tcBorders>
            <w:shd w:val="clear" w:color="auto" w:fill="CCEEFF"/>
            <w:vAlign w:val="bottom"/>
          </w:tcPr>
          <w:p w14:paraId="42A121A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1A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1A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4,076</w:t>
            </w:r>
          </w:p>
        </w:tc>
        <w:tc>
          <w:tcPr>
            <w:tcW w:w="0" w:type="auto"/>
            <w:tcBorders>
              <w:bottom w:val="single" w:sz="8" w:space="0" w:color="000000"/>
            </w:tcBorders>
            <w:shd w:val="clear" w:color="auto" w:fill="CCEEFF"/>
            <w:vAlign w:val="bottom"/>
          </w:tcPr>
          <w:p w14:paraId="42A121A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1A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1A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4,582</w:t>
            </w:r>
          </w:p>
        </w:tc>
        <w:tc>
          <w:tcPr>
            <w:tcW w:w="0" w:type="auto"/>
            <w:tcBorders>
              <w:bottom w:val="single" w:sz="8" w:space="0" w:color="000000"/>
            </w:tcBorders>
            <w:shd w:val="clear" w:color="auto" w:fill="CCEEFF"/>
            <w:vAlign w:val="bottom"/>
          </w:tcPr>
          <w:p w14:paraId="42A121A9" w14:textId="77777777" w:rsidR="00BB68E1" w:rsidRDefault="00BB68E1">
            <w:pPr>
              <w:textAlignment w:val="bottom"/>
              <w:rPr>
                <w:rFonts w:ascii="Times New Roman" w:hAnsi="Times New Roman"/>
                <w:sz w:val="20"/>
                <w:szCs w:val="20"/>
              </w:rPr>
            </w:pPr>
          </w:p>
        </w:tc>
      </w:tr>
      <w:tr w:rsidR="00BB68E1" w14:paraId="42A121B5" w14:textId="77777777">
        <w:trPr>
          <w:jc w:val="center"/>
        </w:trPr>
        <w:tc>
          <w:tcPr>
            <w:tcW w:w="0" w:type="auto"/>
            <w:shd w:val="clear" w:color="auto" w:fill="auto"/>
            <w:tcMar>
              <w:top w:w="40" w:type="dxa"/>
              <w:left w:w="880" w:type="dxa"/>
              <w:bottom w:w="40" w:type="dxa"/>
              <w:right w:w="40" w:type="dxa"/>
            </w:tcMar>
            <w:vAlign w:val="center"/>
          </w:tcPr>
          <w:p w14:paraId="42A121A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revenues</w:t>
            </w:r>
          </w:p>
        </w:tc>
        <w:tc>
          <w:tcPr>
            <w:tcW w:w="0" w:type="auto"/>
            <w:shd w:val="clear" w:color="auto" w:fill="auto"/>
            <w:tcMar>
              <w:top w:w="40" w:type="dxa"/>
              <w:left w:w="40" w:type="dxa"/>
              <w:bottom w:w="40" w:type="dxa"/>
              <w:right w:w="40" w:type="dxa"/>
            </w:tcMar>
            <w:vAlign w:val="bottom"/>
          </w:tcPr>
          <w:p w14:paraId="42A121A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1A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523,964</w:t>
            </w:r>
          </w:p>
        </w:tc>
        <w:tc>
          <w:tcPr>
            <w:tcW w:w="0" w:type="auto"/>
            <w:shd w:val="clear" w:color="auto" w:fill="auto"/>
            <w:vAlign w:val="bottom"/>
          </w:tcPr>
          <w:p w14:paraId="42A121A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1A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1B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514,405</w:t>
            </w:r>
          </w:p>
        </w:tc>
        <w:tc>
          <w:tcPr>
            <w:tcW w:w="0" w:type="auto"/>
            <w:shd w:val="clear" w:color="auto" w:fill="auto"/>
            <w:vAlign w:val="bottom"/>
          </w:tcPr>
          <w:p w14:paraId="42A121B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1B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1B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500,343</w:t>
            </w:r>
          </w:p>
        </w:tc>
        <w:tc>
          <w:tcPr>
            <w:tcW w:w="0" w:type="auto"/>
            <w:shd w:val="clear" w:color="auto" w:fill="auto"/>
            <w:vAlign w:val="bottom"/>
          </w:tcPr>
          <w:p w14:paraId="42A121B4" w14:textId="77777777" w:rsidR="00BB68E1" w:rsidRDefault="00BB68E1">
            <w:pPr>
              <w:textAlignment w:val="bottom"/>
              <w:rPr>
                <w:rFonts w:ascii="Times New Roman" w:hAnsi="Times New Roman"/>
                <w:sz w:val="20"/>
                <w:szCs w:val="20"/>
              </w:rPr>
            </w:pPr>
          </w:p>
        </w:tc>
      </w:tr>
      <w:tr w:rsidR="00BB68E1" w14:paraId="42A121BD" w14:textId="77777777">
        <w:trPr>
          <w:jc w:val="center"/>
        </w:trPr>
        <w:tc>
          <w:tcPr>
            <w:tcW w:w="0" w:type="auto"/>
            <w:shd w:val="clear" w:color="auto" w:fill="CCEEFF"/>
            <w:tcMar>
              <w:top w:w="40" w:type="dxa"/>
              <w:left w:w="40" w:type="dxa"/>
              <w:bottom w:w="40" w:type="dxa"/>
              <w:right w:w="40" w:type="dxa"/>
            </w:tcMar>
            <w:vAlign w:val="center"/>
          </w:tcPr>
          <w:p w14:paraId="42A121B6"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Costs and expenses:</w:t>
            </w:r>
          </w:p>
        </w:tc>
        <w:tc>
          <w:tcPr>
            <w:tcW w:w="0" w:type="auto"/>
            <w:shd w:val="clear" w:color="auto" w:fill="CCEEFF"/>
            <w:tcMar>
              <w:top w:w="40" w:type="dxa"/>
              <w:left w:w="40" w:type="dxa"/>
              <w:bottom w:w="40" w:type="dxa"/>
              <w:right w:w="40" w:type="dxa"/>
            </w:tcMar>
            <w:vAlign w:val="bottom"/>
          </w:tcPr>
          <w:p w14:paraId="42A121B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1B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1B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1B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1B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1B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1C8" w14:textId="77777777">
        <w:trPr>
          <w:jc w:val="center"/>
        </w:trPr>
        <w:tc>
          <w:tcPr>
            <w:tcW w:w="0" w:type="auto"/>
            <w:shd w:val="clear" w:color="auto" w:fill="auto"/>
            <w:tcMar>
              <w:top w:w="40" w:type="dxa"/>
              <w:left w:w="560" w:type="dxa"/>
              <w:bottom w:w="40" w:type="dxa"/>
              <w:right w:w="40" w:type="dxa"/>
            </w:tcMar>
            <w:vAlign w:val="center"/>
          </w:tcPr>
          <w:p w14:paraId="42A121B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Cost of sales</w:t>
            </w:r>
          </w:p>
        </w:tc>
        <w:tc>
          <w:tcPr>
            <w:tcW w:w="0" w:type="auto"/>
            <w:shd w:val="clear" w:color="auto" w:fill="auto"/>
            <w:tcMar>
              <w:top w:w="40" w:type="dxa"/>
              <w:left w:w="40" w:type="dxa"/>
              <w:bottom w:w="40" w:type="dxa"/>
              <w:right w:w="40" w:type="dxa"/>
            </w:tcMar>
            <w:vAlign w:val="bottom"/>
          </w:tcPr>
          <w:p w14:paraId="42A121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1C0"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394,605</w:t>
            </w:r>
          </w:p>
        </w:tc>
        <w:tc>
          <w:tcPr>
            <w:tcW w:w="0" w:type="auto"/>
            <w:shd w:val="clear" w:color="auto" w:fill="auto"/>
            <w:vAlign w:val="bottom"/>
          </w:tcPr>
          <w:p w14:paraId="42A121C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1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1C3"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385,301</w:t>
            </w:r>
          </w:p>
        </w:tc>
        <w:tc>
          <w:tcPr>
            <w:tcW w:w="0" w:type="auto"/>
            <w:shd w:val="clear" w:color="auto" w:fill="auto"/>
            <w:vAlign w:val="bottom"/>
          </w:tcPr>
          <w:p w14:paraId="42A121C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1C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1C6"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373,396</w:t>
            </w:r>
          </w:p>
        </w:tc>
        <w:tc>
          <w:tcPr>
            <w:tcW w:w="0" w:type="auto"/>
            <w:shd w:val="clear" w:color="auto" w:fill="auto"/>
            <w:vAlign w:val="bottom"/>
          </w:tcPr>
          <w:p w14:paraId="42A121C7" w14:textId="77777777" w:rsidR="00BB68E1" w:rsidRDefault="00BB68E1">
            <w:pPr>
              <w:textAlignment w:val="bottom"/>
              <w:rPr>
                <w:rFonts w:ascii="Times New Roman" w:hAnsi="Times New Roman"/>
                <w:sz w:val="20"/>
                <w:szCs w:val="20"/>
              </w:rPr>
            </w:pPr>
          </w:p>
        </w:tc>
      </w:tr>
      <w:tr w:rsidR="00BB68E1" w14:paraId="42A121D3" w14:textId="77777777">
        <w:trPr>
          <w:jc w:val="center"/>
        </w:trPr>
        <w:tc>
          <w:tcPr>
            <w:tcW w:w="0" w:type="auto"/>
            <w:shd w:val="clear" w:color="auto" w:fill="CCEEFF"/>
            <w:tcMar>
              <w:top w:w="40" w:type="dxa"/>
              <w:left w:w="560" w:type="dxa"/>
              <w:bottom w:w="40" w:type="dxa"/>
              <w:right w:w="40" w:type="dxa"/>
            </w:tcMar>
            <w:vAlign w:val="center"/>
          </w:tcPr>
          <w:p w14:paraId="42A121C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selling, general and administrative expenses</w:t>
            </w:r>
          </w:p>
        </w:tc>
        <w:tc>
          <w:tcPr>
            <w:tcW w:w="0" w:type="auto"/>
            <w:shd w:val="clear" w:color="auto" w:fill="CCEEFF"/>
            <w:tcMar>
              <w:top w:w="40" w:type="dxa"/>
              <w:left w:w="40" w:type="dxa"/>
              <w:bottom w:w="40" w:type="dxa"/>
              <w:right w:w="40" w:type="dxa"/>
            </w:tcMar>
            <w:vAlign w:val="bottom"/>
          </w:tcPr>
          <w:p w14:paraId="42A121C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21CB"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108,791</w:t>
            </w:r>
          </w:p>
        </w:tc>
        <w:tc>
          <w:tcPr>
            <w:tcW w:w="0" w:type="auto"/>
            <w:shd w:val="clear" w:color="auto" w:fill="CCEEFF"/>
            <w:vAlign w:val="bottom"/>
          </w:tcPr>
          <w:p w14:paraId="42A121C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1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21CE"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107,147</w:t>
            </w:r>
          </w:p>
        </w:tc>
        <w:tc>
          <w:tcPr>
            <w:tcW w:w="0" w:type="auto"/>
            <w:shd w:val="clear" w:color="auto" w:fill="CCEEFF"/>
            <w:vAlign w:val="bottom"/>
          </w:tcPr>
          <w:p w14:paraId="42A121C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1D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21D1"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106,510</w:t>
            </w:r>
          </w:p>
        </w:tc>
        <w:tc>
          <w:tcPr>
            <w:tcW w:w="0" w:type="auto"/>
            <w:shd w:val="clear" w:color="auto" w:fill="CCEEFF"/>
            <w:vAlign w:val="bottom"/>
          </w:tcPr>
          <w:p w14:paraId="42A121D2" w14:textId="77777777" w:rsidR="00BB68E1" w:rsidRDefault="00BB68E1">
            <w:pPr>
              <w:textAlignment w:val="bottom"/>
              <w:rPr>
                <w:rFonts w:ascii="Times New Roman" w:hAnsi="Times New Roman"/>
                <w:sz w:val="20"/>
                <w:szCs w:val="20"/>
              </w:rPr>
            </w:pPr>
          </w:p>
        </w:tc>
      </w:tr>
      <w:tr w:rsidR="00BB68E1" w14:paraId="42A121DE" w14:textId="77777777">
        <w:trPr>
          <w:jc w:val="center"/>
        </w:trPr>
        <w:tc>
          <w:tcPr>
            <w:tcW w:w="0" w:type="auto"/>
            <w:shd w:val="clear" w:color="auto" w:fill="auto"/>
            <w:tcMar>
              <w:top w:w="40" w:type="dxa"/>
              <w:left w:w="40" w:type="dxa"/>
              <w:bottom w:w="40" w:type="dxa"/>
              <w:right w:w="40" w:type="dxa"/>
            </w:tcMar>
            <w:vAlign w:val="center"/>
          </w:tcPr>
          <w:p w14:paraId="42A121D4"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Operating income</w:t>
            </w:r>
          </w:p>
        </w:tc>
        <w:tc>
          <w:tcPr>
            <w:tcW w:w="0" w:type="auto"/>
            <w:shd w:val="clear" w:color="auto" w:fill="auto"/>
            <w:tcMar>
              <w:top w:w="40" w:type="dxa"/>
              <w:left w:w="40" w:type="dxa"/>
              <w:bottom w:w="40" w:type="dxa"/>
              <w:right w:w="40" w:type="dxa"/>
            </w:tcMar>
            <w:vAlign w:val="bottom"/>
          </w:tcPr>
          <w:p w14:paraId="42A121D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42A121D6"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20,568</w:t>
            </w:r>
          </w:p>
        </w:tc>
        <w:tc>
          <w:tcPr>
            <w:tcW w:w="0" w:type="auto"/>
            <w:tcBorders>
              <w:top w:val="single" w:sz="8" w:space="0" w:color="000000"/>
            </w:tcBorders>
            <w:shd w:val="clear" w:color="auto" w:fill="auto"/>
            <w:vAlign w:val="bottom"/>
          </w:tcPr>
          <w:p w14:paraId="42A121D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1D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42A121D9"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21,957</w:t>
            </w:r>
          </w:p>
        </w:tc>
        <w:tc>
          <w:tcPr>
            <w:tcW w:w="0" w:type="auto"/>
            <w:tcBorders>
              <w:top w:val="single" w:sz="8" w:space="0" w:color="000000"/>
            </w:tcBorders>
            <w:shd w:val="clear" w:color="auto" w:fill="auto"/>
            <w:vAlign w:val="bottom"/>
          </w:tcPr>
          <w:p w14:paraId="42A121D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1D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42A121DC"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20,437</w:t>
            </w:r>
          </w:p>
        </w:tc>
        <w:tc>
          <w:tcPr>
            <w:tcW w:w="0" w:type="auto"/>
            <w:tcBorders>
              <w:top w:val="single" w:sz="8" w:space="0" w:color="000000"/>
            </w:tcBorders>
            <w:shd w:val="clear" w:color="auto" w:fill="auto"/>
            <w:vAlign w:val="bottom"/>
          </w:tcPr>
          <w:p w14:paraId="42A121DD" w14:textId="77777777" w:rsidR="00BB68E1" w:rsidRDefault="00BB68E1">
            <w:pPr>
              <w:textAlignment w:val="bottom"/>
              <w:rPr>
                <w:rFonts w:ascii="Times New Roman" w:hAnsi="Times New Roman"/>
                <w:sz w:val="20"/>
                <w:szCs w:val="20"/>
              </w:rPr>
            </w:pPr>
          </w:p>
        </w:tc>
      </w:tr>
      <w:tr w:rsidR="00BB68E1" w14:paraId="42A121E6" w14:textId="77777777">
        <w:trPr>
          <w:jc w:val="center"/>
        </w:trPr>
        <w:tc>
          <w:tcPr>
            <w:tcW w:w="0" w:type="auto"/>
            <w:shd w:val="clear" w:color="auto" w:fill="CCEEFF"/>
            <w:tcMar>
              <w:top w:w="40" w:type="dxa"/>
              <w:left w:w="40" w:type="dxa"/>
              <w:bottom w:w="40" w:type="dxa"/>
              <w:right w:w="40" w:type="dxa"/>
            </w:tcMar>
            <w:vAlign w:val="center"/>
          </w:tcPr>
          <w:p w14:paraId="42A121DF"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Interest:</w:t>
            </w:r>
          </w:p>
        </w:tc>
        <w:tc>
          <w:tcPr>
            <w:tcW w:w="0" w:type="auto"/>
            <w:shd w:val="clear" w:color="auto" w:fill="CCEEFF"/>
            <w:tcMar>
              <w:top w:w="40" w:type="dxa"/>
              <w:left w:w="40" w:type="dxa"/>
              <w:bottom w:w="40" w:type="dxa"/>
              <w:right w:w="40" w:type="dxa"/>
            </w:tcMar>
            <w:vAlign w:val="bottom"/>
          </w:tcPr>
          <w:p w14:paraId="42A121E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1E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1E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1E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1E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1E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1F1" w14:textId="77777777">
        <w:trPr>
          <w:jc w:val="center"/>
        </w:trPr>
        <w:tc>
          <w:tcPr>
            <w:tcW w:w="0" w:type="auto"/>
            <w:shd w:val="clear" w:color="auto" w:fill="auto"/>
            <w:tcMar>
              <w:top w:w="40" w:type="dxa"/>
              <w:left w:w="560" w:type="dxa"/>
              <w:bottom w:w="40" w:type="dxa"/>
              <w:right w:w="40" w:type="dxa"/>
            </w:tcMar>
            <w:vAlign w:val="center"/>
          </w:tcPr>
          <w:p w14:paraId="42A121E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Debt</w:t>
            </w:r>
          </w:p>
        </w:tc>
        <w:tc>
          <w:tcPr>
            <w:tcW w:w="0" w:type="auto"/>
            <w:shd w:val="clear" w:color="auto" w:fill="auto"/>
            <w:tcMar>
              <w:top w:w="40" w:type="dxa"/>
              <w:left w:w="40" w:type="dxa"/>
              <w:bottom w:w="40" w:type="dxa"/>
              <w:right w:w="40" w:type="dxa"/>
            </w:tcMar>
            <w:vAlign w:val="bottom"/>
          </w:tcPr>
          <w:p w14:paraId="42A121E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1E9"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2,262</w:t>
            </w:r>
          </w:p>
        </w:tc>
        <w:tc>
          <w:tcPr>
            <w:tcW w:w="0" w:type="auto"/>
            <w:shd w:val="clear" w:color="auto" w:fill="auto"/>
            <w:vAlign w:val="bottom"/>
          </w:tcPr>
          <w:p w14:paraId="42A121E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1E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1EC"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1,975</w:t>
            </w:r>
          </w:p>
        </w:tc>
        <w:tc>
          <w:tcPr>
            <w:tcW w:w="0" w:type="auto"/>
            <w:shd w:val="clear" w:color="auto" w:fill="auto"/>
            <w:vAlign w:val="bottom"/>
          </w:tcPr>
          <w:p w14:paraId="42A121E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1E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1EF"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1,978</w:t>
            </w:r>
          </w:p>
        </w:tc>
        <w:tc>
          <w:tcPr>
            <w:tcW w:w="0" w:type="auto"/>
            <w:shd w:val="clear" w:color="auto" w:fill="auto"/>
            <w:vAlign w:val="bottom"/>
          </w:tcPr>
          <w:p w14:paraId="42A121F0" w14:textId="77777777" w:rsidR="00BB68E1" w:rsidRDefault="00BB68E1">
            <w:pPr>
              <w:textAlignment w:val="bottom"/>
              <w:rPr>
                <w:rFonts w:ascii="Times New Roman" w:hAnsi="Times New Roman"/>
                <w:sz w:val="20"/>
                <w:szCs w:val="20"/>
              </w:rPr>
            </w:pPr>
          </w:p>
        </w:tc>
      </w:tr>
      <w:tr w:rsidR="00BB68E1" w14:paraId="42A121FC" w14:textId="77777777">
        <w:trPr>
          <w:jc w:val="center"/>
        </w:trPr>
        <w:tc>
          <w:tcPr>
            <w:tcW w:w="0" w:type="auto"/>
            <w:shd w:val="clear" w:color="auto" w:fill="CCEEFF"/>
            <w:tcMar>
              <w:top w:w="40" w:type="dxa"/>
              <w:left w:w="560" w:type="dxa"/>
              <w:bottom w:w="40" w:type="dxa"/>
              <w:right w:w="40" w:type="dxa"/>
            </w:tcMar>
            <w:vAlign w:val="center"/>
          </w:tcPr>
          <w:p w14:paraId="42A121F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Finance, capital lease and financing obligations</w:t>
            </w:r>
          </w:p>
        </w:tc>
        <w:tc>
          <w:tcPr>
            <w:tcW w:w="0" w:type="auto"/>
            <w:shd w:val="clear" w:color="auto" w:fill="CCEEFF"/>
            <w:tcMar>
              <w:top w:w="40" w:type="dxa"/>
              <w:left w:w="40" w:type="dxa"/>
              <w:bottom w:w="40" w:type="dxa"/>
              <w:right w:w="40" w:type="dxa"/>
            </w:tcMar>
            <w:vAlign w:val="bottom"/>
          </w:tcPr>
          <w:p w14:paraId="42A121F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21F4"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337</w:t>
            </w:r>
          </w:p>
        </w:tc>
        <w:tc>
          <w:tcPr>
            <w:tcW w:w="0" w:type="auto"/>
            <w:shd w:val="clear" w:color="auto" w:fill="CCEEFF"/>
            <w:vAlign w:val="bottom"/>
          </w:tcPr>
          <w:p w14:paraId="42A121F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1F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21F7"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371</w:t>
            </w:r>
          </w:p>
        </w:tc>
        <w:tc>
          <w:tcPr>
            <w:tcW w:w="0" w:type="auto"/>
            <w:shd w:val="clear" w:color="auto" w:fill="CCEEFF"/>
            <w:vAlign w:val="bottom"/>
          </w:tcPr>
          <w:p w14:paraId="42A121F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1F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21FA"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352</w:t>
            </w:r>
          </w:p>
        </w:tc>
        <w:tc>
          <w:tcPr>
            <w:tcW w:w="0" w:type="auto"/>
            <w:shd w:val="clear" w:color="auto" w:fill="CCEEFF"/>
            <w:vAlign w:val="bottom"/>
          </w:tcPr>
          <w:p w14:paraId="42A121FB" w14:textId="77777777" w:rsidR="00BB68E1" w:rsidRDefault="00BB68E1">
            <w:pPr>
              <w:textAlignment w:val="bottom"/>
              <w:rPr>
                <w:rFonts w:ascii="Times New Roman" w:hAnsi="Times New Roman"/>
                <w:sz w:val="20"/>
                <w:szCs w:val="20"/>
              </w:rPr>
            </w:pPr>
          </w:p>
        </w:tc>
      </w:tr>
      <w:tr w:rsidR="00BB68E1" w14:paraId="42A12207" w14:textId="77777777">
        <w:trPr>
          <w:jc w:val="center"/>
        </w:trPr>
        <w:tc>
          <w:tcPr>
            <w:tcW w:w="0" w:type="auto"/>
            <w:shd w:val="clear" w:color="auto" w:fill="auto"/>
            <w:tcMar>
              <w:top w:w="40" w:type="dxa"/>
              <w:left w:w="560" w:type="dxa"/>
              <w:bottom w:w="40" w:type="dxa"/>
              <w:right w:w="40" w:type="dxa"/>
            </w:tcMar>
            <w:vAlign w:val="center"/>
          </w:tcPr>
          <w:p w14:paraId="42A121F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Interest income</w:t>
            </w:r>
          </w:p>
        </w:tc>
        <w:tc>
          <w:tcPr>
            <w:tcW w:w="0" w:type="auto"/>
            <w:shd w:val="clear" w:color="auto" w:fill="auto"/>
            <w:tcMar>
              <w:top w:w="40" w:type="dxa"/>
              <w:left w:w="40" w:type="dxa"/>
              <w:bottom w:w="40" w:type="dxa"/>
              <w:right w:w="40" w:type="dxa"/>
            </w:tcMar>
            <w:vAlign w:val="bottom"/>
          </w:tcPr>
          <w:p w14:paraId="42A121F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1FF"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(189</w:t>
            </w:r>
          </w:p>
        </w:tc>
        <w:tc>
          <w:tcPr>
            <w:tcW w:w="0" w:type="auto"/>
            <w:shd w:val="clear" w:color="auto" w:fill="auto"/>
            <w:tcMar>
              <w:top w:w="40" w:type="dxa"/>
              <w:bottom w:w="40" w:type="dxa"/>
              <w:right w:w="40" w:type="dxa"/>
            </w:tcMar>
            <w:vAlign w:val="bottom"/>
          </w:tcPr>
          <w:p w14:paraId="42A12200"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20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202"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(217</w:t>
            </w:r>
          </w:p>
        </w:tc>
        <w:tc>
          <w:tcPr>
            <w:tcW w:w="0" w:type="auto"/>
            <w:shd w:val="clear" w:color="auto" w:fill="auto"/>
            <w:tcMar>
              <w:top w:w="40" w:type="dxa"/>
              <w:bottom w:w="40" w:type="dxa"/>
              <w:right w:w="40" w:type="dxa"/>
            </w:tcMar>
            <w:vAlign w:val="bottom"/>
          </w:tcPr>
          <w:p w14:paraId="42A1220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20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205"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(152</w:t>
            </w:r>
          </w:p>
        </w:tc>
        <w:tc>
          <w:tcPr>
            <w:tcW w:w="0" w:type="auto"/>
            <w:shd w:val="clear" w:color="auto" w:fill="auto"/>
            <w:tcMar>
              <w:top w:w="40" w:type="dxa"/>
              <w:bottom w:w="40" w:type="dxa"/>
              <w:right w:w="40" w:type="dxa"/>
            </w:tcMar>
            <w:vAlign w:val="bottom"/>
          </w:tcPr>
          <w:p w14:paraId="42A12206"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r>
      <w:tr w:rsidR="00BB68E1" w14:paraId="42A12212" w14:textId="77777777">
        <w:trPr>
          <w:jc w:val="center"/>
        </w:trPr>
        <w:tc>
          <w:tcPr>
            <w:tcW w:w="0" w:type="auto"/>
            <w:shd w:val="clear" w:color="auto" w:fill="CCEEFF"/>
            <w:tcMar>
              <w:top w:w="40" w:type="dxa"/>
              <w:left w:w="880" w:type="dxa"/>
              <w:bottom w:w="40" w:type="dxa"/>
              <w:right w:w="40" w:type="dxa"/>
            </w:tcMar>
            <w:vAlign w:val="center"/>
          </w:tcPr>
          <w:p w14:paraId="42A1220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Interest, net</w:t>
            </w:r>
          </w:p>
        </w:tc>
        <w:tc>
          <w:tcPr>
            <w:tcW w:w="0" w:type="auto"/>
            <w:shd w:val="clear" w:color="auto" w:fill="CCEEFF"/>
            <w:tcMar>
              <w:top w:w="40" w:type="dxa"/>
              <w:left w:w="40" w:type="dxa"/>
              <w:bottom w:w="40" w:type="dxa"/>
              <w:right w:w="40" w:type="dxa"/>
            </w:tcMar>
            <w:vAlign w:val="bottom"/>
          </w:tcPr>
          <w:p w14:paraId="42A1220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42A1220A"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2,410</w:t>
            </w:r>
          </w:p>
        </w:tc>
        <w:tc>
          <w:tcPr>
            <w:tcW w:w="0" w:type="auto"/>
            <w:tcBorders>
              <w:top w:val="single" w:sz="8" w:space="0" w:color="000000"/>
            </w:tcBorders>
            <w:shd w:val="clear" w:color="auto" w:fill="CCEEFF"/>
            <w:vAlign w:val="bottom"/>
          </w:tcPr>
          <w:p w14:paraId="42A1220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20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42A1220D"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2,129</w:t>
            </w:r>
          </w:p>
        </w:tc>
        <w:tc>
          <w:tcPr>
            <w:tcW w:w="0" w:type="auto"/>
            <w:tcBorders>
              <w:top w:val="single" w:sz="8" w:space="0" w:color="000000"/>
            </w:tcBorders>
            <w:shd w:val="clear" w:color="auto" w:fill="CCEEFF"/>
            <w:vAlign w:val="bottom"/>
          </w:tcPr>
          <w:p w14:paraId="42A1220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20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42A12210"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2,178</w:t>
            </w:r>
          </w:p>
        </w:tc>
        <w:tc>
          <w:tcPr>
            <w:tcW w:w="0" w:type="auto"/>
            <w:tcBorders>
              <w:top w:val="single" w:sz="8" w:space="0" w:color="000000"/>
            </w:tcBorders>
            <w:shd w:val="clear" w:color="auto" w:fill="CCEEFF"/>
            <w:vAlign w:val="bottom"/>
          </w:tcPr>
          <w:p w14:paraId="42A12211" w14:textId="77777777" w:rsidR="00BB68E1" w:rsidRDefault="00BB68E1">
            <w:pPr>
              <w:textAlignment w:val="bottom"/>
              <w:rPr>
                <w:rFonts w:ascii="Times New Roman" w:hAnsi="Times New Roman"/>
                <w:sz w:val="20"/>
                <w:szCs w:val="20"/>
              </w:rPr>
            </w:pPr>
          </w:p>
        </w:tc>
      </w:tr>
      <w:tr w:rsidR="00BB68E1" w14:paraId="42A1221D" w14:textId="77777777">
        <w:trPr>
          <w:jc w:val="center"/>
        </w:trPr>
        <w:tc>
          <w:tcPr>
            <w:tcW w:w="0" w:type="auto"/>
            <w:shd w:val="clear" w:color="auto" w:fill="auto"/>
            <w:tcMar>
              <w:top w:w="40" w:type="dxa"/>
              <w:left w:w="40" w:type="dxa"/>
              <w:bottom w:w="40" w:type="dxa"/>
              <w:right w:w="40" w:type="dxa"/>
            </w:tcMar>
            <w:vAlign w:val="center"/>
          </w:tcPr>
          <w:p w14:paraId="42A1221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Loss on extinguishment of debt</w:t>
            </w:r>
          </w:p>
        </w:tc>
        <w:tc>
          <w:tcPr>
            <w:tcW w:w="0" w:type="auto"/>
            <w:shd w:val="clear" w:color="auto" w:fill="auto"/>
            <w:tcMar>
              <w:top w:w="40" w:type="dxa"/>
              <w:left w:w="40" w:type="dxa"/>
              <w:bottom w:w="40" w:type="dxa"/>
              <w:right w:w="40" w:type="dxa"/>
            </w:tcMar>
            <w:vAlign w:val="bottom"/>
          </w:tcPr>
          <w:p w14:paraId="42A1221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215"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21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21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218"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21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21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21B"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3,136</w:t>
            </w:r>
          </w:p>
        </w:tc>
        <w:tc>
          <w:tcPr>
            <w:tcW w:w="0" w:type="auto"/>
            <w:shd w:val="clear" w:color="auto" w:fill="auto"/>
            <w:vAlign w:val="bottom"/>
          </w:tcPr>
          <w:p w14:paraId="42A1221C" w14:textId="77777777" w:rsidR="00BB68E1" w:rsidRDefault="00BB68E1">
            <w:pPr>
              <w:textAlignment w:val="bottom"/>
              <w:rPr>
                <w:rFonts w:ascii="Times New Roman" w:hAnsi="Times New Roman"/>
                <w:sz w:val="20"/>
                <w:szCs w:val="20"/>
              </w:rPr>
            </w:pPr>
          </w:p>
        </w:tc>
      </w:tr>
      <w:tr w:rsidR="00BB68E1" w14:paraId="42A12228" w14:textId="77777777">
        <w:trPr>
          <w:jc w:val="center"/>
        </w:trPr>
        <w:tc>
          <w:tcPr>
            <w:tcW w:w="0" w:type="auto"/>
            <w:shd w:val="clear" w:color="auto" w:fill="CCEEFF"/>
            <w:tcMar>
              <w:top w:w="40" w:type="dxa"/>
              <w:left w:w="40" w:type="dxa"/>
              <w:bottom w:w="40" w:type="dxa"/>
              <w:right w:w="40" w:type="dxa"/>
            </w:tcMar>
            <w:vAlign w:val="center"/>
          </w:tcPr>
          <w:p w14:paraId="42A1221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Other </w:t>
            </w:r>
            <w:r>
              <w:rPr>
                <w:rFonts w:ascii="Times New Roman" w:eastAsia="宋体" w:hAnsi="Times New Roman"/>
                <w:sz w:val="16"/>
                <w:szCs w:val="16"/>
              </w:rPr>
              <w:t>(gains) and losses</w:t>
            </w:r>
          </w:p>
        </w:tc>
        <w:tc>
          <w:tcPr>
            <w:tcW w:w="0" w:type="auto"/>
            <w:shd w:val="clear" w:color="auto" w:fill="CCEEFF"/>
            <w:tcMar>
              <w:top w:w="40" w:type="dxa"/>
              <w:left w:w="40" w:type="dxa"/>
              <w:bottom w:w="40" w:type="dxa"/>
              <w:right w:w="40" w:type="dxa"/>
            </w:tcMar>
            <w:vAlign w:val="bottom"/>
          </w:tcPr>
          <w:p w14:paraId="42A1221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2A12220"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(1,958</w:t>
            </w:r>
          </w:p>
        </w:tc>
        <w:tc>
          <w:tcPr>
            <w:tcW w:w="0" w:type="auto"/>
            <w:tcBorders>
              <w:bottom w:val="single" w:sz="8" w:space="0" w:color="000000"/>
            </w:tcBorders>
            <w:shd w:val="clear" w:color="auto" w:fill="CCEEFF"/>
            <w:tcMar>
              <w:top w:w="40" w:type="dxa"/>
              <w:bottom w:w="40" w:type="dxa"/>
              <w:right w:w="40" w:type="dxa"/>
            </w:tcMar>
            <w:vAlign w:val="bottom"/>
          </w:tcPr>
          <w:p w14:paraId="42A1222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22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2A12223"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8,368</w:t>
            </w:r>
          </w:p>
        </w:tc>
        <w:tc>
          <w:tcPr>
            <w:tcW w:w="0" w:type="auto"/>
            <w:tcBorders>
              <w:bottom w:val="single" w:sz="8" w:space="0" w:color="000000"/>
            </w:tcBorders>
            <w:shd w:val="clear" w:color="auto" w:fill="CCEEFF"/>
            <w:vAlign w:val="bottom"/>
          </w:tcPr>
          <w:p w14:paraId="42A1222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22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2A12226"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42A12227" w14:textId="77777777" w:rsidR="00BB68E1" w:rsidRDefault="00BB68E1">
            <w:pPr>
              <w:textAlignment w:val="bottom"/>
              <w:rPr>
                <w:rFonts w:ascii="Times New Roman" w:hAnsi="Times New Roman"/>
                <w:sz w:val="20"/>
                <w:szCs w:val="20"/>
              </w:rPr>
            </w:pPr>
          </w:p>
        </w:tc>
      </w:tr>
      <w:tr w:rsidR="00BB68E1" w14:paraId="42A12233" w14:textId="77777777">
        <w:trPr>
          <w:jc w:val="center"/>
        </w:trPr>
        <w:tc>
          <w:tcPr>
            <w:tcW w:w="0" w:type="auto"/>
            <w:shd w:val="clear" w:color="auto" w:fill="auto"/>
            <w:tcMar>
              <w:top w:w="40" w:type="dxa"/>
              <w:left w:w="40" w:type="dxa"/>
              <w:bottom w:w="40" w:type="dxa"/>
              <w:right w:w="40" w:type="dxa"/>
            </w:tcMar>
            <w:vAlign w:val="center"/>
          </w:tcPr>
          <w:p w14:paraId="42A12229"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Income before income taxes</w:t>
            </w:r>
          </w:p>
        </w:tc>
        <w:tc>
          <w:tcPr>
            <w:tcW w:w="0" w:type="auto"/>
            <w:shd w:val="clear" w:color="auto" w:fill="auto"/>
            <w:tcMar>
              <w:top w:w="40" w:type="dxa"/>
              <w:left w:w="40" w:type="dxa"/>
              <w:bottom w:w="40" w:type="dxa"/>
              <w:right w:w="40" w:type="dxa"/>
            </w:tcMar>
            <w:vAlign w:val="bottom"/>
          </w:tcPr>
          <w:p w14:paraId="42A1222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22B"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20,116</w:t>
            </w:r>
          </w:p>
        </w:tc>
        <w:tc>
          <w:tcPr>
            <w:tcW w:w="0" w:type="auto"/>
            <w:shd w:val="clear" w:color="auto" w:fill="auto"/>
            <w:vAlign w:val="bottom"/>
          </w:tcPr>
          <w:p w14:paraId="42A1222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22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22E"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11,460</w:t>
            </w:r>
          </w:p>
        </w:tc>
        <w:tc>
          <w:tcPr>
            <w:tcW w:w="0" w:type="auto"/>
            <w:shd w:val="clear" w:color="auto" w:fill="auto"/>
            <w:vAlign w:val="bottom"/>
          </w:tcPr>
          <w:p w14:paraId="42A1222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23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231"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15,123</w:t>
            </w:r>
          </w:p>
        </w:tc>
        <w:tc>
          <w:tcPr>
            <w:tcW w:w="0" w:type="auto"/>
            <w:shd w:val="clear" w:color="auto" w:fill="auto"/>
            <w:vAlign w:val="bottom"/>
          </w:tcPr>
          <w:p w14:paraId="42A12232" w14:textId="77777777" w:rsidR="00BB68E1" w:rsidRDefault="00BB68E1">
            <w:pPr>
              <w:textAlignment w:val="bottom"/>
              <w:rPr>
                <w:rFonts w:ascii="Times New Roman" w:hAnsi="Times New Roman"/>
                <w:sz w:val="20"/>
                <w:szCs w:val="20"/>
              </w:rPr>
            </w:pPr>
          </w:p>
        </w:tc>
      </w:tr>
      <w:tr w:rsidR="00BB68E1" w14:paraId="42A1223E" w14:textId="77777777">
        <w:trPr>
          <w:jc w:val="center"/>
        </w:trPr>
        <w:tc>
          <w:tcPr>
            <w:tcW w:w="0" w:type="auto"/>
            <w:shd w:val="clear" w:color="auto" w:fill="CCEEFF"/>
            <w:tcMar>
              <w:top w:w="40" w:type="dxa"/>
              <w:left w:w="40" w:type="dxa"/>
              <w:bottom w:w="40" w:type="dxa"/>
              <w:right w:w="40" w:type="dxa"/>
            </w:tcMar>
            <w:vAlign w:val="center"/>
          </w:tcPr>
          <w:p w14:paraId="42A1223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Provision for income taxes</w:t>
            </w:r>
          </w:p>
        </w:tc>
        <w:tc>
          <w:tcPr>
            <w:tcW w:w="0" w:type="auto"/>
            <w:shd w:val="clear" w:color="auto" w:fill="CCEEFF"/>
            <w:tcMar>
              <w:top w:w="40" w:type="dxa"/>
              <w:left w:w="40" w:type="dxa"/>
              <w:bottom w:w="40" w:type="dxa"/>
              <w:right w:w="40" w:type="dxa"/>
            </w:tcMar>
            <w:vAlign w:val="bottom"/>
          </w:tcPr>
          <w:p w14:paraId="42A1223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2A12236"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4,915</w:t>
            </w:r>
          </w:p>
        </w:tc>
        <w:tc>
          <w:tcPr>
            <w:tcW w:w="0" w:type="auto"/>
            <w:tcBorders>
              <w:bottom w:val="single" w:sz="8" w:space="0" w:color="000000"/>
            </w:tcBorders>
            <w:shd w:val="clear" w:color="auto" w:fill="CCEEFF"/>
            <w:vAlign w:val="bottom"/>
          </w:tcPr>
          <w:p w14:paraId="42A1223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23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2A12239"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4,281</w:t>
            </w:r>
          </w:p>
        </w:tc>
        <w:tc>
          <w:tcPr>
            <w:tcW w:w="0" w:type="auto"/>
            <w:tcBorders>
              <w:bottom w:val="single" w:sz="8" w:space="0" w:color="000000"/>
            </w:tcBorders>
            <w:shd w:val="clear" w:color="auto" w:fill="CCEEFF"/>
            <w:vAlign w:val="bottom"/>
          </w:tcPr>
          <w:p w14:paraId="42A1223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2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2A1223C"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4,600</w:t>
            </w:r>
          </w:p>
        </w:tc>
        <w:tc>
          <w:tcPr>
            <w:tcW w:w="0" w:type="auto"/>
            <w:tcBorders>
              <w:bottom w:val="single" w:sz="8" w:space="0" w:color="000000"/>
            </w:tcBorders>
            <w:shd w:val="clear" w:color="auto" w:fill="CCEEFF"/>
            <w:vAlign w:val="bottom"/>
          </w:tcPr>
          <w:p w14:paraId="42A1223D" w14:textId="77777777" w:rsidR="00BB68E1" w:rsidRDefault="00BB68E1">
            <w:pPr>
              <w:textAlignment w:val="bottom"/>
              <w:rPr>
                <w:rFonts w:ascii="Times New Roman" w:hAnsi="Times New Roman"/>
                <w:sz w:val="20"/>
                <w:szCs w:val="20"/>
              </w:rPr>
            </w:pPr>
          </w:p>
        </w:tc>
      </w:tr>
      <w:tr w:rsidR="00BB68E1" w14:paraId="42A12249" w14:textId="77777777">
        <w:trPr>
          <w:jc w:val="center"/>
        </w:trPr>
        <w:tc>
          <w:tcPr>
            <w:tcW w:w="0" w:type="auto"/>
            <w:shd w:val="clear" w:color="auto" w:fill="auto"/>
            <w:tcMar>
              <w:top w:w="40" w:type="dxa"/>
              <w:left w:w="40" w:type="dxa"/>
              <w:bottom w:w="40" w:type="dxa"/>
              <w:right w:w="40" w:type="dxa"/>
            </w:tcMar>
            <w:vAlign w:val="center"/>
          </w:tcPr>
          <w:p w14:paraId="42A1223F"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Consolidated net income</w:t>
            </w:r>
          </w:p>
        </w:tc>
        <w:tc>
          <w:tcPr>
            <w:tcW w:w="0" w:type="auto"/>
            <w:shd w:val="clear" w:color="auto" w:fill="auto"/>
            <w:tcMar>
              <w:top w:w="40" w:type="dxa"/>
              <w:left w:w="40" w:type="dxa"/>
              <w:bottom w:w="40" w:type="dxa"/>
              <w:right w:w="40" w:type="dxa"/>
            </w:tcMar>
            <w:vAlign w:val="bottom"/>
          </w:tcPr>
          <w:p w14:paraId="42A1224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42A12241"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15,201</w:t>
            </w:r>
          </w:p>
        </w:tc>
        <w:tc>
          <w:tcPr>
            <w:tcW w:w="0" w:type="auto"/>
            <w:tcBorders>
              <w:top w:val="single" w:sz="8" w:space="0" w:color="000000"/>
            </w:tcBorders>
            <w:shd w:val="clear" w:color="auto" w:fill="auto"/>
            <w:vAlign w:val="bottom"/>
          </w:tcPr>
          <w:p w14:paraId="42A1224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24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42A12244"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7,179</w:t>
            </w:r>
          </w:p>
        </w:tc>
        <w:tc>
          <w:tcPr>
            <w:tcW w:w="0" w:type="auto"/>
            <w:tcBorders>
              <w:top w:val="single" w:sz="8" w:space="0" w:color="000000"/>
            </w:tcBorders>
            <w:shd w:val="clear" w:color="auto" w:fill="auto"/>
            <w:vAlign w:val="bottom"/>
          </w:tcPr>
          <w:p w14:paraId="42A1224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24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42A12247"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10,523</w:t>
            </w:r>
          </w:p>
        </w:tc>
        <w:tc>
          <w:tcPr>
            <w:tcW w:w="0" w:type="auto"/>
            <w:tcBorders>
              <w:top w:val="single" w:sz="8" w:space="0" w:color="000000"/>
            </w:tcBorders>
            <w:shd w:val="clear" w:color="auto" w:fill="auto"/>
            <w:vAlign w:val="bottom"/>
          </w:tcPr>
          <w:p w14:paraId="42A12248" w14:textId="77777777" w:rsidR="00BB68E1" w:rsidRDefault="00BB68E1">
            <w:pPr>
              <w:textAlignment w:val="bottom"/>
              <w:rPr>
                <w:rFonts w:ascii="Times New Roman" w:hAnsi="Times New Roman"/>
                <w:sz w:val="20"/>
                <w:szCs w:val="20"/>
              </w:rPr>
            </w:pPr>
          </w:p>
        </w:tc>
      </w:tr>
      <w:tr w:rsidR="00BB68E1" w14:paraId="42A12254" w14:textId="77777777">
        <w:trPr>
          <w:jc w:val="center"/>
        </w:trPr>
        <w:tc>
          <w:tcPr>
            <w:tcW w:w="0" w:type="auto"/>
            <w:shd w:val="clear" w:color="auto" w:fill="CCEEFF"/>
            <w:tcMar>
              <w:top w:w="40" w:type="dxa"/>
              <w:left w:w="40" w:type="dxa"/>
              <w:bottom w:w="40" w:type="dxa"/>
              <w:right w:w="40" w:type="dxa"/>
            </w:tcMar>
            <w:vAlign w:val="center"/>
          </w:tcPr>
          <w:p w14:paraId="42A1224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Consolidated net income </w:t>
            </w:r>
            <w:r>
              <w:rPr>
                <w:rFonts w:ascii="Times New Roman" w:eastAsia="宋体" w:hAnsi="Times New Roman"/>
                <w:sz w:val="16"/>
                <w:szCs w:val="16"/>
              </w:rPr>
              <w:t>attributable to noncontrolling interest</w:t>
            </w:r>
          </w:p>
        </w:tc>
        <w:tc>
          <w:tcPr>
            <w:tcW w:w="0" w:type="auto"/>
            <w:shd w:val="clear" w:color="auto" w:fill="CCEEFF"/>
            <w:tcMar>
              <w:top w:w="40" w:type="dxa"/>
              <w:left w:w="40" w:type="dxa"/>
              <w:bottom w:w="40" w:type="dxa"/>
              <w:right w:w="40" w:type="dxa"/>
            </w:tcMar>
            <w:vAlign w:val="bottom"/>
          </w:tcPr>
          <w:p w14:paraId="42A1224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2A1224C"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(320</w:t>
            </w:r>
          </w:p>
        </w:tc>
        <w:tc>
          <w:tcPr>
            <w:tcW w:w="0" w:type="auto"/>
            <w:tcBorders>
              <w:bottom w:val="single" w:sz="8" w:space="0" w:color="000000"/>
            </w:tcBorders>
            <w:shd w:val="clear" w:color="auto" w:fill="CCEEFF"/>
            <w:tcMar>
              <w:top w:w="40" w:type="dxa"/>
              <w:bottom w:w="40" w:type="dxa"/>
              <w:right w:w="40" w:type="dxa"/>
            </w:tcMar>
            <w:vAlign w:val="bottom"/>
          </w:tcPr>
          <w:p w14:paraId="42A1224D"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24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2A1224F"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(509</w:t>
            </w:r>
          </w:p>
        </w:tc>
        <w:tc>
          <w:tcPr>
            <w:tcW w:w="0" w:type="auto"/>
            <w:tcBorders>
              <w:bottom w:val="single" w:sz="8" w:space="0" w:color="000000"/>
            </w:tcBorders>
            <w:shd w:val="clear" w:color="auto" w:fill="CCEEFF"/>
            <w:tcMar>
              <w:top w:w="40" w:type="dxa"/>
              <w:bottom w:w="40" w:type="dxa"/>
              <w:right w:w="40" w:type="dxa"/>
            </w:tcMar>
            <w:vAlign w:val="bottom"/>
          </w:tcPr>
          <w:p w14:paraId="42A12250"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25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2A12252"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(661</w:t>
            </w:r>
          </w:p>
        </w:tc>
        <w:tc>
          <w:tcPr>
            <w:tcW w:w="0" w:type="auto"/>
            <w:tcBorders>
              <w:bottom w:val="single" w:sz="8" w:space="0" w:color="000000"/>
            </w:tcBorders>
            <w:shd w:val="clear" w:color="auto" w:fill="CCEEFF"/>
            <w:tcMar>
              <w:top w:w="40" w:type="dxa"/>
              <w:bottom w:w="40" w:type="dxa"/>
              <w:right w:w="40" w:type="dxa"/>
            </w:tcMar>
            <w:vAlign w:val="bottom"/>
          </w:tcPr>
          <w:p w14:paraId="42A1225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r>
      <w:tr w:rsidR="00BB68E1" w14:paraId="42A12262" w14:textId="77777777">
        <w:trPr>
          <w:jc w:val="center"/>
        </w:trPr>
        <w:tc>
          <w:tcPr>
            <w:tcW w:w="0" w:type="auto"/>
            <w:shd w:val="clear" w:color="auto" w:fill="auto"/>
            <w:tcMar>
              <w:top w:w="40" w:type="dxa"/>
              <w:left w:w="40" w:type="dxa"/>
              <w:bottom w:w="40" w:type="dxa"/>
              <w:right w:w="40" w:type="dxa"/>
            </w:tcMar>
            <w:vAlign w:val="center"/>
          </w:tcPr>
          <w:p w14:paraId="42A12255"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Consolidated net income attributable to Walmart</w:t>
            </w:r>
          </w:p>
        </w:tc>
        <w:tc>
          <w:tcPr>
            <w:tcW w:w="0" w:type="auto"/>
            <w:shd w:val="clear" w:color="auto" w:fill="auto"/>
            <w:tcMar>
              <w:top w:w="40" w:type="dxa"/>
              <w:left w:w="40" w:type="dxa"/>
              <w:bottom w:w="40" w:type="dxa"/>
              <w:right w:w="40" w:type="dxa"/>
            </w:tcMar>
            <w:vAlign w:val="bottom"/>
          </w:tcPr>
          <w:p w14:paraId="42A1225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225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225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14,881</w:t>
            </w:r>
          </w:p>
        </w:tc>
        <w:tc>
          <w:tcPr>
            <w:tcW w:w="0" w:type="auto"/>
            <w:tcBorders>
              <w:top w:val="single" w:sz="8" w:space="0" w:color="000000"/>
              <w:bottom w:val="double" w:sz="6" w:space="0" w:color="000000"/>
            </w:tcBorders>
            <w:shd w:val="clear" w:color="auto" w:fill="auto"/>
            <w:vAlign w:val="bottom"/>
          </w:tcPr>
          <w:p w14:paraId="42A1225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25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225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225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6,670</w:t>
            </w:r>
          </w:p>
        </w:tc>
        <w:tc>
          <w:tcPr>
            <w:tcW w:w="0" w:type="auto"/>
            <w:tcBorders>
              <w:top w:val="single" w:sz="8" w:space="0" w:color="000000"/>
              <w:bottom w:val="double" w:sz="6" w:space="0" w:color="000000"/>
            </w:tcBorders>
            <w:shd w:val="clear" w:color="auto" w:fill="auto"/>
            <w:vAlign w:val="bottom"/>
          </w:tcPr>
          <w:p w14:paraId="42A1225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25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225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226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9,862</w:t>
            </w:r>
          </w:p>
        </w:tc>
        <w:tc>
          <w:tcPr>
            <w:tcW w:w="0" w:type="auto"/>
            <w:tcBorders>
              <w:top w:val="single" w:sz="8" w:space="0" w:color="000000"/>
              <w:bottom w:val="double" w:sz="6" w:space="0" w:color="000000"/>
            </w:tcBorders>
            <w:shd w:val="clear" w:color="auto" w:fill="auto"/>
            <w:vAlign w:val="bottom"/>
          </w:tcPr>
          <w:p w14:paraId="42A12261" w14:textId="77777777" w:rsidR="00BB68E1" w:rsidRDefault="00BB68E1">
            <w:pPr>
              <w:textAlignment w:val="bottom"/>
              <w:rPr>
                <w:rFonts w:ascii="Times New Roman" w:hAnsi="Times New Roman"/>
                <w:sz w:val="20"/>
                <w:szCs w:val="20"/>
              </w:rPr>
            </w:pPr>
          </w:p>
        </w:tc>
      </w:tr>
      <w:tr w:rsidR="00BB68E1" w14:paraId="42A1226A" w14:textId="77777777">
        <w:trPr>
          <w:jc w:val="center"/>
        </w:trPr>
        <w:tc>
          <w:tcPr>
            <w:tcW w:w="0" w:type="auto"/>
            <w:shd w:val="clear" w:color="auto" w:fill="CCEEFF"/>
            <w:tcMar>
              <w:top w:w="40" w:type="dxa"/>
              <w:left w:w="40" w:type="dxa"/>
              <w:bottom w:w="40" w:type="dxa"/>
              <w:right w:w="40" w:type="dxa"/>
            </w:tcMar>
            <w:vAlign w:val="bottom"/>
          </w:tcPr>
          <w:p w14:paraId="42A1226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26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26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26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26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26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26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272" w14:textId="77777777">
        <w:trPr>
          <w:jc w:val="center"/>
        </w:trPr>
        <w:tc>
          <w:tcPr>
            <w:tcW w:w="0" w:type="auto"/>
            <w:shd w:val="clear" w:color="auto" w:fill="auto"/>
            <w:tcMar>
              <w:top w:w="40" w:type="dxa"/>
              <w:left w:w="40" w:type="dxa"/>
              <w:bottom w:w="40" w:type="dxa"/>
              <w:right w:w="40" w:type="dxa"/>
            </w:tcMar>
            <w:vAlign w:val="center"/>
          </w:tcPr>
          <w:p w14:paraId="42A1226B"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Net income per common share:</w:t>
            </w:r>
          </w:p>
        </w:tc>
        <w:tc>
          <w:tcPr>
            <w:tcW w:w="0" w:type="auto"/>
            <w:shd w:val="clear" w:color="auto" w:fill="auto"/>
            <w:tcMar>
              <w:top w:w="40" w:type="dxa"/>
              <w:left w:w="40" w:type="dxa"/>
              <w:bottom w:w="40" w:type="dxa"/>
              <w:right w:w="40" w:type="dxa"/>
            </w:tcMar>
            <w:vAlign w:val="bottom"/>
          </w:tcPr>
          <w:p w14:paraId="42A1226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26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2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26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27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27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280" w14:textId="77777777">
        <w:trPr>
          <w:jc w:val="center"/>
        </w:trPr>
        <w:tc>
          <w:tcPr>
            <w:tcW w:w="0" w:type="auto"/>
            <w:shd w:val="clear" w:color="auto" w:fill="CCEEFF"/>
            <w:tcMar>
              <w:top w:w="40" w:type="dxa"/>
              <w:left w:w="560" w:type="dxa"/>
              <w:bottom w:w="40" w:type="dxa"/>
              <w:right w:w="40" w:type="dxa"/>
            </w:tcMar>
            <w:vAlign w:val="center"/>
          </w:tcPr>
          <w:p w14:paraId="42A1227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Basic net income per common share </w:t>
            </w:r>
            <w:r>
              <w:rPr>
                <w:rFonts w:ascii="Times New Roman" w:eastAsia="宋体" w:hAnsi="Times New Roman"/>
                <w:sz w:val="16"/>
                <w:szCs w:val="16"/>
              </w:rPr>
              <w:t>attributable to Walmart</w:t>
            </w:r>
          </w:p>
        </w:tc>
        <w:tc>
          <w:tcPr>
            <w:tcW w:w="0" w:type="auto"/>
            <w:shd w:val="clear" w:color="auto" w:fill="CCEEFF"/>
            <w:tcMar>
              <w:top w:w="40" w:type="dxa"/>
              <w:left w:w="40" w:type="dxa"/>
              <w:bottom w:w="40" w:type="dxa"/>
              <w:right w:w="40" w:type="dxa"/>
            </w:tcMar>
            <w:vAlign w:val="bottom"/>
          </w:tcPr>
          <w:p w14:paraId="42A1227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27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27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5.22</w:t>
            </w:r>
          </w:p>
        </w:tc>
        <w:tc>
          <w:tcPr>
            <w:tcW w:w="0" w:type="auto"/>
            <w:shd w:val="clear" w:color="auto" w:fill="CCEEFF"/>
            <w:vAlign w:val="bottom"/>
          </w:tcPr>
          <w:p w14:paraId="42A1227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27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27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27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2.28</w:t>
            </w:r>
          </w:p>
        </w:tc>
        <w:tc>
          <w:tcPr>
            <w:tcW w:w="0" w:type="auto"/>
            <w:shd w:val="clear" w:color="auto" w:fill="CCEEFF"/>
            <w:vAlign w:val="bottom"/>
          </w:tcPr>
          <w:p w14:paraId="42A1227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2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27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27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3.29</w:t>
            </w:r>
          </w:p>
        </w:tc>
        <w:tc>
          <w:tcPr>
            <w:tcW w:w="0" w:type="auto"/>
            <w:shd w:val="clear" w:color="auto" w:fill="CCEEFF"/>
            <w:vAlign w:val="bottom"/>
          </w:tcPr>
          <w:p w14:paraId="42A1227F" w14:textId="77777777" w:rsidR="00BB68E1" w:rsidRDefault="00BB68E1">
            <w:pPr>
              <w:textAlignment w:val="bottom"/>
              <w:rPr>
                <w:rFonts w:ascii="Times New Roman" w:hAnsi="Times New Roman"/>
                <w:sz w:val="20"/>
                <w:szCs w:val="20"/>
              </w:rPr>
            </w:pPr>
          </w:p>
        </w:tc>
      </w:tr>
      <w:tr w:rsidR="00BB68E1" w14:paraId="42A1228B" w14:textId="77777777">
        <w:trPr>
          <w:jc w:val="center"/>
        </w:trPr>
        <w:tc>
          <w:tcPr>
            <w:tcW w:w="0" w:type="auto"/>
            <w:shd w:val="clear" w:color="auto" w:fill="auto"/>
            <w:tcMar>
              <w:top w:w="40" w:type="dxa"/>
              <w:left w:w="560" w:type="dxa"/>
              <w:bottom w:w="40" w:type="dxa"/>
              <w:right w:w="40" w:type="dxa"/>
            </w:tcMar>
            <w:vAlign w:val="center"/>
          </w:tcPr>
          <w:p w14:paraId="42A1228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Diluted net income per common share attributable to Walmart</w:t>
            </w:r>
          </w:p>
        </w:tc>
        <w:tc>
          <w:tcPr>
            <w:tcW w:w="0" w:type="auto"/>
            <w:shd w:val="clear" w:color="auto" w:fill="auto"/>
            <w:tcMar>
              <w:top w:w="40" w:type="dxa"/>
              <w:left w:w="40" w:type="dxa"/>
              <w:bottom w:w="40" w:type="dxa"/>
              <w:right w:w="40" w:type="dxa"/>
            </w:tcMar>
            <w:vAlign w:val="bottom"/>
          </w:tcPr>
          <w:p w14:paraId="42A1228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28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5.19</w:t>
            </w:r>
          </w:p>
        </w:tc>
        <w:tc>
          <w:tcPr>
            <w:tcW w:w="0" w:type="auto"/>
            <w:shd w:val="clear" w:color="auto" w:fill="auto"/>
            <w:vAlign w:val="bottom"/>
          </w:tcPr>
          <w:p w14:paraId="42A1228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28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28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2.26</w:t>
            </w:r>
          </w:p>
        </w:tc>
        <w:tc>
          <w:tcPr>
            <w:tcW w:w="0" w:type="auto"/>
            <w:shd w:val="clear" w:color="auto" w:fill="auto"/>
            <w:vAlign w:val="bottom"/>
          </w:tcPr>
          <w:p w14:paraId="42A1228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28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28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3.28</w:t>
            </w:r>
          </w:p>
        </w:tc>
        <w:tc>
          <w:tcPr>
            <w:tcW w:w="0" w:type="auto"/>
            <w:shd w:val="clear" w:color="auto" w:fill="auto"/>
            <w:vAlign w:val="bottom"/>
          </w:tcPr>
          <w:p w14:paraId="42A1228A" w14:textId="77777777" w:rsidR="00BB68E1" w:rsidRDefault="00BB68E1">
            <w:pPr>
              <w:textAlignment w:val="bottom"/>
              <w:rPr>
                <w:rFonts w:ascii="Times New Roman" w:hAnsi="Times New Roman"/>
                <w:sz w:val="20"/>
                <w:szCs w:val="20"/>
              </w:rPr>
            </w:pPr>
          </w:p>
        </w:tc>
      </w:tr>
      <w:tr w:rsidR="00BB68E1" w14:paraId="42A12293" w14:textId="77777777">
        <w:trPr>
          <w:jc w:val="center"/>
        </w:trPr>
        <w:tc>
          <w:tcPr>
            <w:tcW w:w="0" w:type="auto"/>
            <w:shd w:val="clear" w:color="auto" w:fill="CCEEFF"/>
            <w:tcMar>
              <w:top w:w="40" w:type="dxa"/>
              <w:left w:w="40" w:type="dxa"/>
              <w:bottom w:w="40" w:type="dxa"/>
              <w:right w:w="40" w:type="dxa"/>
            </w:tcMar>
            <w:vAlign w:val="bottom"/>
          </w:tcPr>
          <w:p w14:paraId="42A1228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28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center"/>
          </w:tcPr>
          <w:p w14:paraId="42A1228E" w14:textId="77777777" w:rsidR="00BB68E1" w:rsidRDefault="00BB68E1">
            <w:pPr>
              <w:textAlignment w:val="center"/>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42A1228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29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29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29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29B" w14:textId="77777777">
        <w:trPr>
          <w:jc w:val="center"/>
        </w:trPr>
        <w:tc>
          <w:tcPr>
            <w:tcW w:w="0" w:type="auto"/>
            <w:shd w:val="clear" w:color="auto" w:fill="auto"/>
            <w:tcMar>
              <w:top w:w="40" w:type="dxa"/>
              <w:left w:w="40" w:type="dxa"/>
              <w:bottom w:w="40" w:type="dxa"/>
              <w:right w:w="40" w:type="dxa"/>
            </w:tcMar>
            <w:vAlign w:val="center"/>
          </w:tcPr>
          <w:p w14:paraId="42A12294"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Weighted-average common shares outstanding:</w:t>
            </w:r>
          </w:p>
        </w:tc>
        <w:tc>
          <w:tcPr>
            <w:tcW w:w="0" w:type="auto"/>
            <w:shd w:val="clear" w:color="auto" w:fill="auto"/>
            <w:tcMar>
              <w:top w:w="40" w:type="dxa"/>
              <w:left w:w="40" w:type="dxa"/>
              <w:bottom w:w="40" w:type="dxa"/>
              <w:right w:w="40" w:type="dxa"/>
            </w:tcMar>
            <w:vAlign w:val="bottom"/>
          </w:tcPr>
          <w:p w14:paraId="42A1229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29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29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29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29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29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2A6" w14:textId="77777777">
        <w:trPr>
          <w:jc w:val="center"/>
        </w:trPr>
        <w:tc>
          <w:tcPr>
            <w:tcW w:w="0" w:type="auto"/>
            <w:shd w:val="clear" w:color="auto" w:fill="CCEEFF"/>
            <w:tcMar>
              <w:top w:w="40" w:type="dxa"/>
              <w:left w:w="560" w:type="dxa"/>
              <w:bottom w:w="40" w:type="dxa"/>
              <w:right w:w="40" w:type="dxa"/>
            </w:tcMar>
            <w:vAlign w:val="center"/>
          </w:tcPr>
          <w:p w14:paraId="42A1229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Basic</w:t>
            </w:r>
          </w:p>
        </w:tc>
        <w:tc>
          <w:tcPr>
            <w:tcW w:w="0" w:type="auto"/>
            <w:shd w:val="clear" w:color="auto" w:fill="CCEEFF"/>
            <w:tcMar>
              <w:top w:w="40" w:type="dxa"/>
              <w:left w:w="40" w:type="dxa"/>
              <w:bottom w:w="40" w:type="dxa"/>
              <w:right w:w="40" w:type="dxa"/>
            </w:tcMar>
            <w:vAlign w:val="bottom"/>
          </w:tcPr>
          <w:p w14:paraId="42A1229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229E"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2,850</w:t>
            </w:r>
          </w:p>
        </w:tc>
        <w:tc>
          <w:tcPr>
            <w:tcW w:w="0" w:type="auto"/>
            <w:shd w:val="clear" w:color="auto" w:fill="CCEEFF"/>
            <w:vAlign w:val="bottom"/>
          </w:tcPr>
          <w:p w14:paraId="42A1229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2A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22A1"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2,929</w:t>
            </w:r>
          </w:p>
        </w:tc>
        <w:tc>
          <w:tcPr>
            <w:tcW w:w="0" w:type="auto"/>
            <w:shd w:val="clear" w:color="auto" w:fill="CCEEFF"/>
            <w:vAlign w:val="bottom"/>
          </w:tcPr>
          <w:p w14:paraId="42A122A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2A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22A4"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2,995</w:t>
            </w:r>
          </w:p>
        </w:tc>
        <w:tc>
          <w:tcPr>
            <w:tcW w:w="0" w:type="auto"/>
            <w:shd w:val="clear" w:color="auto" w:fill="CCEEFF"/>
            <w:vAlign w:val="bottom"/>
          </w:tcPr>
          <w:p w14:paraId="42A122A5" w14:textId="77777777" w:rsidR="00BB68E1" w:rsidRDefault="00BB68E1">
            <w:pPr>
              <w:textAlignment w:val="bottom"/>
              <w:rPr>
                <w:rFonts w:ascii="Times New Roman" w:hAnsi="Times New Roman"/>
                <w:sz w:val="20"/>
                <w:szCs w:val="20"/>
              </w:rPr>
            </w:pPr>
          </w:p>
        </w:tc>
      </w:tr>
      <w:tr w:rsidR="00BB68E1" w14:paraId="42A122B1" w14:textId="77777777">
        <w:trPr>
          <w:jc w:val="center"/>
        </w:trPr>
        <w:tc>
          <w:tcPr>
            <w:tcW w:w="0" w:type="auto"/>
            <w:shd w:val="clear" w:color="auto" w:fill="auto"/>
            <w:tcMar>
              <w:top w:w="40" w:type="dxa"/>
              <w:left w:w="560" w:type="dxa"/>
              <w:bottom w:w="40" w:type="dxa"/>
              <w:right w:w="40" w:type="dxa"/>
            </w:tcMar>
            <w:vAlign w:val="center"/>
          </w:tcPr>
          <w:p w14:paraId="42A122A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Diluted</w:t>
            </w:r>
          </w:p>
        </w:tc>
        <w:tc>
          <w:tcPr>
            <w:tcW w:w="0" w:type="auto"/>
            <w:shd w:val="clear" w:color="auto" w:fill="auto"/>
            <w:tcMar>
              <w:top w:w="40" w:type="dxa"/>
              <w:left w:w="40" w:type="dxa"/>
              <w:bottom w:w="40" w:type="dxa"/>
              <w:right w:w="40" w:type="dxa"/>
            </w:tcMar>
            <w:vAlign w:val="bottom"/>
          </w:tcPr>
          <w:p w14:paraId="42A122A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2A9"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2,868</w:t>
            </w:r>
          </w:p>
        </w:tc>
        <w:tc>
          <w:tcPr>
            <w:tcW w:w="0" w:type="auto"/>
            <w:shd w:val="clear" w:color="auto" w:fill="auto"/>
            <w:vAlign w:val="bottom"/>
          </w:tcPr>
          <w:p w14:paraId="42A122A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2A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2AC"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2,945</w:t>
            </w:r>
          </w:p>
        </w:tc>
        <w:tc>
          <w:tcPr>
            <w:tcW w:w="0" w:type="auto"/>
            <w:shd w:val="clear" w:color="auto" w:fill="auto"/>
            <w:vAlign w:val="bottom"/>
          </w:tcPr>
          <w:p w14:paraId="42A122A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2A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2AF"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3,010</w:t>
            </w:r>
          </w:p>
        </w:tc>
        <w:tc>
          <w:tcPr>
            <w:tcW w:w="0" w:type="auto"/>
            <w:shd w:val="clear" w:color="auto" w:fill="auto"/>
            <w:vAlign w:val="bottom"/>
          </w:tcPr>
          <w:p w14:paraId="42A122B0" w14:textId="77777777" w:rsidR="00BB68E1" w:rsidRDefault="00BB68E1">
            <w:pPr>
              <w:textAlignment w:val="bottom"/>
              <w:rPr>
                <w:rFonts w:ascii="Times New Roman" w:hAnsi="Times New Roman"/>
                <w:sz w:val="20"/>
                <w:szCs w:val="20"/>
              </w:rPr>
            </w:pPr>
          </w:p>
        </w:tc>
      </w:tr>
      <w:tr w:rsidR="00BB68E1" w14:paraId="42A122B9" w14:textId="77777777">
        <w:trPr>
          <w:jc w:val="center"/>
        </w:trPr>
        <w:tc>
          <w:tcPr>
            <w:tcW w:w="0" w:type="auto"/>
            <w:shd w:val="clear" w:color="auto" w:fill="CCEEFF"/>
            <w:tcMar>
              <w:top w:w="40" w:type="dxa"/>
              <w:left w:w="40" w:type="dxa"/>
              <w:bottom w:w="40" w:type="dxa"/>
              <w:right w:w="40" w:type="dxa"/>
            </w:tcMar>
            <w:vAlign w:val="bottom"/>
          </w:tcPr>
          <w:p w14:paraId="42A122B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2B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2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2B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2B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2B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2B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2C7" w14:textId="77777777">
        <w:trPr>
          <w:jc w:val="center"/>
        </w:trPr>
        <w:tc>
          <w:tcPr>
            <w:tcW w:w="0" w:type="auto"/>
            <w:shd w:val="clear" w:color="auto" w:fill="auto"/>
            <w:tcMar>
              <w:top w:w="40" w:type="dxa"/>
              <w:left w:w="40" w:type="dxa"/>
              <w:bottom w:w="40" w:type="dxa"/>
              <w:right w:w="40" w:type="dxa"/>
            </w:tcMar>
            <w:vAlign w:val="center"/>
          </w:tcPr>
          <w:p w14:paraId="42A122BA"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Dividends declared per common share</w:t>
            </w:r>
          </w:p>
        </w:tc>
        <w:tc>
          <w:tcPr>
            <w:tcW w:w="0" w:type="auto"/>
            <w:shd w:val="clear" w:color="auto" w:fill="auto"/>
            <w:tcMar>
              <w:top w:w="40" w:type="dxa"/>
              <w:left w:w="40" w:type="dxa"/>
              <w:bottom w:w="40" w:type="dxa"/>
              <w:right w:w="40" w:type="dxa"/>
            </w:tcMar>
            <w:vAlign w:val="bottom"/>
          </w:tcPr>
          <w:p w14:paraId="42A122B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2A122BC"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bottom"/>
          </w:tcPr>
          <w:p w14:paraId="42A122BD"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2.12</w:t>
            </w:r>
          </w:p>
        </w:tc>
        <w:tc>
          <w:tcPr>
            <w:tcW w:w="0" w:type="auto"/>
            <w:shd w:val="clear" w:color="auto" w:fill="auto"/>
            <w:vAlign w:val="bottom"/>
          </w:tcPr>
          <w:p w14:paraId="42A122B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2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2A122C0"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bottom"/>
          </w:tcPr>
          <w:p w14:paraId="42A122C1"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2.08</w:t>
            </w:r>
          </w:p>
        </w:tc>
        <w:tc>
          <w:tcPr>
            <w:tcW w:w="0" w:type="auto"/>
            <w:shd w:val="clear" w:color="auto" w:fill="auto"/>
            <w:vAlign w:val="bottom"/>
          </w:tcPr>
          <w:p w14:paraId="42A122C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2C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2A122C4"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bottom"/>
          </w:tcPr>
          <w:p w14:paraId="42A122C5"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2.04</w:t>
            </w:r>
          </w:p>
        </w:tc>
        <w:tc>
          <w:tcPr>
            <w:tcW w:w="0" w:type="auto"/>
            <w:shd w:val="clear" w:color="auto" w:fill="auto"/>
            <w:vAlign w:val="bottom"/>
          </w:tcPr>
          <w:p w14:paraId="42A122C6" w14:textId="77777777" w:rsidR="00BB68E1" w:rsidRDefault="00BB68E1">
            <w:pPr>
              <w:textAlignment w:val="bottom"/>
              <w:rPr>
                <w:rFonts w:ascii="Times New Roman" w:hAnsi="Times New Roman"/>
                <w:sz w:val="20"/>
                <w:szCs w:val="20"/>
              </w:rPr>
            </w:pPr>
          </w:p>
        </w:tc>
      </w:tr>
    </w:tbl>
    <w:p w14:paraId="42A122C8" w14:textId="77777777" w:rsidR="00BB68E1" w:rsidRDefault="005D2D5E">
      <w:pPr>
        <w:spacing w:line="288" w:lineRule="auto"/>
        <w:rPr>
          <w:rFonts w:ascii="Times New Roman" w:hAnsi="Times New Roman"/>
          <w:sz w:val="16"/>
          <w:szCs w:val="16"/>
        </w:rPr>
      </w:pPr>
      <w:r>
        <w:rPr>
          <w:rFonts w:ascii="Times New Roman" w:eastAsia="宋体" w:hAnsi="Times New Roman"/>
          <w:i/>
          <w:iCs/>
          <w:sz w:val="16"/>
          <w:szCs w:val="16"/>
        </w:rPr>
        <w:t xml:space="preserve">See accompanying notes. </w:t>
      </w:r>
    </w:p>
    <w:p w14:paraId="42A122C9" w14:textId="77777777" w:rsidR="00BB68E1" w:rsidRDefault="00BB68E1">
      <w:pPr>
        <w:rPr>
          <w:rFonts w:ascii="Times New Roman" w:hAnsi="Times New Roman"/>
          <w:sz w:val="20"/>
          <w:szCs w:val="20"/>
        </w:rPr>
      </w:pPr>
    </w:p>
    <w:p w14:paraId="42A122CA"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50</w:t>
      </w:r>
    </w:p>
    <w:p w14:paraId="42A122CB" w14:textId="77777777" w:rsidR="00BB68E1" w:rsidRDefault="00BB68E1">
      <w:pPr>
        <w:spacing w:line="288" w:lineRule="auto"/>
        <w:jc w:val="center"/>
        <w:rPr>
          <w:rFonts w:ascii="Times New Roman" w:hAnsi="Times New Roman"/>
          <w:sz w:val="20"/>
          <w:szCs w:val="20"/>
        </w:rPr>
      </w:pPr>
    </w:p>
    <w:p w14:paraId="42A122CC" w14:textId="77777777" w:rsidR="00BB68E1" w:rsidRDefault="005D2D5E">
      <w:r>
        <w:rPr>
          <w:rFonts w:ascii="Times New Roman" w:hAnsi="Times New Roman"/>
          <w:sz w:val="20"/>
          <w:szCs w:val="20"/>
        </w:rPr>
        <w:pict w14:anchorId="42A142A9">
          <v:rect id="_x0000_i1074" style="width:415.3pt;height:1.5pt" o:hralign="center" o:hrstd="t" o:hr="t" fillcolor="#a0a0a0" stroked="f"/>
        </w:pict>
      </w:r>
    </w:p>
    <w:p w14:paraId="42A122CD" w14:textId="77777777" w:rsidR="00BB68E1" w:rsidRDefault="00BB68E1">
      <w:pPr>
        <w:spacing w:line="288" w:lineRule="auto"/>
        <w:rPr>
          <w:rFonts w:ascii="Times New Roman" w:hAnsi="Times New Roman"/>
          <w:sz w:val="20"/>
          <w:szCs w:val="20"/>
        </w:rPr>
      </w:pPr>
    </w:p>
    <w:p w14:paraId="42A122CE" w14:textId="77777777" w:rsidR="00BB68E1" w:rsidRDefault="00BB68E1">
      <w:pPr>
        <w:rPr>
          <w:rFonts w:ascii="Times New Roman" w:hAnsi="Times New Roman"/>
          <w:sz w:val="20"/>
          <w:szCs w:val="20"/>
        </w:rPr>
      </w:pPr>
    </w:p>
    <w:p w14:paraId="42A122CF"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42A122D0"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Consolidated Statements of Comprehensive Income</w:t>
      </w:r>
    </w:p>
    <w:p w14:paraId="42A122D1" w14:textId="77777777" w:rsidR="00BB68E1" w:rsidRDefault="00BB68E1">
      <w:pPr>
        <w:spacing w:line="288" w:lineRule="auto"/>
        <w:jc w:val="center"/>
        <w:rPr>
          <w:rFonts w:ascii="Times New Roman" w:hAnsi="Times New Roman"/>
          <w:sz w:val="20"/>
          <w:szCs w:val="20"/>
        </w:rPr>
      </w:pPr>
    </w:p>
    <w:tbl>
      <w:tblPr>
        <w:tblW w:w="4990" w:type="pct"/>
        <w:jc w:val="center"/>
        <w:tblCellMar>
          <w:left w:w="0" w:type="dxa"/>
          <w:right w:w="0" w:type="dxa"/>
        </w:tblCellMar>
        <w:tblLook w:val="04A0" w:firstRow="1" w:lastRow="0" w:firstColumn="1" w:lastColumn="0" w:noHBand="0" w:noVBand="1"/>
      </w:tblPr>
      <w:tblGrid>
        <w:gridCol w:w="4984"/>
        <w:gridCol w:w="130"/>
        <w:gridCol w:w="120"/>
        <w:gridCol w:w="757"/>
        <w:gridCol w:w="94"/>
        <w:gridCol w:w="130"/>
        <w:gridCol w:w="120"/>
        <w:gridCol w:w="758"/>
        <w:gridCol w:w="94"/>
        <w:gridCol w:w="130"/>
        <w:gridCol w:w="120"/>
        <w:gridCol w:w="758"/>
        <w:gridCol w:w="94"/>
      </w:tblGrid>
      <w:tr w:rsidR="00BB68E1" w14:paraId="42A122D3" w14:textId="77777777">
        <w:trPr>
          <w:jc w:val="center"/>
        </w:trPr>
        <w:tc>
          <w:tcPr>
            <w:tcW w:w="0" w:type="auto"/>
            <w:gridSpan w:val="13"/>
            <w:shd w:val="clear" w:color="auto" w:fill="auto"/>
            <w:vAlign w:val="center"/>
          </w:tcPr>
          <w:p w14:paraId="42A122D2" w14:textId="77777777" w:rsidR="00BB68E1" w:rsidRDefault="00BB68E1">
            <w:pPr>
              <w:rPr>
                <w:rFonts w:ascii="Times New Roman" w:hAnsi="Times New Roman"/>
                <w:sz w:val="20"/>
                <w:szCs w:val="20"/>
              </w:rPr>
            </w:pPr>
          </w:p>
        </w:tc>
      </w:tr>
      <w:tr w:rsidR="00BB68E1" w14:paraId="42A122E1" w14:textId="77777777">
        <w:trPr>
          <w:jc w:val="center"/>
        </w:trPr>
        <w:tc>
          <w:tcPr>
            <w:tcW w:w="3050" w:type="pct"/>
            <w:shd w:val="clear" w:color="auto" w:fill="auto"/>
            <w:vAlign w:val="center"/>
          </w:tcPr>
          <w:p w14:paraId="42A122D4" w14:textId="77777777" w:rsidR="00BB68E1" w:rsidRDefault="00BB68E1">
            <w:pPr>
              <w:rPr>
                <w:rFonts w:ascii="Times New Roman" w:hAnsi="Times New Roman"/>
                <w:sz w:val="20"/>
                <w:szCs w:val="20"/>
              </w:rPr>
            </w:pPr>
          </w:p>
        </w:tc>
        <w:tc>
          <w:tcPr>
            <w:tcW w:w="50" w:type="pct"/>
            <w:shd w:val="clear" w:color="auto" w:fill="auto"/>
            <w:vAlign w:val="center"/>
          </w:tcPr>
          <w:p w14:paraId="42A122D5" w14:textId="77777777" w:rsidR="00BB68E1" w:rsidRDefault="00BB68E1">
            <w:pPr>
              <w:rPr>
                <w:rFonts w:ascii="Times New Roman" w:hAnsi="Times New Roman"/>
                <w:sz w:val="20"/>
                <w:szCs w:val="20"/>
              </w:rPr>
            </w:pPr>
          </w:p>
        </w:tc>
        <w:tc>
          <w:tcPr>
            <w:tcW w:w="50" w:type="pct"/>
            <w:shd w:val="clear" w:color="auto" w:fill="auto"/>
            <w:vAlign w:val="center"/>
          </w:tcPr>
          <w:p w14:paraId="42A122D6" w14:textId="77777777" w:rsidR="00BB68E1" w:rsidRDefault="00BB68E1">
            <w:pPr>
              <w:rPr>
                <w:rFonts w:ascii="Times New Roman" w:hAnsi="Times New Roman"/>
                <w:sz w:val="20"/>
                <w:szCs w:val="20"/>
              </w:rPr>
            </w:pPr>
          </w:p>
        </w:tc>
        <w:tc>
          <w:tcPr>
            <w:tcW w:w="500" w:type="pct"/>
            <w:shd w:val="clear" w:color="auto" w:fill="auto"/>
            <w:vAlign w:val="center"/>
          </w:tcPr>
          <w:p w14:paraId="42A122D7" w14:textId="77777777" w:rsidR="00BB68E1" w:rsidRDefault="00BB68E1">
            <w:pPr>
              <w:rPr>
                <w:rFonts w:ascii="Times New Roman" w:hAnsi="Times New Roman"/>
                <w:sz w:val="20"/>
                <w:szCs w:val="20"/>
              </w:rPr>
            </w:pPr>
          </w:p>
        </w:tc>
        <w:tc>
          <w:tcPr>
            <w:tcW w:w="50" w:type="pct"/>
            <w:shd w:val="clear" w:color="auto" w:fill="auto"/>
            <w:vAlign w:val="center"/>
          </w:tcPr>
          <w:p w14:paraId="42A122D8" w14:textId="77777777" w:rsidR="00BB68E1" w:rsidRDefault="00BB68E1">
            <w:pPr>
              <w:rPr>
                <w:rFonts w:ascii="Times New Roman" w:hAnsi="Times New Roman"/>
                <w:sz w:val="20"/>
                <w:szCs w:val="20"/>
              </w:rPr>
            </w:pPr>
          </w:p>
        </w:tc>
        <w:tc>
          <w:tcPr>
            <w:tcW w:w="50" w:type="pct"/>
            <w:shd w:val="clear" w:color="auto" w:fill="auto"/>
            <w:vAlign w:val="center"/>
          </w:tcPr>
          <w:p w14:paraId="42A122D9" w14:textId="77777777" w:rsidR="00BB68E1" w:rsidRDefault="00BB68E1">
            <w:pPr>
              <w:rPr>
                <w:rFonts w:ascii="Times New Roman" w:hAnsi="Times New Roman"/>
                <w:sz w:val="20"/>
                <w:szCs w:val="20"/>
              </w:rPr>
            </w:pPr>
          </w:p>
        </w:tc>
        <w:tc>
          <w:tcPr>
            <w:tcW w:w="50" w:type="pct"/>
            <w:shd w:val="clear" w:color="auto" w:fill="auto"/>
            <w:vAlign w:val="center"/>
          </w:tcPr>
          <w:p w14:paraId="42A122DA" w14:textId="77777777" w:rsidR="00BB68E1" w:rsidRDefault="00BB68E1">
            <w:pPr>
              <w:rPr>
                <w:rFonts w:ascii="Times New Roman" w:hAnsi="Times New Roman"/>
                <w:sz w:val="20"/>
                <w:szCs w:val="20"/>
              </w:rPr>
            </w:pPr>
          </w:p>
        </w:tc>
        <w:tc>
          <w:tcPr>
            <w:tcW w:w="500" w:type="pct"/>
            <w:shd w:val="clear" w:color="auto" w:fill="auto"/>
            <w:vAlign w:val="center"/>
          </w:tcPr>
          <w:p w14:paraId="42A122DB" w14:textId="77777777" w:rsidR="00BB68E1" w:rsidRDefault="00BB68E1">
            <w:pPr>
              <w:rPr>
                <w:rFonts w:ascii="Times New Roman" w:hAnsi="Times New Roman"/>
                <w:sz w:val="20"/>
                <w:szCs w:val="20"/>
              </w:rPr>
            </w:pPr>
          </w:p>
        </w:tc>
        <w:tc>
          <w:tcPr>
            <w:tcW w:w="50" w:type="pct"/>
            <w:shd w:val="clear" w:color="auto" w:fill="auto"/>
            <w:vAlign w:val="center"/>
          </w:tcPr>
          <w:p w14:paraId="42A122DC" w14:textId="77777777" w:rsidR="00BB68E1" w:rsidRDefault="00BB68E1">
            <w:pPr>
              <w:rPr>
                <w:rFonts w:ascii="Times New Roman" w:hAnsi="Times New Roman"/>
                <w:sz w:val="20"/>
                <w:szCs w:val="20"/>
              </w:rPr>
            </w:pPr>
          </w:p>
        </w:tc>
        <w:tc>
          <w:tcPr>
            <w:tcW w:w="50" w:type="pct"/>
            <w:shd w:val="clear" w:color="auto" w:fill="auto"/>
            <w:vAlign w:val="center"/>
          </w:tcPr>
          <w:p w14:paraId="42A122DD" w14:textId="77777777" w:rsidR="00BB68E1" w:rsidRDefault="00BB68E1">
            <w:pPr>
              <w:rPr>
                <w:rFonts w:ascii="Times New Roman" w:hAnsi="Times New Roman"/>
                <w:sz w:val="20"/>
                <w:szCs w:val="20"/>
              </w:rPr>
            </w:pPr>
          </w:p>
        </w:tc>
        <w:tc>
          <w:tcPr>
            <w:tcW w:w="50" w:type="pct"/>
            <w:shd w:val="clear" w:color="auto" w:fill="auto"/>
            <w:vAlign w:val="center"/>
          </w:tcPr>
          <w:p w14:paraId="42A122DE" w14:textId="77777777" w:rsidR="00BB68E1" w:rsidRDefault="00BB68E1">
            <w:pPr>
              <w:rPr>
                <w:rFonts w:ascii="Times New Roman" w:hAnsi="Times New Roman"/>
                <w:sz w:val="20"/>
                <w:szCs w:val="20"/>
              </w:rPr>
            </w:pPr>
          </w:p>
        </w:tc>
        <w:tc>
          <w:tcPr>
            <w:tcW w:w="500" w:type="pct"/>
            <w:shd w:val="clear" w:color="auto" w:fill="auto"/>
            <w:vAlign w:val="center"/>
          </w:tcPr>
          <w:p w14:paraId="42A122DF" w14:textId="77777777" w:rsidR="00BB68E1" w:rsidRDefault="00BB68E1">
            <w:pPr>
              <w:rPr>
                <w:rFonts w:ascii="Times New Roman" w:hAnsi="Times New Roman"/>
                <w:sz w:val="20"/>
                <w:szCs w:val="20"/>
              </w:rPr>
            </w:pPr>
          </w:p>
        </w:tc>
        <w:tc>
          <w:tcPr>
            <w:tcW w:w="50" w:type="pct"/>
            <w:shd w:val="clear" w:color="auto" w:fill="auto"/>
            <w:vAlign w:val="center"/>
          </w:tcPr>
          <w:p w14:paraId="42A122E0" w14:textId="77777777" w:rsidR="00BB68E1" w:rsidRDefault="00BB68E1">
            <w:pPr>
              <w:rPr>
                <w:rFonts w:ascii="Times New Roman" w:hAnsi="Times New Roman"/>
                <w:sz w:val="20"/>
                <w:szCs w:val="20"/>
              </w:rPr>
            </w:pPr>
          </w:p>
        </w:tc>
      </w:tr>
      <w:tr w:rsidR="00BB68E1" w14:paraId="42A122E5" w14:textId="77777777">
        <w:trPr>
          <w:jc w:val="center"/>
        </w:trPr>
        <w:tc>
          <w:tcPr>
            <w:tcW w:w="0" w:type="auto"/>
            <w:shd w:val="clear" w:color="auto" w:fill="auto"/>
            <w:tcMar>
              <w:top w:w="40" w:type="dxa"/>
              <w:left w:w="40" w:type="dxa"/>
              <w:bottom w:w="40" w:type="dxa"/>
              <w:right w:w="40" w:type="dxa"/>
            </w:tcMar>
            <w:vAlign w:val="bottom"/>
          </w:tcPr>
          <w:p w14:paraId="42A122E2"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22E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22E4"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 xml:space="preserve">Fiscal Years </w:t>
            </w:r>
            <w:r>
              <w:rPr>
                <w:rFonts w:ascii="Times New Roman" w:eastAsia="宋体" w:hAnsi="Times New Roman"/>
                <w:b/>
                <w:bCs/>
                <w:sz w:val="16"/>
                <w:szCs w:val="16"/>
              </w:rPr>
              <w:t>Ended January 31,</w:t>
            </w:r>
          </w:p>
        </w:tc>
      </w:tr>
      <w:tr w:rsidR="00BB68E1" w14:paraId="42A122ED" w14:textId="77777777">
        <w:trPr>
          <w:jc w:val="center"/>
        </w:trPr>
        <w:tc>
          <w:tcPr>
            <w:tcW w:w="0" w:type="auto"/>
            <w:shd w:val="clear" w:color="auto" w:fill="auto"/>
            <w:tcMar>
              <w:top w:w="40" w:type="dxa"/>
              <w:left w:w="40" w:type="dxa"/>
              <w:bottom w:w="40" w:type="dxa"/>
              <w:right w:w="40" w:type="dxa"/>
            </w:tcMar>
            <w:vAlign w:val="bottom"/>
          </w:tcPr>
          <w:p w14:paraId="42A122E6"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22E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2E8"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2A122E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2EA"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42A122E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22EC"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22FB" w14:textId="77777777">
        <w:trPr>
          <w:jc w:val="center"/>
        </w:trPr>
        <w:tc>
          <w:tcPr>
            <w:tcW w:w="0" w:type="auto"/>
            <w:shd w:val="clear" w:color="auto" w:fill="CCEEFF"/>
            <w:tcMar>
              <w:top w:w="40" w:type="dxa"/>
              <w:left w:w="40" w:type="dxa"/>
              <w:bottom w:w="40" w:type="dxa"/>
              <w:right w:w="40" w:type="dxa"/>
            </w:tcMar>
            <w:vAlign w:val="bottom"/>
          </w:tcPr>
          <w:p w14:paraId="42A122EE"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Consolidated net income</w:t>
            </w:r>
          </w:p>
        </w:tc>
        <w:tc>
          <w:tcPr>
            <w:tcW w:w="0" w:type="auto"/>
            <w:shd w:val="clear" w:color="auto" w:fill="CCEEFF"/>
            <w:tcMar>
              <w:top w:w="40" w:type="dxa"/>
              <w:left w:w="40" w:type="dxa"/>
              <w:bottom w:w="40" w:type="dxa"/>
              <w:right w:w="40" w:type="dxa"/>
            </w:tcMar>
            <w:vAlign w:val="bottom"/>
          </w:tcPr>
          <w:p w14:paraId="42A122E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22F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22F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15,201</w:t>
            </w:r>
          </w:p>
        </w:tc>
        <w:tc>
          <w:tcPr>
            <w:tcW w:w="0" w:type="auto"/>
            <w:tcBorders>
              <w:top w:val="single" w:sz="8" w:space="0" w:color="000000"/>
            </w:tcBorders>
            <w:shd w:val="clear" w:color="auto" w:fill="CCEEFF"/>
            <w:vAlign w:val="bottom"/>
          </w:tcPr>
          <w:p w14:paraId="42A122F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2F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2F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2F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7,179</w:t>
            </w:r>
          </w:p>
        </w:tc>
        <w:tc>
          <w:tcPr>
            <w:tcW w:w="0" w:type="auto"/>
            <w:shd w:val="clear" w:color="auto" w:fill="CCEEFF"/>
            <w:vAlign w:val="bottom"/>
          </w:tcPr>
          <w:p w14:paraId="42A122F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2F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22F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22F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10,523</w:t>
            </w:r>
          </w:p>
        </w:tc>
        <w:tc>
          <w:tcPr>
            <w:tcW w:w="0" w:type="auto"/>
            <w:tcBorders>
              <w:top w:val="single" w:sz="8" w:space="0" w:color="000000"/>
            </w:tcBorders>
            <w:shd w:val="clear" w:color="auto" w:fill="CCEEFF"/>
            <w:vAlign w:val="bottom"/>
          </w:tcPr>
          <w:p w14:paraId="42A122FA" w14:textId="77777777" w:rsidR="00BB68E1" w:rsidRDefault="00BB68E1">
            <w:pPr>
              <w:textAlignment w:val="bottom"/>
              <w:rPr>
                <w:rFonts w:ascii="Times New Roman" w:hAnsi="Times New Roman"/>
                <w:sz w:val="20"/>
                <w:szCs w:val="20"/>
              </w:rPr>
            </w:pPr>
          </w:p>
        </w:tc>
      </w:tr>
      <w:tr w:rsidR="00BB68E1" w14:paraId="42A12306" w14:textId="77777777">
        <w:trPr>
          <w:jc w:val="center"/>
        </w:trPr>
        <w:tc>
          <w:tcPr>
            <w:tcW w:w="0" w:type="auto"/>
            <w:shd w:val="clear" w:color="auto" w:fill="auto"/>
            <w:tcMar>
              <w:top w:w="40" w:type="dxa"/>
              <w:left w:w="560" w:type="dxa"/>
              <w:bottom w:w="40" w:type="dxa"/>
              <w:right w:w="40" w:type="dxa"/>
            </w:tcMar>
            <w:vAlign w:val="center"/>
          </w:tcPr>
          <w:p w14:paraId="42A122F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Consolidated net income attributable to noncontrolling interest</w:t>
            </w:r>
          </w:p>
        </w:tc>
        <w:tc>
          <w:tcPr>
            <w:tcW w:w="0" w:type="auto"/>
            <w:shd w:val="clear" w:color="auto" w:fill="auto"/>
            <w:tcMar>
              <w:top w:w="40" w:type="dxa"/>
              <w:left w:w="40" w:type="dxa"/>
              <w:bottom w:w="40" w:type="dxa"/>
              <w:right w:w="40" w:type="dxa"/>
            </w:tcMar>
            <w:vAlign w:val="bottom"/>
          </w:tcPr>
          <w:p w14:paraId="42A122F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2F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(320</w:t>
            </w:r>
          </w:p>
        </w:tc>
        <w:tc>
          <w:tcPr>
            <w:tcW w:w="0" w:type="auto"/>
            <w:tcBorders>
              <w:bottom w:val="single" w:sz="8" w:space="0" w:color="000000"/>
            </w:tcBorders>
            <w:shd w:val="clear" w:color="auto" w:fill="auto"/>
            <w:tcMar>
              <w:top w:w="40" w:type="dxa"/>
              <w:bottom w:w="40" w:type="dxa"/>
              <w:right w:w="40" w:type="dxa"/>
            </w:tcMar>
            <w:vAlign w:val="center"/>
          </w:tcPr>
          <w:p w14:paraId="42A122F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30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30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(509</w:t>
            </w:r>
          </w:p>
        </w:tc>
        <w:tc>
          <w:tcPr>
            <w:tcW w:w="0" w:type="auto"/>
            <w:tcBorders>
              <w:bottom w:val="single" w:sz="8" w:space="0" w:color="000000"/>
            </w:tcBorders>
            <w:shd w:val="clear" w:color="auto" w:fill="auto"/>
            <w:tcMar>
              <w:top w:w="40" w:type="dxa"/>
              <w:bottom w:w="40" w:type="dxa"/>
              <w:right w:w="40" w:type="dxa"/>
            </w:tcMar>
            <w:vAlign w:val="center"/>
          </w:tcPr>
          <w:p w14:paraId="42A1230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30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30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(661</w:t>
            </w:r>
          </w:p>
        </w:tc>
        <w:tc>
          <w:tcPr>
            <w:tcW w:w="0" w:type="auto"/>
            <w:shd w:val="clear" w:color="auto" w:fill="auto"/>
            <w:tcMar>
              <w:top w:w="40" w:type="dxa"/>
              <w:bottom w:w="40" w:type="dxa"/>
              <w:right w:w="40" w:type="dxa"/>
            </w:tcMar>
            <w:vAlign w:val="center"/>
          </w:tcPr>
          <w:p w14:paraId="42A1230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311" w14:textId="77777777">
        <w:trPr>
          <w:jc w:val="center"/>
        </w:trPr>
        <w:tc>
          <w:tcPr>
            <w:tcW w:w="0" w:type="auto"/>
            <w:shd w:val="clear" w:color="auto" w:fill="CCEEFF"/>
            <w:tcMar>
              <w:top w:w="40" w:type="dxa"/>
              <w:left w:w="40" w:type="dxa"/>
              <w:bottom w:w="40" w:type="dxa"/>
              <w:right w:w="40" w:type="dxa"/>
            </w:tcMar>
            <w:vAlign w:val="center"/>
          </w:tcPr>
          <w:p w14:paraId="42A12307"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 xml:space="preserve">Consolidated net income </w:t>
            </w:r>
            <w:r>
              <w:rPr>
                <w:rFonts w:ascii="Times New Roman" w:eastAsia="宋体" w:hAnsi="Times New Roman"/>
                <w:b/>
                <w:bCs/>
                <w:sz w:val="16"/>
                <w:szCs w:val="16"/>
              </w:rPr>
              <w:t>attributable to Walmart</w:t>
            </w:r>
          </w:p>
        </w:tc>
        <w:tc>
          <w:tcPr>
            <w:tcW w:w="0" w:type="auto"/>
            <w:shd w:val="clear" w:color="auto" w:fill="CCEEFF"/>
            <w:tcMar>
              <w:top w:w="40" w:type="dxa"/>
              <w:left w:w="40" w:type="dxa"/>
              <w:bottom w:w="40" w:type="dxa"/>
              <w:right w:w="40" w:type="dxa"/>
            </w:tcMar>
            <w:vAlign w:val="bottom"/>
          </w:tcPr>
          <w:p w14:paraId="42A1230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center"/>
          </w:tcPr>
          <w:p w14:paraId="42A1230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14,881</w:t>
            </w:r>
          </w:p>
        </w:tc>
        <w:tc>
          <w:tcPr>
            <w:tcW w:w="0" w:type="auto"/>
            <w:tcBorders>
              <w:top w:val="single" w:sz="8" w:space="0" w:color="000000"/>
              <w:bottom w:val="single" w:sz="8" w:space="0" w:color="000000"/>
            </w:tcBorders>
            <w:shd w:val="clear" w:color="auto" w:fill="CCEEFF"/>
            <w:vAlign w:val="bottom"/>
          </w:tcPr>
          <w:p w14:paraId="42A1230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30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center"/>
          </w:tcPr>
          <w:p w14:paraId="42A1230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6,670</w:t>
            </w:r>
          </w:p>
        </w:tc>
        <w:tc>
          <w:tcPr>
            <w:tcW w:w="0" w:type="auto"/>
            <w:tcBorders>
              <w:top w:val="single" w:sz="8" w:space="0" w:color="000000"/>
              <w:bottom w:val="single" w:sz="8" w:space="0" w:color="000000"/>
            </w:tcBorders>
            <w:shd w:val="clear" w:color="auto" w:fill="CCEEFF"/>
            <w:vAlign w:val="bottom"/>
          </w:tcPr>
          <w:p w14:paraId="42A1230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3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center"/>
          </w:tcPr>
          <w:p w14:paraId="42A1230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9,862</w:t>
            </w:r>
          </w:p>
        </w:tc>
        <w:tc>
          <w:tcPr>
            <w:tcW w:w="0" w:type="auto"/>
            <w:tcBorders>
              <w:top w:val="single" w:sz="8" w:space="0" w:color="000000"/>
              <w:bottom w:val="single" w:sz="8" w:space="0" w:color="000000"/>
            </w:tcBorders>
            <w:shd w:val="clear" w:color="auto" w:fill="CCEEFF"/>
            <w:vAlign w:val="bottom"/>
          </w:tcPr>
          <w:p w14:paraId="42A12310" w14:textId="77777777" w:rsidR="00BB68E1" w:rsidRDefault="00BB68E1">
            <w:pPr>
              <w:textAlignment w:val="bottom"/>
              <w:rPr>
                <w:rFonts w:ascii="Times New Roman" w:hAnsi="Times New Roman"/>
                <w:sz w:val="20"/>
                <w:szCs w:val="20"/>
              </w:rPr>
            </w:pPr>
          </w:p>
        </w:tc>
      </w:tr>
      <w:tr w:rsidR="00BB68E1" w14:paraId="42A12319" w14:textId="77777777">
        <w:trPr>
          <w:jc w:val="center"/>
        </w:trPr>
        <w:tc>
          <w:tcPr>
            <w:tcW w:w="0" w:type="auto"/>
            <w:shd w:val="clear" w:color="auto" w:fill="auto"/>
            <w:tcMar>
              <w:top w:w="40" w:type="dxa"/>
              <w:left w:w="40" w:type="dxa"/>
              <w:bottom w:w="40" w:type="dxa"/>
              <w:right w:w="40" w:type="dxa"/>
            </w:tcMar>
            <w:vAlign w:val="bottom"/>
          </w:tcPr>
          <w:p w14:paraId="42A123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31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42A1231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31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42A1231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31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42A1231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321" w14:textId="77777777">
        <w:trPr>
          <w:jc w:val="center"/>
        </w:trPr>
        <w:tc>
          <w:tcPr>
            <w:tcW w:w="0" w:type="auto"/>
            <w:shd w:val="clear" w:color="auto" w:fill="CCEEFF"/>
            <w:tcMar>
              <w:top w:w="40" w:type="dxa"/>
              <w:left w:w="40" w:type="dxa"/>
              <w:bottom w:w="40" w:type="dxa"/>
              <w:right w:w="40" w:type="dxa"/>
            </w:tcMar>
            <w:vAlign w:val="center"/>
          </w:tcPr>
          <w:p w14:paraId="42A1231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 comprehensive income (loss), net of income taxes</w:t>
            </w:r>
          </w:p>
        </w:tc>
        <w:tc>
          <w:tcPr>
            <w:tcW w:w="0" w:type="auto"/>
            <w:shd w:val="clear" w:color="auto" w:fill="CCEEFF"/>
            <w:tcMar>
              <w:top w:w="40" w:type="dxa"/>
              <w:left w:w="40" w:type="dxa"/>
              <w:bottom w:w="40" w:type="dxa"/>
              <w:right w:w="40" w:type="dxa"/>
            </w:tcMar>
            <w:vAlign w:val="bottom"/>
          </w:tcPr>
          <w:p w14:paraId="42A1231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31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31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31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31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32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32C" w14:textId="77777777">
        <w:trPr>
          <w:jc w:val="center"/>
        </w:trPr>
        <w:tc>
          <w:tcPr>
            <w:tcW w:w="0" w:type="auto"/>
            <w:shd w:val="clear" w:color="auto" w:fill="auto"/>
            <w:tcMar>
              <w:top w:w="40" w:type="dxa"/>
              <w:left w:w="560" w:type="dxa"/>
              <w:bottom w:w="40" w:type="dxa"/>
              <w:right w:w="40" w:type="dxa"/>
            </w:tcMar>
            <w:vAlign w:val="center"/>
          </w:tcPr>
          <w:p w14:paraId="42A1232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Currency translation and other</w:t>
            </w:r>
          </w:p>
        </w:tc>
        <w:tc>
          <w:tcPr>
            <w:tcW w:w="0" w:type="auto"/>
            <w:shd w:val="clear" w:color="auto" w:fill="auto"/>
            <w:tcMar>
              <w:top w:w="40" w:type="dxa"/>
              <w:left w:w="40" w:type="dxa"/>
              <w:bottom w:w="40" w:type="dxa"/>
              <w:right w:w="40" w:type="dxa"/>
            </w:tcMar>
            <w:vAlign w:val="bottom"/>
          </w:tcPr>
          <w:p w14:paraId="42A1232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32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286</w:t>
            </w:r>
          </w:p>
        </w:tc>
        <w:tc>
          <w:tcPr>
            <w:tcW w:w="0" w:type="auto"/>
            <w:shd w:val="clear" w:color="auto" w:fill="auto"/>
            <w:vAlign w:val="bottom"/>
          </w:tcPr>
          <w:p w14:paraId="42A1232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32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32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(226</w:t>
            </w:r>
          </w:p>
        </w:tc>
        <w:tc>
          <w:tcPr>
            <w:tcW w:w="0" w:type="auto"/>
            <w:shd w:val="clear" w:color="auto" w:fill="auto"/>
            <w:tcMar>
              <w:top w:w="40" w:type="dxa"/>
              <w:bottom w:w="40" w:type="dxa"/>
              <w:right w:w="40" w:type="dxa"/>
            </w:tcMar>
            <w:vAlign w:val="center"/>
          </w:tcPr>
          <w:p w14:paraId="42A1232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32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32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2,540</w:t>
            </w:r>
          </w:p>
        </w:tc>
        <w:tc>
          <w:tcPr>
            <w:tcW w:w="0" w:type="auto"/>
            <w:shd w:val="clear" w:color="auto" w:fill="auto"/>
            <w:vAlign w:val="bottom"/>
          </w:tcPr>
          <w:p w14:paraId="42A1232B" w14:textId="77777777" w:rsidR="00BB68E1" w:rsidRDefault="00BB68E1">
            <w:pPr>
              <w:textAlignment w:val="bottom"/>
              <w:rPr>
                <w:rFonts w:ascii="Times New Roman" w:hAnsi="Times New Roman"/>
                <w:sz w:val="20"/>
                <w:szCs w:val="20"/>
              </w:rPr>
            </w:pPr>
          </w:p>
        </w:tc>
      </w:tr>
      <w:tr w:rsidR="00BB68E1" w14:paraId="42A12337" w14:textId="77777777">
        <w:trPr>
          <w:jc w:val="center"/>
        </w:trPr>
        <w:tc>
          <w:tcPr>
            <w:tcW w:w="0" w:type="auto"/>
            <w:shd w:val="clear" w:color="auto" w:fill="CCEEFF"/>
            <w:tcMar>
              <w:top w:w="40" w:type="dxa"/>
              <w:left w:w="560" w:type="dxa"/>
              <w:bottom w:w="40" w:type="dxa"/>
              <w:right w:w="40" w:type="dxa"/>
            </w:tcMar>
            <w:vAlign w:val="center"/>
          </w:tcPr>
          <w:p w14:paraId="42A1232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investment hedges</w:t>
            </w:r>
          </w:p>
        </w:tc>
        <w:tc>
          <w:tcPr>
            <w:tcW w:w="0" w:type="auto"/>
            <w:shd w:val="clear" w:color="auto" w:fill="CCEEFF"/>
            <w:tcMar>
              <w:top w:w="40" w:type="dxa"/>
              <w:left w:w="40" w:type="dxa"/>
              <w:bottom w:w="40" w:type="dxa"/>
              <w:right w:w="40" w:type="dxa"/>
            </w:tcMar>
            <w:vAlign w:val="bottom"/>
          </w:tcPr>
          <w:p w14:paraId="42A1232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32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122</w:t>
            </w:r>
          </w:p>
        </w:tc>
        <w:tc>
          <w:tcPr>
            <w:tcW w:w="0" w:type="auto"/>
            <w:shd w:val="clear" w:color="auto" w:fill="CCEEFF"/>
            <w:vAlign w:val="bottom"/>
          </w:tcPr>
          <w:p w14:paraId="42A1233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33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33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272</w:t>
            </w:r>
          </w:p>
        </w:tc>
        <w:tc>
          <w:tcPr>
            <w:tcW w:w="0" w:type="auto"/>
            <w:shd w:val="clear" w:color="auto" w:fill="CCEEFF"/>
            <w:vAlign w:val="bottom"/>
          </w:tcPr>
          <w:p w14:paraId="42A1233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33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33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(405</w:t>
            </w:r>
          </w:p>
        </w:tc>
        <w:tc>
          <w:tcPr>
            <w:tcW w:w="0" w:type="auto"/>
            <w:shd w:val="clear" w:color="auto" w:fill="CCEEFF"/>
            <w:tcMar>
              <w:top w:w="40" w:type="dxa"/>
              <w:bottom w:w="40" w:type="dxa"/>
              <w:right w:w="40" w:type="dxa"/>
            </w:tcMar>
            <w:vAlign w:val="center"/>
          </w:tcPr>
          <w:p w14:paraId="42A1233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342" w14:textId="77777777">
        <w:trPr>
          <w:jc w:val="center"/>
        </w:trPr>
        <w:tc>
          <w:tcPr>
            <w:tcW w:w="0" w:type="auto"/>
            <w:shd w:val="clear" w:color="auto" w:fill="auto"/>
            <w:tcMar>
              <w:top w:w="40" w:type="dxa"/>
              <w:left w:w="560" w:type="dxa"/>
              <w:bottom w:w="40" w:type="dxa"/>
              <w:right w:w="40" w:type="dxa"/>
            </w:tcMar>
            <w:vAlign w:val="center"/>
          </w:tcPr>
          <w:p w14:paraId="42A1233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Cash flow </w:t>
            </w:r>
            <w:r>
              <w:rPr>
                <w:rFonts w:ascii="Times New Roman" w:eastAsia="宋体" w:hAnsi="Times New Roman"/>
                <w:sz w:val="16"/>
                <w:szCs w:val="16"/>
              </w:rPr>
              <w:t>hedges</w:t>
            </w:r>
          </w:p>
        </w:tc>
        <w:tc>
          <w:tcPr>
            <w:tcW w:w="0" w:type="auto"/>
            <w:shd w:val="clear" w:color="auto" w:fill="auto"/>
            <w:tcMar>
              <w:top w:w="40" w:type="dxa"/>
              <w:left w:w="40" w:type="dxa"/>
              <w:bottom w:w="40" w:type="dxa"/>
              <w:right w:w="40" w:type="dxa"/>
            </w:tcMar>
            <w:vAlign w:val="bottom"/>
          </w:tcPr>
          <w:p w14:paraId="42A1233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33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(399</w:t>
            </w:r>
          </w:p>
        </w:tc>
        <w:tc>
          <w:tcPr>
            <w:tcW w:w="0" w:type="auto"/>
            <w:shd w:val="clear" w:color="auto" w:fill="auto"/>
            <w:tcMar>
              <w:top w:w="40" w:type="dxa"/>
              <w:bottom w:w="40" w:type="dxa"/>
              <w:right w:w="40" w:type="dxa"/>
            </w:tcMar>
            <w:vAlign w:val="center"/>
          </w:tcPr>
          <w:p w14:paraId="42A1233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3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33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(290</w:t>
            </w:r>
          </w:p>
        </w:tc>
        <w:tc>
          <w:tcPr>
            <w:tcW w:w="0" w:type="auto"/>
            <w:shd w:val="clear" w:color="auto" w:fill="auto"/>
            <w:tcMar>
              <w:top w:w="40" w:type="dxa"/>
              <w:bottom w:w="40" w:type="dxa"/>
              <w:right w:w="40" w:type="dxa"/>
            </w:tcMar>
            <w:vAlign w:val="center"/>
          </w:tcPr>
          <w:p w14:paraId="42A1233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33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34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437</w:t>
            </w:r>
          </w:p>
        </w:tc>
        <w:tc>
          <w:tcPr>
            <w:tcW w:w="0" w:type="auto"/>
            <w:shd w:val="clear" w:color="auto" w:fill="auto"/>
            <w:vAlign w:val="bottom"/>
          </w:tcPr>
          <w:p w14:paraId="42A12341" w14:textId="77777777" w:rsidR="00BB68E1" w:rsidRDefault="00BB68E1">
            <w:pPr>
              <w:textAlignment w:val="bottom"/>
              <w:rPr>
                <w:rFonts w:ascii="Times New Roman" w:hAnsi="Times New Roman"/>
                <w:sz w:val="20"/>
                <w:szCs w:val="20"/>
              </w:rPr>
            </w:pPr>
          </w:p>
        </w:tc>
      </w:tr>
      <w:tr w:rsidR="00BB68E1" w14:paraId="42A1234D" w14:textId="77777777">
        <w:trPr>
          <w:jc w:val="center"/>
        </w:trPr>
        <w:tc>
          <w:tcPr>
            <w:tcW w:w="0" w:type="auto"/>
            <w:shd w:val="clear" w:color="auto" w:fill="CCEEFF"/>
            <w:tcMar>
              <w:top w:w="40" w:type="dxa"/>
              <w:left w:w="560" w:type="dxa"/>
              <w:bottom w:w="40" w:type="dxa"/>
              <w:right w:w="40" w:type="dxa"/>
            </w:tcMar>
            <w:vAlign w:val="center"/>
          </w:tcPr>
          <w:p w14:paraId="42A1234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Minimum pension liability</w:t>
            </w:r>
          </w:p>
        </w:tc>
        <w:tc>
          <w:tcPr>
            <w:tcW w:w="0" w:type="auto"/>
            <w:shd w:val="clear" w:color="auto" w:fill="CCEEFF"/>
            <w:tcMar>
              <w:top w:w="40" w:type="dxa"/>
              <w:left w:w="40" w:type="dxa"/>
              <w:bottom w:w="40" w:type="dxa"/>
              <w:right w:w="40" w:type="dxa"/>
            </w:tcMar>
            <w:vAlign w:val="bottom"/>
          </w:tcPr>
          <w:p w14:paraId="42A1234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34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(1,244</w:t>
            </w:r>
          </w:p>
        </w:tc>
        <w:tc>
          <w:tcPr>
            <w:tcW w:w="0" w:type="auto"/>
            <w:shd w:val="clear" w:color="auto" w:fill="CCEEFF"/>
            <w:tcMar>
              <w:top w:w="40" w:type="dxa"/>
              <w:bottom w:w="40" w:type="dxa"/>
              <w:right w:w="40" w:type="dxa"/>
            </w:tcMar>
            <w:vAlign w:val="center"/>
          </w:tcPr>
          <w:p w14:paraId="42A1234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34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34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131</w:t>
            </w:r>
          </w:p>
        </w:tc>
        <w:tc>
          <w:tcPr>
            <w:tcW w:w="0" w:type="auto"/>
            <w:shd w:val="clear" w:color="auto" w:fill="CCEEFF"/>
            <w:vAlign w:val="bottom"/>
          </w:tcPr>
          <w:p w14:paraId="42A1234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34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34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147</w:t>
            </w:r>
          </w:p>
        </w:tc>
        <w:tc>
          <w:tcPr>
            <w:tcW w:w="0" w:type="auto"/>
            <w:shd w:val="clear" w:color="auto" w:fill="CCEEFF"/>
            <w:vAlign w:val="bottom"/>
          </w:tcPr>
          <w:p w14:paraId="42A1234C" w14:textId="77777777" w:rsidR="00BB68E1" w:rsidRDefault="00BB68E1">
            <w:pPr>
              <w:textAlignment w:val="bottom"/>
              <w:rPr>
                <w:rFonts w:ascii="Times New Roman" w:hAnsi="Times New Roman"/>
                <w:sz w:val="20"/>
                <w:szCs w:val="20"/>
              </w:rPr>
            </w:pPr>
          </w:p>
        </w:tc>
      </w:tr>
      <w:tr w:rsidR="00BB68E1" w14:paraId="42A12358" w14:textId="77777777">
        <w:trPr>
          <w:jc w:val="center"/>
        </w:trPr>
        <w:tc>
          <w:tcPr>
            <w:tcW w:w="0" w:type="auto"/>
            <w:shd w:val="clear" w:color="auto" w:fill="auto"/>
            <w:tcMar>
              <w:top w:w="40" w:type="dxa"/>
              <w:left w:w="560" w:type="dxa"/>
              <w:bottom w:w="40" w:type="dxa"/>
              <w:right w:w="40" w:type="dxa"/>
            </w:tcMar>
            <w:vAlign w:val="center"/>
          </w:tcPr>
          <w:p w14:paraId="42A1234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Unrealized gain on available-for-sale securities</w:t>
            </w:r>
          </w:p>
        </w:tc>
        <w:tc>
          <w:tcPr>
            <w:tcW w:w="0" w:type="auto"/>
            <w:shd w:val="clear" w:color="auto" w:fill="auto"/>
            <w:tcMar>
              <w:top w:w="40" w:type="dxa"/>
              <w:left w:w="40" w:type="dxa"/>
              <w:bottom w:w="40" w:type="dxa"/>
              <w:right w:w="40" w:type="dxa"/>
            </w:tcMar>
            <w:vAlign w:val="bottom"/>
          </w:tcPr>
          <w:p w14:paraId="42A1234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35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35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35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35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35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35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35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1,501</w:t>
            </w:r>
          </w:p>
        </w:tc>
        <w:tc>
          <w:tcPr>
            <w:tcW w:w="0" w:type="auto"/>
            <w:shd w:val="clear" w:color="auto" w:fill="auto"/>
            <w:vAlign w:val="bottom"/>
          </w:tcPr>
          <w:p w14:paraId="42A12357" w14:textId="77777777" w:rsidR="00BB68E1" w:rsidRDefault="00BB68E1">
            <w:pPr>
              <w:textAlignment w:val="bottom"/>
              <w:rPr>
                <w:rFonts w:ascii="Times New Roman" w:hAnsi="Times New Roman"/>
                <w:sz w:val="20"/>
                <w:szCs w:val="20"/>
              </w:rPr>
            </w:pPr>
          </w:p>
        </w:tc>
      </w:tr>
      <w:tr w:rsidR="00BB68E1" w14:paraId="42A12363" w14:textId="77777777">
        <w:trPr>
          <w:jc w:val="center"/>
        </w:trPr>
        <w:tc>
          <w:tcPr>
            <w:tcW w:w="0" w:type="auto"/>
            <w:shd w:val="clear" w:color="auto" w:fill="CCEEFF"/>
            <w:tcMar>
              <w:top w:w="40" w:type="dxa"/>
              <w:left w:w="40" w:type="dxa"/>
              <w:bottom w:w="40" w:type="dxa"/>
              <w:right w:w="40" w:type="dxa"/>
            </w:tcMar>
            <w:vAlign w:val="center"/>
          </w:tcPr>
          <w:p w14:paraId="42A1235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 comprehensive income (loss), net of income taxes</w:t>
            </w:r>
          </w:p>
        </w:tc>
        <w:tc>
          <w:tcPr>
            <w:tcW w:w="0" w:type="auto"/>
            <w:shd w:val="clear" w:color="auto" w:fill="CCEEFF"/>
            <w:tcMar>
              <w:top w:w="40" w:type="dxa"/>
              <w:left w:w="40" w:type="dxa"/>
              <w:bottom w:w="40" w:type="dxa"/>
              <w:right w:w="40" w:type="dxa"/>
            </w:tcMar>
            <w:vAlign w:val="bottom"/>
          </w:tcPr>
          <w:p w14:paraId="42A1235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2A1235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(1,235</w:t>
            </w:r>
          </w:p>
        </w:tc>
        <w:tc>
          <w:tcPr>
            <w:tcW w:w="0" w:type="auto"/>
            <w:tcBorders>
              <w:top w:val="single" w:sz="8" w:space="0" w:color="000000"/>
            </w:tcBorders>
            <w:shd w:val="clear" w:color="auto" w:fill="CCEEFF"/>
            <w:tcMar>
              <w:top w:w="40" w:type="dxa"/>
              <w:bottom w:w="40" w:type="dxa"/>
              <w:right w:w="40" w:type="dxa"/>
            </w:tcMar>
            <w:vAlign w:val="center"/>
          </w:tcPr>
          <w:p w14:paraId="42A1235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35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2A1235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(113</w:t>
            </w:r>
          </w:p>
        </w:tc>
        <w:tc>
          <w:tcPr>
            <w:tcW w:w="0" w:type="auto"/>
            <w:tcBorders>
              <w:top w:val="single" w:sz="8" w:space="0" w:color="000000"/>
            </w:tcBorders>
            <w:shd w:val="clear" w:color="auto" w:fill="CCEEFF"/>
            <w:tcMar>
              <w:top w:w="40" w:type="dxa"/>
              <w:bottom w:w="40" w:type="dxa"/>
              <w:right w:w="40" w:type="dxa"/>
            </w:tcMar>
            <w:vAlign w:val="center"/>
          </w:tcPr>
          <w:p w14:paraId="42A1235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36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2A1236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4,220</w:t>
            </w:r>
          </w:p>
        </w:tc>
        <w:tc>
          <w:tcPr>
            <w:tcW w:w="0" w:type="auto"/>
            <w:tcBorders>
              <w:top w:val="single" w:sz="8" w:space="0" w:color="000000"/>
            </w:tcBorders>
            <w:shd w:val="clear" w:color="auto" w:fill="CCEEFF"/>
            <w:vAlign w:val="bottom"/>
          </w:tcPr>
          <w:p w14:paraId="42A12362" w14:textId="77777777" w:rsidR="00BB68E1" w:rsidRDefault="00BB68E1">
            <w:pPr>
              <w:textAlignment w:val="bottom"/>
              <w:rPr>
                <w:rFonts w:ascii="Times New Roman" w:hAnsi="Times New Roman"/>
                <w:sz w:val="20"/>
                <w:szCs w:val="20"/>
              </w:rPr>
            </w:pPr>
          </w:p>
        </w:tc>
      </w:tr>
      <w:tr w:rsidR="00BB68E1" w14:paraId="42A1236E" w14:textId="77777777">
        <w:trPr>
          <w:jc w:val="center"/>
        </w:trPr>
        <w:tc>
          <w:tcPr>
            <w:tcW w:w="0" w:type="auto"/>
            <w:shd w:val="clear" w:color="auto" w:fill="auto"/>
            <w:tcMar>
              <w:top w:w="40" w:type="dxa"/>
              <w:left w:w="560" w:type="dxa"/>
              <w:bottom w:w="40" w:type="dxa"/>
              <w:right w:w="40" w:type="dxa"/>
            </w:tcMar>
            <w:vAlign w:val="center"/>
          </w:tcPr>
          <w:p w14:paraId="42A1236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Other </w:t>
            </w:r>
            <w:r>
              <w:rPr>
                <w:rFonts w:ascii="Times New Roman" w:eastAsia="宋体" w:hAnsi="Times New Roman"/>
                <w:sz w:val="16"/>
                <w:szCs w:val="16"/>
              </w:rPr>
              <w:t>comprehensive (income) loss attributable to noncontrolling interest</w:t>
            </w:r>
          </w:p>
        </w:tc>
        <w:tc>
          <w:tcPr>
            <w:tcW w:w="0" w:type="auto"/>
            <w:shd w:val="clear" w:color="auto" w:fill="auto"/>
            <w:tcMar>
              <w:top w:w="40" w:type="dxa"/>
              <w:left w:w="40" w:type="dxa"/>
              <w:bottom w:w="40" w:type="dxa"/>
              <w:right w:w="40" w:type="dxa"/>
            </w:tcMar>
            <w:vAlign w:val="bottom"/>
          </w:tcPr>
          <w:p w14:paraId="42A1236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36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tcBorders>
              <w:bottom w:val="single" w:sz="8" w:space="0" w:color="000000"/>
            </w:tcBorders>
            <w:shd w:val="clear" w:color="auto" w:fill="auto"/>
            <w:tcMar>
              <w:top w:w="40" w:type="dxa"/>
              <w:bottom w:w="40" w:type="dxa"/>
              <w:right w:w="40" w:type="dxa"/>
            </w:tcMar>
            <w:vAlign w:val="center"/>
          </w:tcPr>
          <w:p w14:paraId="42A1236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36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36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188</w:t>
            </w:r>
          </w:p>
        </w:tc>
        <w:tc>
          <w:tcPr>
            <w:tcW w:w="0" w:type="auto"/>
            <w:tcBorders>
              <w:bottom w:val="single" w:sz="8" w:space="0" w:color="000000"/>
            </w:tcBorders>
            <w:shd w:val="clear" w:color="auto" w:fill="auto"/>
            <w:vAlign w:val="bottom"/>
          </w:tcPr>
          <w:p w14:paraId="42A1236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36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36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(169</w:t>
            </w:r>
          </w:p>
        </w:tc>
        <w:tc>
          <w:tcPr>
            <w:tcW w:w="0" w:type="auto"/>
            <w:tcBorders>
              <w:bottom w:val="single" w:sz="8" w:space="0" w:color="000000"/>
            </w:tcBorders>
            <w:shd w:val="clear" w:color="auto" w:fill="auto"/>
            <w:tcMar>
              <w:top w:w="40" w:type="dxa"/>
              <w:bottom w:w="40" w:type="dxa"/>
              <w:right w:w="40" w:type="dxa"/>
            </w:tcMar>
            <w:vAlign w:val="center"/>
          </w:tcPr>
          <w:p w14:paraId="42A1236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379" w14:textId="77777777">
        <w:trPr>
          <w:jc w:val="center"/>
        </w:trPr>
        <w:tc>
          <w:tcPr>
            <w:tcW w:w="0" w:type="auto"/>
            <w:shd w:val="clear" w:color="auto" w:fill="CCEEFF"/>
            <w:tcMar>
              <w:top w:w="40" w:type="dxa"/>
              <w:left w:w="40" w:type="dxa"/>
              <w:bottom w:w="40" w:type="dxa"/>
              <w:right w:w="40" w:type="dxa"/>
            </w:tcMar>
            <w:vAlign w:val="center"/>
          </w:tcPr>
          <w:p w14:paraId="42A1236F"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Other comprehensive income (loss) attributable to Walmart</w:t>
            </w:r>
          </w:p>
        </w:tc>
        <w:tc>
          <w:tcPr>
            <w:tcW w:w="0" w:type="auto"/>
            <w:shd w:val="clear" w:color="auto" w:fill="CCEEFF"/>
            <w:tcMar>
              <w:top w:w="40" w:type="dxa"/>
              <w:left w:w="40" w:type="dxa"/>
              <w:bottom w:w="40" w:type="dxa"/>
              <w:right w:w="40" w:type="dxa"/>
            </w:tcMar>
            <w:vAlign w:val="bottom"/>
          </w:tcPr>
          <w:p w14:paraId="42A1237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37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(1,263</w:t>
            </w:r>
          </w:p>
        </w:tc>
        <w:tc>
          <w:tcPr>
            <w:tcW w:w="0" w:type="auto"/>
            <w:tcBorders>
              <w:bottom w:val="single" w:sz="8" w:space="0" w:color="000000"/>
            </w:tcBorders>
            <w:shd w:val="clear" w:color="auto" w:fill="CCEEFF"/>
            <w:tcMar>
              <w:top w:w="40" w:type="dxa"/>
              <w:bottom w:w="40" w:type="dxa"/>
              <w:right w:w="40" w:type="dxa"/>
            </w:tcMar>
            <w:vAlign w:val="center"/>
          </w:tcPr>
          <w:p w14:paraId="42A1237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37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37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75</w:t>
            </w:r>
          </w:p>
        </w:tc>
        <w:tc>
          <w:tcPr>
            <w:tcW w:w="0" w:type="auto"/>
            <w:tcBorders>
              <w:bottom w:val="single" w:sz="8" w:space="0" w:color="000000"/>
            </w:tcBorders>
            <w:shd w:val="clear" w:color="auto" w:fill="CCEEFF"/>
            <w:vAlign w:val="bottom"/>
          </w:tcPr>
          <w:p w14:paraId="42A1237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37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37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4,051</w:t>
            </w:r>
          </w:p>
        </w:tc>
        <w:tc>
          <w:tcPr>
            <w:tcW w:w="0" w:type="auto"/>
            <w:tcBorders>
              <w:bottom w:val="single" w:sz="8" w:space="0" w:color="000000"/>
            </w:tcBorders>
            <w:shd w:val="clear" w:color="auto" w:fill="CCEEFF"/>
            <w:vAlign w:val="bottom"/>
          </w:tcPr>
          <w:p w14:paraId="42A12378" w14:textId="77777777" w:rsidR="00BB68E1" w:rsidRDefault="00BB68E1">
            <w:pPr>
              <w:textAlignment w:val="bottom"/>
              <w:rPr>
                <w:rFonts w:ascii="Times New Roman" w:hAnsi="Times New Roman"/>
                <w:sz w:val="20"/>
                <w:szCs w:val="20"/>
              </w:rPr>
            </w:pPr>
          </w:p>
        </w:tc>
      </w:tr>
      <w:tr w:rsidR="00BB68E1" w14:paraId="42A12381" w14:textId="77777777">
        <w:trPr>
          <w:jc w:val="center"/>
        </w:trPr>
        <w:tc>
          <w:tcPr>
            <w:tcW w:w="0" w:type="auto"/>
            <w:shd w:val="clear" w:color="auto" w:fill="auto"/>
            <w:tcMar>
              <w:top w:w="40" w:type="dxa"/>
              <w:left w:w="40" w:type="dxa"/>
              <w:bottom w:w="40" w:type="dxa"/>
              <w:right w:w="40" w:type="dxa"/>
            </w:tcMar>
            <w:vAlign w:val="bottom"/>
          </w:tcPr>
          <w:p w14:paraId="42A1237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37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3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37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37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37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38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38C" w14:textId="77777777">
        <w:trPr>
          <w:jc w:val="center"/>
        </w:trPr>
        <w:tc>
          <w:tcPr>
            <w:tcW w:w="0" w:type="auto"/>
            <w:shd w:val="clear" w:color="auto" w:fill="CCEEFF"/>
            <w:tcMar>
              <w:top w:w="40" w:type="dxa"/>
              <w:left w:w="40" w:type="dxa"/>
              <w:bottom w:w="40" w:type="dxa"/>
              <w:right w:w="40" w:type="dxa"/>
            </w:tcMar>
            <w:vAlign w:val="center"/>
          </w:tcPr>
          <w:p w14:paraId="42A1238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Comprehensive income, net of income taxes</w:t>
            </w:r>
          </w:p>
        </w:tc>
        <w:tc>
          <w:tcPr>
            <w:tcW w:w="0" w:type="auto"/>
            <w:shd w:val="clear" w:color="auto" w:fill="CCEEFF"/>
            <w:tcMar>
              <w:top w:w="40" w:type="dxa"/>
              <w:left w:w="40" w:type="dxa"/>
              <w:bottom w:w="40" w:type="dxa"/>
              <w:right w:w="40" w:type="dxa"/>
            </w:tcMar>
            <w:vAlign w:val="bottom"/>
          </w:tcPr>
          <w:p w14:paraId="42A1238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38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13,966</w:t>
            </w:r>
          </w:p>
        </w:tc>
        <w:tc>
          <w:tcPr>
            <w:tcW w:w="0" w:type="auto"/>
            <w:shd w:val="clear" w:color="auto" w:fill="CCEEFF"/>
            <w:vAlign w:val="bottom"/>
          </w:tcPr>
          <w:p w14:paraId="42A1238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3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38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7,066</w:t>
            </w:r>
          </w:p>
        </w:tc>
        <w:tc>
          <w:tcPr>
            <w:tcW w:w="0" w:type="auto"/>
            <w:shd w:val="clear" w:color="auto" w:fill="CCEEFF"/>
            <w:vAlign w:val="bottom"/>
          </w:tcPr>
          <w:p w14:paraId="42A1238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38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38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14,743</w:t>
            </w:r>
          </w:p>
        </w:tc>
        <w:tc>
          <w:tcPr>
            <w:tcW w:w="0" w:type="auto"/>
            <w:shd w:val="clear" w:color="auto" w:fill="CCEEFF"/>
            <w:vAlign w:val="bottom"/>
          </w:tcPr>
          <w:p w14:paraId="42A1238B" w14:textId="77777777" w:rsidR="00BB68E1" w:rsidRDefault="00BB68E1">
            <w:pPr>
              <w:textAlignment w:val="bottom"/>
              <w:rPr>
                <w:rFonts w:ascii="Times New Roman" w:hAnsi="Times New Roman"/>
                <w:sz w:val="20"/>
                <w:szCs w:val="20"/>
              </w:rPr>
            </w:pPr>
          </w:p>
        </w:tc>
      </w:tr>
      <w:tr w:rsidR="00BB68E1" w14:paraId="42A12397" w14:textId="77777777">
        <w:trPr>
          <w:jc w:val="center"/>
        </w:trPr>
        <w:tc>
          <w:tcPr>
            <w:tcW w:w="0" w:type="auto"/>
            <w:shd w:val="clear" w:color="auto" w:fill="auto"/>
            <w:tcMar>
              <w:top w:w="40" w:type="dxa"/>
              <w:left w:w="560" w:type="dxa"/>
              <w:bottom w:w="40" w:type="dxa"/>
              <w:right w:w="40" w:type="dxa"/>
            </w:tcMar>
            <w:vAlign w:val="bottom"/>
          </w:tcPr>
          <w:p w14:paraId="42A1238D"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Comprehensive income attributable to noncontrolling interest</w:t>
            </w:r>
          </w:p>
        </w:tc>
        <w:tc>
          <w:tcPr>
            <w:tcW w:w="0" w:type="auto"/>
            <w:shd w:val="clear" w:color="auto" w:fill="auto"/>
            <w:tcMar>
              <w:top w:w="40" w:type="dxa"/>
              <w:left w:w="40" w:type="dxa"/>
              <w:bottom w:w="40" w:type="dxa"/>
              <w:right w:w="40" w:type="dxa"/>
            </w:tcMar>
            <w:vAlign w:val="bottom"/>
          </w:tcPr>
          <w:p w14:paraId="42A1238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38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(348</w:t>
            </w:r>
          </w:p>
        </w:tc>
        <w:tc>
          <w:tcPr>
            <w:tcW w:w="0" w:type="auto"/>
            <w:tcBorders>
              <w:bottom w:val="single" w:sz="8" w:space="0" w:color="000000"/>
            </w:tcBorders>
            <w:shd w:val="clear" w:color="auto" w:fill="auto"/>
            <w:tcMar>
              <w:top w:w="40" w:type="dxa"/>
              <w:bottom w:w="40" w:type="dxa"/>
              <w:right w:w="40" w:type="dxa"/>
            </w:tcMar>
            <w:vAlign w:val="center"/>
          </w:tcPr>
          <w:p w14:paraId="42A1239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39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39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(321</w:t>
            </w:r>
          </w:p>
        </w:tc>
        <w:tc>
          <w:tcPr>
            <w:tcW w:w="0" w:type="auto"/>
            <w:tcBorders>
              <w:bottom w:val="single" w:sz="8" w:space="0" w:color="000000"/>
            </w:tcBorders>
            <w:shd w:val="clear" w:color="auto" w:fill="auto"/>
            <w:tcMar>
              <w:top w:w="40" w:type="dxa"/>
              <w:bottom w:w="40" w:type="dxa"/>
              <w:right w:w="40" w:type="dxa"/>
            </w:tcMar>
            <w:vAlign w:val="center"/>
          </w:tcPr>
          <w:p w14:paraId="42A1239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39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39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(830</w:t>
            </w:r>
          </w:p>
        </w:tc>
        <w:tc>
          <w:tcPr>
            <w:tcW w:w="0" w:type="auto"/>
            <w:tcBorders>
              <w:bottom w:val="single" w:sz="8" w:space="0" w:color="000000"/>
            </w:tcBorders>
            <w:shd w:val="clear" w:color="auto" w:fill="auto"/>
            <w:tcMar>
              <w:top w:w="40" w:type="dxa"/>
              <w:bottom w:w="40" w:type="dxa"/>
              <w:right w:w="40" w:type="dxa"/>
            </w:tcMar>
            <w:vAlign w:val="center"/>
          </w:tcPr>
          <w:p w14:paraId="42A1239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3A5" w14:textId="77777777">
        <w:trPr>
          <w:jc w:val="center"/>
        </w:trPr>
        <w:tc>
          <w:tcPr>
            <w:tcW w:w="0" w:type="auto"/>
            <w:shd w:val="clear" w:color="auto" w:fill="CCEEFF"/>
            <w:tcMar>
              <w:top w:w="40" w:type="dxa"/>
              <w:left w:w="40" w:type="dxa"/>
              <w:bottom w:w="40" w:type="dxa"/>
              <w:right w:w="40" w:type="dxa"/>
            </w:tcMar>
            <w:vAlign w:val="center"/>
          </w:tcPr>
          <w:p w14:paraId="42A12398"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Comprehensive income attributable to Walmart</w:t>
            </w:r>
          </w:p>
        </w:tc>
        <w:tc>
          <w:tcPr>
            <w:tcW w:w="0" w:type="auto"/>
            <w:shd w:val="clear" w:color="auto" w:fill="CCEEFF"/>
            <w:tcMar>
              <w:top w:w="40" w:type="dxa"/>
              <w:left w:w="40" w:type="dxa"/>
              <w:bottom w:w="40" w:type="dxa"/>
              <w:right w:w="40" w:type="dxa"/>
            </w:tcMar>
            <w:vAlign w:val="bottom"/>
          </w:tcPr>
          <w:p w14:paraId="42A1239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239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239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13,618</w:t>
            </w:r>
          </w:p>
        </w:tc>
        <w:tc>
          <w:tcPr>
            <w:tcW w:w="0" w:type="auto"/>
            <w:tcBorders>
              <w:bottom w:val="double" w:sz="6" w:space="0" w:color="000000"/>
            </w:tcBorders>
            <w:shd w:val="clear" w:color="auto" w:fill="CCEEFF"/>
            <w:vAlign w:val="bottom"/>
          </w:tcPr>
          <w:p w14:paraId="42A1239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39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239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239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6,745</w:t>
            </w:r>
          </w:p>
        </w:tc>
        <w:tc>
          <w:tcPr>
            <w:tcW w:w="0" w:type="auto"/>
            <w:tcBorders>
              <w:bottom w:val="double" w:sz="6" w:space="0" w:color="000000"/>
            </w:tcBorders>
            <w:shd w:val="clear" w:color="auto" w:fill="CCEEFF"/>
            <w:vAlign w:val="bottom"/>
          </w:tcPr>
          <w:p w14:paraId="42A123A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3A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23A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23A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13,913</w:t>
            </w:r>
          </w:p>
        </w:tc>
        <w:tc>
          <w:tcPr>
            <w:tcW w:w="0" w:type="auto"/>
            <w:tcBorders>
              <w:bottom w:val="double" w:sz="6" w:space="0" w:color="000000"/>
            </w:tcBorders>
            <w:shd w:val="clear" w:color="auto" w:fill="CCEEFF"/>
            <w:vAlign w:val="bottom"/>
          </w:tcPr>
          <w:p w14:paraId="42A123A4" w14:textId="77777777" w:rsidR="00BB68E1" w:rsidRDefault="00BB68E1">
            <w:pPr>
              <w:textAlignment w:val="bottom"/>
              <w:rPr>
                <w:rFonts w:ascii="Times New Roman" w:hAnsi="Times New Roman"/>
                <w:sz w:val="20"/>
                <w:szCs w:val="20"/>
              </w:rPr>
            </w:pPr>
          </w:p>
        </w:tc>
      </w:tr>
    </w:tbl>
    <w:p w14:paraId="42A123A6" w14:textId="77777777" w:rsidR="00BB68E1" w:rsidRDefault="005D2D5E">
      <w:pPr>
        <w:spacing w:line="288" w:lineRule="auto"/>
        <w:rPr>
          <w:rFonts w:ascii="Times New Roman" w:hAnsi="Times New Roman"/>
          <w:sz w:val="16"/>
          <w:szCs w:val="16"/>
        </w:rPr>
      </w:pPr>
      <w:r>
        <w:rPr>
          <w:rFonts w:ascii="Times New Roman" w:eastAsia="宋体" w:hAnsi="Times New Roman"/>
          <w:i/>
          <w:iCs/>
          <w:sz w:val="16"/>
          <w:szCs w:val="16"/>
        </w:rPr>
        <w:t xml:space="preserve">See accompanying notes. </w:t>
      </w:r>
    </w:p>
    <w:p w14:paraId="42A123A7" w14:textId="77777777" w:rsidR="00BB68E1" w:rsidRDefault="00BB68E1">
      <w:pPr>
        <w:rPr>
          <w:rFonts w:ascii="Times New Roman" w:hAnsi="Times New Roman"/>
          <w:sz w:val="20"/>
          <w:szCs w:val="20"/>
        </w:rPr>
      </w:pPr>
    </w:p>
    <w:p w14:paraId="42A123A8"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51</w:t>
      </w:r>
    </w:p>
    <w:p w14:paraId="42A123A9" w14:textId="77777777" w:rsidR="00BB68E1" w:rsidRDefault="00BB68E1">
      <w:pPr>
        <w:spacing w:line="288" w:lineRule="auto"/>
        <w:jc w:val="center"/>
        <w:rPr>
          <w:rFonts w:ascii="Times New Roman" w:hAnsi="Times New Roman"/>
          <w:sz w:val="20"/>
          <w:szCs w:val="20"/>
        </w:rPr>
      </w:pPr>
    </w:p>
    <w:p w14:paraId="42A123AA" w14:textId="77777777" w:rsidR="00BB68E1" w:rsidRDefault="005D2D5E">
      <w:r>
        <w:rPr>
          <w:rFonts w:ascii="Times New Roman" w:hAnsi="Times New Roman"/>
          <w:sz w:val="20"/>
          <w:szCs w:val="20"/>
        </w:rPr>
        <w:pict w14:anchorId="42A142AA">
          <v:rect id="_x0000_i1075" style="width:415.3pt;height:1.5pt" o:hralign="center" o:hrstd="t" o:hr="t" fillcolor="#a0a0a0" stroked="f"/>
        </w:pict>
      </w:r>
    </w:p>
    <w:p w14:paraId="42A123AB" w14:textId="77777777" w:rsidR="00BB68E1" w:rsidRDefault="00BB68E1">
      <w:pPr>
        <w:spacing w:line="288" w:lineRule="auto"/>
        <w:rPr>
          <w:rFonts w:ascii="Times New Roman" w:hAnsi="Times New Roman"/>
          <w:sz w:val="20"/>
          <w:szCs w:val="20"/>
        </w:rPr>
      </w:pPr>
    </w:p>
    <w:p w14:paraId="42A123AC" w14:textId="77777777" w:rsidR="00BB68E1" w:rsidRDefault="00BB68E1">
      <w:pPr>
        <w:rPr>
          <w:rFonts w:ascii="Times New Roman" w:hAnsi="Times New Roman"/>
          <w:sz w:val="20"/>
          <w:szCs w:val="20"/>
        </w:rPr>
      </w:pPr>
    </w:p>
    <w:p w14:paraId="42A123AD"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42A123AE"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Consolidated Balance Sheets</w:t>
      </w:r>
    </w:p>
    <w:p w14:paraId="42A123AF" w14:textId="77777777" w:rsidR="00BB68E1" w:rsidRDefault="00BB68E1">
      <w:pPr>
        <w:spacing w:line="288" w:lineRule="auto"/>
        <w:jc w:val="cente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6082"/>
        <w:gridCol w:w="130"/>
        <w:gridCol w:w="120"/>
        <w:gridCol w:w="768"/>
        <w:gridCol w:w="94"/>
        <w:gridCol w:w="130"/>
        <w:gridCol w:w="120"/>
        <w:gridCol w:w="768"/>
        <w:gridCol w:w="94"/>
      </w:tblGrid>
      <w:tr w:rsidR="00BB68E1" w14:paraId="42A123B1" w14:textId="77777777">
        <w:trPr>
          <w:jc w:val="center"/>
        </w:trPr>
        <w:tc>
          <w:tcPr>
            <w:tcW w:w="0" w:type="auto"/>
            <w:gridSpan w:val="9"/>
            <w:shd w:val="clear" w:color="auto" w:fill="auto"/>
            <w:vAlign w:val="center"/>
          </w:tcPr>
          <w:p w14:paraId="42A123B0" w14:textId="77777777" w:rsidR="00BB68E1" w:rsidRDefault="00BB68E1">
            <w:pPr>
              <w:rPr>
                <w:rFonts w:ascii="Times New Roman" w:hAnsi="Times New Roman"/>
                <w:sz w:val="20"/>
                <w:szCs w:val="20"/>
              </w:rPr>
            </w:pPr>
          </w:p>
        </w:tc>
      </w:tr>
      <w:tr w:rsidR="00BB68E1" w14:paraId="42A123BB" w14:textId="77777777">
        <w:trPr>
          <w:jc w:val="center"/>
        </w:trPr>
        <w:tc>
          <w:tcPr>
            <w:tcW w:w="3700" w:type="pct"/>
            <w:shd w:val="clear" w:color="auto" w:fill="auto"/>
            <w:vAlign w:val="center"/>
          </w:tcPr>
          <w:p w14:paraId="42A123B2" w14:textId="77777777" w:rsidR="00BB68E1" w:rsidRDefault="00BB68E1">
            <w:pPr>
              <w:rPr>
                <w:rFonts w:ascii="Times New Roman" w:hAnsi="Times New Roman"/>
                <w:sz w:val="20"/>
                <w:szCs w:val="20"/>
              </w:rPr>
            </w:pPr>
          </w:p>
        </w:tc>
        <w:tc>
          <w:tcPr>
            <w:tcW w:w="50" w:type="pct"/>
            <w:shd w:val="clear" w:color="auto" w:fill="auto"/>
            <w:vAlign w:val="center"/>
          </w:tcPr>
          <w:p w14:paraId="42A123B3" w14:textId="77777777" w:rsidR="00BB68E1" w:rsidRDefault="00BB68E1">
            <w:pPr>
              <w:rPr>
                <w:rFonts w:ascii="Times New Roman" w:hAnsi="Times New Roman"/>
                <w:sz w:val="20"/>
                <w:szCs w:val="20"/>
              </w:rPr>
            </w:pPr>
          </w:p>
        </w:tc>
        <w:tc>
          <w:tcPr>
            <w:tcW w:w="50" w:type="pct"/>
            <w:shd w:val="clear" w:color="auto" w:fill="auto"/>
            <w:vAlign w:val="center"/>
          </w:tcPr>
          <w:p w14:paraId="42A123B4" w14:textId="77777777" w:rsidR="00BB68E1" w:rsidRDefault="00BB68E1">
            <w:pPr>
              <w:rPr>
                <w:rFonts w:ascii="Times New Roman" w:hAnsi="Times New Roman"/>
                <w:sz w:val="20"/>
                <w:szCs w:val="20"/>
              </w:rPr>
            </w:pPr>
          </w:p>
        </w:tc>
        <w:tc>
          <w:tcPr>
            <w:tcW w:w="500" w:type="pct"/>
            <w:shd w:val="clear" w:color="auto" w:fill="auto"/>
            <w:vAlign w:val="center"/>
          </w:tcPr>
          <w:p w14:paraId="42A123B5" w14:textId="77777777" w:rsidR="00BB68E1" w:rsidRDefault="00BB68E1">
            <w:pPr>
              <w:rPr>
                <w:rFonts w:ascii="Times New Roman" w:hAnsi="Times New Roman"/>
                <w:sz w:val="20"/>
                <w:szCs w:val="20"/>
              </w:rPr>
            </w:pPr>
          </w:p>
        </w:tc>
        <w:tc>
          <w:tcPr>
            <w:tcW w:w="50" w:type="pct"/>
            <w:shd w:val="clear" w:color="auto" w:fill="auto"/>
            <w:vAlign w:val="center"/>
          </w:tcPr>
          <w:p w14:paraId="42A123B6" w14:textId="77777777" w:rsidR="00BB68E1" w:rsidRDefault="00BB68E1">
            <w:pPr>
              <w:rPr>
                <w:rFonts w:ascii="Times New Roman" w:hAnsi="Times New Roman"/>
                <w:sz w:val="20"/>
                <w:szCs w:val="20"/>
              </w:rPr>
            </w:pPr>
          </w:p>
        </w:tc>
        <w:tc>
          <w:tcPr>
            <w:tcW w:w="50" w:type="pct"/>
            <w:shd w:val="clear" w:color="auto" w:fill="auto"/>
            <w:vAlign w:val="center"/>
          </w:tcPr>
          <w:p w14:paraId="42A123B7" w14:textId="77777777" w:rsidR="00BB68E1" w:rsidRDefault="00BB68E1">
            <w:pPr>
              <w:rPr>
                <w:rFonts w:ascii="Times New Roman" w:hAnsi="Times New Roman"/>
                <w:sz w:val="20"/>
                <w:szCs w:val="20"/>
              </w:rPr>
            </w:pPr>
          </w:p>
        </w:tc>
        <w:tc>
          <w:tcPr>
            <w:tcW w:w="50" w:type="pct"/>
            <w:shd w:val="clear" w:color="auto" w:fill="auto"/>
            <w:vAlign w:val="center"/>
          </w:tcPr>
          <w:p w14:paraId="42A123B8" w14:textId="77777777" w:rsidR="00BB68E1" w:rsidRDefault="00BB68E1">
            <w:pPr>
              <w:rPr>
                <w:rFonts w:ascii="Times New Roman" w:hAnsi="Times New Roman"/>
                <w:sz w:val="20"/>
                <w:szCs w:val="20"/>
              </w:rPr>
            </w:pPr>
          </w:p>
        </w:tc>
        <w:tc>
          <w:tcPr>
            <w:tcW w:w="500" w:type="pct"/>
            <w:shd w:val="clear" w:color="auto" w:fill="auto"/>
            <w:vAlign w:val="center"/>
          </w:tcPr>
          <w:p w14:paraId="42A123B9" w14:textId="77777777" w:rsidR="00BB68E1" w:rsidRDefault="00BB68E1">
            <w:pPr>
              <w:rPr>
                <w:rFonts w:ascii="Times New Roman" w:hAnsi="Times New Roman"/>
                <w:sz w:val="20"/>
                <w:szCs w:val="20"/>
              </w:rPr>
            </w:pPr>
          </w:p>
        </w:tc>
        <w:tc>
          <w:tcPr>
            <w:tcW w:w="50" w:type="pct"/>
            <w:shd w:val="clear" w:color="auto" w:fill="auto"/>
            <w:vAlign w:val="center"/>
          </w:tcPr>
          <w:p w14:paraId="42A123BA" w14:textId="77777777" w:rsidR="00BB68E1" w:rsidRDefault="00BB68E1">
            <w:pPr>
              <w:rPr>
                <w:rFonts w:ascii="Times New Roman" w:hAnsi="Times New Roman"/>
                <w:sz w:val="20"/>
                <w:szCs w:val="20"/>
              </w:rPr>
            </w:pPr>
          </w:p>
        </w:tc>
      </w:tr>
      <w:tr w:rsidR="00BB68E1" w14:paraId="42A123BF" w14:textId="77777777">
        <w:trPr>
          <w:jc w:val="center"/>
        </w:trPr>
        <w:tc>
          <w:tcPr>
            <w:tcW w:w="0" w:type="auto"/>
            <w:shd w:val="clear" w:color="auto" w:fill="auto"/>
            <w:tcMar>
              <w:top w:w="40" w:type="dxa"/>
              <w:left w:w="40" w:type="dxa"/>
              <w:bottom w:w="40" w:type="dxa"/>
              <w:right w:w="40" w:type="dxa"/>
            </w:tcMar>
            <w:vAlign w:val="bottom"/>
          </w:tcPr>
          <w:p w14:paraId="42A123B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3B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2A123BE"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As of January 31,</w:t>
            </w:r>
          </w:p>
        </w:tc>
      </w:tr>
      <w:tr w:rsidR="00BB68E1" w14:paraId="42A123C5" w14:textId="77777777">
        <w:trPr>
          <w:jc w:val="center"/>
        </w:trPr>
        <w:tc>
          <w:tcPr>
            <w:tcW w:w="0" w:type="auto"/>
            <w:shd w:val="clear" w:color="auto" w:fill="auto"/>
            <w:tcMar>
              <w:top w:w="40" w:type="dxa"/>
              <w:left w:w="40" w:type="dxa"/>
              <w:bottom w:w="40" w:type="dxa"/>
              <w:right w:w="40" w:type="dxa"/>
            </w:tcMar>
            <w:vAlign w:val="bottom"/>
          </w:tcPr>
          <w:p w14:paraId="42A123C0"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23C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3C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23C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3C4"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BB68E1" w14:paraId="42A123CB" w14:textId="77777777">
        <w:trPr>
          <w:jc w:val="center"/>
        </w:trPr>
        <w:tc>
          <w:tcPr>
            <w:tcW w:w="0" w:type="auto"/>
            <w:shd w:val="clear" w:color="auto" w:fill="CCEEFF"/>
            <w:tcMar>
              <w:top w:w="40" w:type="dxa"/>
              <w:left w:w="40" w:type="dxa"/>
              <w:bottom w:w="40" w:type="dxa"/>
              <w:right w:w="40" w:type="dxa"/>
            </w:tcMar>
            <w:vAlign w:val="center"/>
          </w:tcPr>
          <w:p w14:paraId="42A123C6"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ASSETS</w:t>
            </w:r>
          </w:p>
        </w:tc>
        <w:tc>
          <w:tcPr>
            <w:tcW w:w="0" w:type="auto"/>
            <w:shd w:val="clear" w:color="auto" w:fill="CCEEFF"/>
            <w:tcMar>
              <w:top w:w="40" w:type="dxa"/>
              <w:left w:w="40" w:type="dxa"/>
              <w:bottom w:w="40" w:type="dxa"/>
              <w:right w:w="40" w:type="dxa"/>
            </w:tcMar>
            <w:vAlign w:val="bottom"/>
          </w:tcPr>
          <w:p w14:paraId="42A123C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3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3C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3C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3D1" w14:textId="77777777">
        <w:trPr>
          <w:jc w:val="center"/>
        </w:trPr>
        <w:tc>
          <w:tcPr>
            <w:tcW w:w="0" w:type="auto"/>
            <w:shd w:val="clear" w:color="auto" w:fill="auto"/>
            <w:tcMar>
              <w:top w:w="40" w:type="dxa"/>
              <w:left w:w="40" w:type="dxa"/>
              <w:bottom w:w="40" w:type="dxa"/>
              <w:right w:w="40" w:type="dxa"/>
            </w:tcMar>
            <w:vAlign w:val="center"/>
          </w:tcPr>
          <w:p w14:paraId="42A123CC"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Current assets:</w:t>
            </w:r>
          </w:p>
        </w:tc>
        <w:tc>
          <w:tcPr>
            <w:tcW w:w="0" w:type="auto"/>
            <w:shd w:val="clear" w:color="auto" w:fill="auto"/>
            <w:tcMar>
              <w:top w:w="40" w:type="dxa"/>
              <w:left w:w="40" w:type="dxa"/>
              <w:bottom w:w="40" w:type="dxa"/>
              <w:right w:w="40" w:type="dxa"/>
            </w:tcMar>
            <w:vAlign w:val="bottom"/>
          </w:tcPr>
          <w:p w14:paraId="42A123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3C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3C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3D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3DB" w14:textId="77777777">
        <w:trPr>
          <w:jc w:val="center"/>
        </w:trPr>
        <w:tc>
          <w:tcPr>
            <w:tcW w:w="0" w:type="auto"/>
            <w:shd w:val="clear" w:color="auto" w:fill="CCEEFF"/>
            <w:tcMar>
              <w:top w:w="40" w:type="dxa"/>
              <w:left w:w="560" w:type="dxa"/>
              <w:bottom w:w="40" w:type="dxa"/>
              <w:right w:w="40" w:type="dxa"/>
            </w:tcMar>
            <w:vAlign w:val="center"/>
          </w:tcPr>
          <w:p w14:paraId="42A123D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Cash and cash equivalents</w:t>
            </w:r>
          </w:p>
        </w:tc>
        <w:tc>
          <w:tcPr>
            <w:tcW w:w="0" w:type="auto"/>
            <w:shd w:val="clear" w:color="auto" w:fill="CCEEFF"/>
            <w:tcMar>
              <w:top w:w="40" w:type="dxa"/>
              <w:left w:w="40" w:type="dxa"/>
              <w:bottom w:w="40" w:type="dxa"/>
              <w:right w:w="40" w:type="dxa"/>
            </w:tcMar>
            <w:vAlign w:val="bottom"/>
          </w:tcPr>
          <w:p w14:paraId="42A123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3D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3D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9,465</w:t>
            </w:r>
          </w:p>
        </w:tc>
        <w:tc>
          <w:tcPr>
            <w:tcW w:w="0" w:type="auto"/>
            <w:shd w:val="clear" w:color="auto" w:fill="CCEEFF"/>
            <w:vAlign w:val="bottom"/>
          </w:tcPr>
          <w:p w14:paraId="42A123D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3D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3D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3D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7,722</w:t>
            </w:r>
          </w:p>
        </w:tc>
        <w:tc>
          <w:tcPr>
            <w:tcW w:w="0" w:type="auto"/>
            <w:shd w:val="clear" w:color="auto" w:fill="CCEEFF"/>
            <w:vAlign w:val="bottom"/>
          </w:tcPr>
          <w:p w14:paraId="42A123DA" w14:textId="77777777" w:rsidR="00BB68E1" w:rsidRDefault="00BB68E1">
            <w:pPr>
              <w:textAlignment w:val="bottom"/>
              <w:rPr>
                <w:rFonts w:ascii="Times New Roman" w:hAnsi="Times New Roman"/>
                <w:sz w:val="20"/>
                <w:szCs w:val="20"/>
              </w:rPr>
            </w:pPr>
          </w:p>
        </w:tc>
      </w:tr>
      <w:tr w:rsidR="00BB68E1" w14:paraId="42A123E3" w14:textId="77777777">
        <w:trPr>
          <w:jc w:val="center"/>
        </w:trPr>
        <w:tc>
          <w:tcPr>
            <w:tcW w:w="0" w:type="auto"/>
            <w:shd w:val="clear" w:color="auto" w:fill="auto"/>
            <w:tcMar>
              <w:top w:w="40" w:type="dxa"/>
              <w:left w:w="560" w:type="dxa"/>
              <w:bottom w:w="40" w:type="dxa"/>
              <w:right w:w="40" w:type="dxa"/>
            </w:tcMar>
            <w:vAlign w:val="center"/>
          </w:tcPr>
          <w:p w14:paraId="42A123D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lastRenderedPageBreak/>
              <w:t>Receivables, net</w:t>
            </w:r>
          </w:p>
        </w:tc>
        <w:tc>
          <w:tcPr>
            <w:tcW w:w="0" w:type="auto"/>
            <w:shd w:val="clear" w:color="auto" w:fill="auto"/>
            <w:tcMar>
              <w:top w:w="40" w:type="dxa"/>
              <w:left w:w="40" w:type="dxa"/>
              <w:bottom w:w="40" w:type="dxa"/>
              <w:right w:w="40" w:type="dxa"/>
            </w:tcMar>
            <w:vAlign w:val="bottom"/>
          </w:tcPr>
          <w:p w14:paraId="42A123D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3D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6,284</w:t>
            </w:r>
          </w:p>
        </w:tc>
        <w:tc>
          <w:tcPr>
            <w:tcW w:w="0" w:type="auto"/>
            <w:shd w:val="clear" w:color="auto" w:fill="auto"/>
            <w:vAlign w:val="bottom"/>
          </w:tcPr>
          <w:p w14:paraId="42A123D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3E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3E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6,283</w:t>
            </w:r>
          </w:p>
        </w:tc>
        <w:tc>
          <w:tcPr>
            <w:tcW w:w="0" w:type="auto"/>
            <w:shd w:val="clear" w:color="auto" w:fill="auto"/>
            <w:vAlign w:val="bottom"/>
          </w:tcPr>
          <w:p w14:paraId="42A123E2" w14:textId="77777777" w:rsidR="00BB68E1" w:rsidRDefault="00BB68E1">
            <w:pPr>
              <w:textAlignment w:val="bottom"/>
              <w:rPr>
                <w:rFonts w:ascii="Times New Roman" w:hAnsi="Times New Roman"/>
                <w:sz w:val="20"/>
                <w:szCs w:val="20"/>
              </w:rPr>
            </w:pPr>
          </w:p>
        </w:tc>
      </w:tr>
      <w:tr w:rsidR="00BB68E1" w14:paraId="42A123EB" w14:textId="77777777">
        <w:trPr>
          <w:jc w:val="center"/>
        </w:trPr>
        <w:tc>
          <w:tcPr>
            <w:tcW w:w="0" w:type="auto"/>
            <w:shd w:val="clear" w:color="auto" w:fill="CCEEFF"/>
            <w:tcMar>
              <w:top w:w="40" w:type="dxa"/>
              <w:left w:w="560" w:type="dxa"/>
              <w:bottom w:w="40" w:type="dxa"/>
              <w:right w:w="40" w:type="dxa"/>
            </w:tcMar>
            <w:vAlign w:val="center"/>
          </w:tcPr>
          <w:p w14:paraId="42A123E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Inventories</w:t>
            </w:r>
          </w:p>
        </w:tc>
        <w:tc>
          <w:tcPr>
            <w:tcW w:w="0" w:type="auto"/>
            <w:shd w:val="clear" w:color="auto" w:fill="CCEEFF"/>
            <w:tcMar>
              <w:top w:w="40" w:type="dxa"/>
              <w:left w:w="40" w:type="dxa"/>
              <w:bottom w:w="40" w:type="dxa"/>
              <w:right w:w="40" w:type="dxa"/>
            </w:tcMar>
            <w:vAlign w:val="bottom"/>
          </w:tcPr>
          <w:p w14:paraId="42A123E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3E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44,435</w:t>
            </w:r>
          </w:p>
        </w:tc>
        <w:tc>
          <w:tcPr>
            <w:tcW w:w="0" w:type="auto"/>
            <w:shd w:val="clear" w:color="auto" w:fill="CCEEFF"/>
            <w:vAlign w:val="bottom"/>
          </w:tcPr>
          <w:p w14:paraId="42A123E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3E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3E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44,269</w:t>
            </w:r>
          </w:p>
        </w:tc>
        <w:tc>
          <w:tcPr>
            <w:tcW w:w="0" w:type="auto"/>
            <w:shd w:val="clear" w:color="auto" w:fill="CCEEFF"/>
            <w:vAlign w:val="bottom"/>
          </w:tcPr>
          <w:p w14:paraId="42A123EA" w14:textId="77777777" w:rsidR="00BB68E1" w:rsidRDefault="00BB68E1">
            <w:pPr>
              <w:textAlignment w:val="bottom"/>
              <w:rPr>
                <w:rFonts w:ascii="Times New Roman" w:hAnsi="Times New Roman"/>
                <w:sz w:val="20"/>
                <w:szCs w:val="20"/>
              </w:rPr>
            </w:pPr>
          </w:p>
        </w:tc>
      </w:tr>
      <w:tr w:rsidR="00BB68E1" w14:paraId="42A123F3" w14:textId="77777777">
        <w:trPr>
          <w:jc w:val="center"/>
        </w:trPr>
        <w:tc>
          <w:tcPr>
            <w:tcW w:w="0" w:type="auto"/>
            <w:shd w:val="clear" w:color="auto" w:fill="auto"/>
            <w:tcMar>
              <w:top w:w="40" w:type="dxa"/>
              <w:left w:w="560" w:type="dxa"/>
              <w:bottom w:w="40" w:type="dxa"/>
              <w:right w:w="40" w:type="dxa"/>
            </w:tcMar>
            <w:vAlign w:val="center"/>
          </w:tcPr>
          <w:p w14:paraId="42A123E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Prepaid expenses and other</w:t>
            </w:r>
          </w:p>
        </w:tc>
        <w:tc>
          <w:tcPr>
            <w:tcW w:w="0" w:type="auto"/>
            <w:shd w:val="clear" w:color="auto" w:fill="auto"/>
            <w:tcMar>
              <w:top w:w="40" w:type="dxa"/>
              <w:left w:w="40" w:type="dxa"/>
              <w:bottom w:w="40" w:type="dxa"/>
              <w:right w:w="40" w:type="dxa"/>
            </w:tcMar>
            <w:vAlign w:val="bottom"/>
          </w:tcPr>
          <w:p w14:paraId="42A123E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3E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1,622</w:t>
            </w:r>
          </w:p>
        </w:tc>
        <w:tc>
          <w:tcPr>
            <w:tcW w:w="0" w:type="auto"/>
            <w:shd w:val="clear" w:color="auto" w:fill="auto"/>
            <w:vAlign w:val="bottom"/>
          </w:tcPr>
          <w:p w14:paraId="42A123E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3F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3F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3,623</w:t>
            </w:r>
          </w:p>
        </w:tc>
        <w:tc>
          <w:tcPr>
            <w:tcW w:w="0" w:type="auto"/>
            <w:shd w:val="clear" w:color="auto" w:fill="auto"/>
            <w:vAlign w:val="bottom"/>
          </w:tcPr>
          <w:p w14:paraId="42A123F2" w14:textId="77777777" w:rsidR="00BB68E1" w:rsidRDefault="00BB68E1">
            <w:pPr>
              <w:textAlignment w:val="bottom"/>
              <w:rPr>
                <w:rFonts w:ascii="Times New Roman" w:hAnsi="Times New Roman"/>
                <w:sz w:val="20"/>
                <w:szCs w:val="20"/>
              </w:rPr>
            </w:pPr>
          </w:p>
        </w:tc>
      </w:tr>
      <w:tr w:rsidR="00BB68E1" w14:paraId="42A123FB" w14:textId="77777777">
        <w:trPr>
          <w:jc w:val="center"/>
        </w:trPr>
        <w:tc>
          <w:tcPr>
            <w:tcW w:w="0" w:type="auto"/>
            <w:shd w:val="clear" w:color="auto" w:fill="CCEEFF"/>
            <w:tcMar>
              <w:top w:w="40" w:type="dxa"/>
              <w:left w:w="1040" w:type="dxa"/>
              <w:bottom w:w="40" w:type="dxa"/>
              <w:right w:w="40" w:type="dxa"/>
            </w:tcMar>
            <w:vAlign w:val="center"/>
          </w:tcPr>
          <w:p w14:paraId="42A123F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current assets</w:t>
            </w:r>
          </w:p>
        </w:tc>
        <w:tc>
          <w:tcPr>
            <w:tcW w:w="0" w:type="auto"/>
            <w:shd w:val="clear" w:color="auto" w:fill="CCEEFF"/>
            <w:tcMar>
              <w:top w:w="40" w:type="dxa"/>
              <w:left w:w="40" w:type="dxa"/>
              <w:bottom w:w="40" w:type="dxa"/>
              <w:right w:w="40" w:type="dxa"/>
            </w:tcMar>
            <w:vAlign w:val="bottom"/>
          </w:tcPr>
          <w:p w14:paraId="42A123F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2A123F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61,806</w:t>
            </w:r>
          </w:p>
        </w:tc>
        <w:tc>
          <w:tcPr>
            <w:tcW w:w="0" w:type="auto"/>
            <w:tcBorders>
              <w:top w:val="single" w:sz="8" w:space="0" w:color="000000"/>
            </w:tcBorders>
            <w:shd w:val="clear" w:color="auto" w:fill="CCEEFF"/>
            <w:vAlign w:val="bottom"/>
          </w:tcPr>
          <w:p w14:paraId="42A123F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3F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2A123F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61,897</w:t>
            </w:r>
          </w:p>
        </w:tc>
        <w:tc>
          <w:tcPr>
            <w:tcW w:w="0" w:type="auto"/>
            <w:tcBorders>
              <w:top w:val="single" w:sz="8" w:space="0" w:color="000000"/>
            </w:tcBorders>
            <w:shd w:val="clear" w:color="auto" w:fill="CCEEFF"/>
            <w:vAlign w:val="bottom"/>
          </w:tcPr>
          <w:p w14:paraId="42A123FA" w14:textId="77777777" w:rsidR="00BB68E1" w:rsidRDefault="00BB68E1">
            <w:pPr>
              <w:textAlignment w:val="bottom"/>
              <w:rPr>
                <w:rFonts w:ascii="Times New Roman" w:hAnsi="Times New Roman"/>
                <w:sz w:val="20"/>
                <w:szCs w:val="20"/>
              </w:rPr>
            </w:pPr>
          </w:p>
        </w:tc>
      </w:tr>
      <w:tr w:rsidR="00BB68E1" w14:paraId="42A12401" w14:textId="77777777">
        <w:trPr>
          <w:jc w:val="center"/>
        </w:trPr>
        <w:tc>
          <w:tcPr>
            <w:tcW w:w="0" w:type="auto"/>
            <w:shd w:val="clear" w:color="auto" w:fill="auto"/>
            <w:tcMar>
              <w:top w:w="40" w:type="dxa"/>
              <w:left w:w="40" w:type="dxa"/>
              <w:bottom w:w="40" w:type="dxa"/>
              <w:right w:w="40" w:type="dxa"/>
            </w:tcMar>
            <w:vAlign w:val="bottom"/>
          </w:tcPr>
          <w:p w14:paraId="42A123F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3F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3F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3F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40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409" w14:textId="77777777">
        <w:trPr>
          <w:jc w:val="center"/>
        </w:trPr>
        <w:tc>
          <w:tcPr>
            <w:tcW w:w="0" w:type="auto"/>
            <w:shd w:val="clear" w:color="auto" w:fill="CCEEFF"/>
            <w:tcMar>
              <w:top w:w="40" w:type="dxa"/>
              <w:left w:w="40" w:type="dxa"/>
              <w:bottom w:w="40" w:type="dxa"/>
              <w:right w:w="40" w:type="dxa"/>
            </w:tcMar>
            <w:vAlign w:val="center"/>
          </w:tcPr>
          <w:p w14:paraId="42A1240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Property and equipment, net</w:t>
            </w:r>
          </w:p>
        </w:tc>
        <w:tc>
          <w:tcPr>
            <w:tcW w:w="0" w:type="auto"/>
            <w:shd w:val="clear" w:color="auto" w:fill="CCEEFF"/>
            <w:tcMar>
              <w:top w:w="40" w:type="dxa"/>
              <w:left w:w="40" w:type="dxa"/>
              <w:bottom w:w="40" w:type="dxa"/>
              <w:right w:w="40" w:type="dxa"/>
            </w:tcMar>
            <w:vAlign w:val="bottom"/>
          </w:tcPr>
          <w:p w14:paraId="42A1240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0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105,208</w:t>
            </w:r>
          </w:p>
        </w:tc>
        <w:tc>
          <w:tcPr>
            <w:tcW w:w="0" w:type="auto"/>
            <w:shd w:val="clear" w:color="auto" w:fill="CCEEFF"/>
            <w:vAlign w:val="bottom"/>
          </w:tcPr>
          <w:p w14:paraId="42A1240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40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0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104,317</w:t>
            </w:r>
          </w:p>
        </w:tc>
        <w:tc>
          <w:tcPr>
            <w:tcW w:w="0" w:type="auto"/>
            <w:shd w:val="clear" w:color="auto" w:fill="CCEEFF"/>
            <w:vAlign w:val="bottom"/>
          </w:tcPr>
          <w:p w14:paraId="42A12408" w14:textId="77777777" w:rsidR="00BB68E1" w:rsidRDefault="00BB68E1">
            <w:pPr>
              <w:textAlignment w:val="bottom"/>
              <w:rPr>
                <w:rFonts w:ascii="Times New Roman" w:hAnsi="Times New Roman"/>
                <w:sz w:val="20"/>
                <w:szCs w:val="20"/>
              </w:rPr>
            </w:pPr>
          </w:p>
        </w:tc>
      </w:tr>
      <w:tr w:rsidR="00BB68E1" w14:paraId="42A12411" w14:textId="77777777">
        <w:trPr>
          <w:jc w:val="center"/>
        </w:trPr>
        <w:tc>
          <w:tcPr>
            <w:tcW w:w="0" w:type="auto"/>
            <w:shd w:val="clear" w:color="auto" w:fill="auto"/>
            <w:tcMar>
              <w:top w:w="40" w:type="dxa"/>
              <w:left w:w="40" w:type="dxa"/>
              <w:bottom w:w="40" w:type="dxa"/>
              <w:right w:w="40" w:type="dxa"/>
            </w:tcMar>
            <w:vAlign w:val="center"/>
          </w:tcPr>
          <w:p w14:paraId="42A1240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lease right-of-use assets</w:t>
            </w:r>
          </w:p>
        </w:tc>
        <w:tc>
          <w:tcPr>
            <w:tcW w:w="0" w:type="auto"/>
            <w:shd w:val="clear" w:color="auto" w:fill="auto"/>
            <w:tcMar>
              <w:top w:w="40" w:type="dxa"/>
              <w:left w:w="40" w:type="dxa"/>
              <w:bottom w:w="40" w:type="dxa"/>
              <w:right w:w="40" w:type="dxa"/>
            </w:tcMar>
            <w:vAlign w:val="bottom"/>
          </w:tcPr>
          <w:p w14:paraId="42A1240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0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17,424</w:t>
            </w:r>
          </w:p>
        </w:tc>
        <w:tc>
          <w:tcPr>
            <w:tcW w:w="0" w:type="auto"/>
            <w:shd w:val="clear" w:color="auto" w:fill="auto"/>
            <w:vAlign w:val="bottom"/>
          </w:tcPr>
          <w:p w14:paraId="42A1240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4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0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410" w14:textId="77777777" w:rsidR="00BB68E1" w:rsidRDefault="00BB68E1">
            <w:pPr>
              <w:textAlignment w:val="bottom"/>
              <w:rPr>
                <w:rFonts w:ascii="Times New Roman" w:hAnsi="Times New Roman"/>
                <w:sz w:val="20"/>
                <w:szCs w:val="20"/>
              </w:rPr>
            </w:pPr>
          </w:p>
        </w:tc>
      </w:tr>
      <w:tr w:rsidR="00BB68E1" w14:paraId="42A12419" w14:textId="77777777">
        <w:trPr>
          <w:jc w:val="center"/>
        </w:trPr>
        <w:tc>
          <w:tcPr>
            <w:tcW w:w="0" w:type="auto"/>
            <w:shd w:val="clear" w:color="auto" w:fill="CCEEFF"/>
            <w:tcMar>
              <w:top w:w="40" w:type="dxa"/>
              <w:left w:w="40" w:type="dxa"/>
              <w:bottom w:w="40" w:type="dxa"/>
              <w:right w:w="40" w:type="dxa"/>
            </w:tcMar>
            <w:vAlign w:val="center"/>
          </w:tcPr>
          <w:p w14:paraId="42A1241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Finance lease right-of-use assets, net</w:t>
            </w:r>
          </w:p>
        </w:tc>
        <w:tc>
          <w:tcPr>
            <w:tcW w:w="0" w:type="auto"/>
            <w:shd w:val="clear" w:color="auto" w:fill="CCEEFF"/>
            <w:tcMar>
              <w:top w:w="40" w:type="dxa"/>
              <w:left w:w="40" w:type="dxa"/>
              <w:bottom w:w="40" w:type="dxa"/>
              <w:right w:w="40" w:type="dxa"/>
            </w:tcMar>
            <w:vAlign w:val="bottom"/>
          </w:tcPr>
          <w:p w14:paraId="42A1241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1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4,417</w:t>
            </w:r>
          </w:p>
        </w:tc>
        <w:tc>
          <w:tcPr>
            <w:tcW w:w="0" w:type="auto"/>
            <w:shd w:val="clear" w:color="auto" w:fill="CCEEFF"/>
            <w:vAlign w:val="bottom"/>
          </w:tcPr>
          <w:p w14:paraId="42A1241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41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1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418" w14:textId="77777777" w:rsidR="00BB68E1" w:rsidRDefault="00BB68E1">
            <w:pPr>
              <w:textAlignment w:val="bottom"/>
              <w:rPr>
                <w:rFonts w:ascii="Times New Roman" w:hAnsi="Times New Roman"/>
                <w:sz w:val="20"/>
                <w:szCs w:val="20"/>
              </w:rPr>
            </w:pPr>
          </w:p>
        </w:tc>
      </w:tr>
      <w:tr w:rsidR="00BB68E1" w14:paraId="42A12421" w14:textId="77777777">
        <w:trPr>
          <w:jc w:val="center"/>
        </w:trPr>
        <w:tc>
          <w:tcPr>
            <w:tcW w:w="0" w:type="auto"/>
            <w:shd w:val="clear" w:color="auto" w:fill="auto"/>
            <w:tcMar>
              <w:top w:w="40" w:type="dxa"/>
              <w:left w:w="40" w:type="dxa"/>
              <w:bottom w:w="40" w:type="dxa"/>
              <w:right w:w="40" w:type="dxa"/>
            </w:tcMar>
            <w:vAlign w:val="center"/>
          </w:tcPr>
          <w:p w14:paraId="42A1241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Property under capital lease and financing obligations, net</w:t>
            </w:r>
          </w:p>
        </w:tc>
        <w:tc>
          <w:tcPr>
            <w:tcW w:w="0" w:type="auto"/>
            <w:shd w:val="clear" w:color="auto" w:fill="auto"/>
            <w:tcMar>
              <w:top w:w="40" w:type="dxa"/>
              <w:left w:w="40" w:type="dxa"/>
              <w:bottom w:w="40" w:type="dxa"/>
              <w:right w:w="40" w:type="dxa"/>
            </w:tcMar>
            <w:vAlign w:val="bottom"/>
          </w:tcPr>
          <w:p w14:paraId="42A1241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1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41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41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1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7,078</w:t>
            </w:r>
          </w:p>
        </w:tc>
        <w:tc>
          <w:tcPr>
            <w:tcW w:w="0" w:type="auto"/>
            <w:shd w:val="clear" w:color="auto" w:fill="auto"/>
            <w:vAlign w:val="bottom"/>
          </w:tcPr>
          <w:p w14:paraId="42A12420" w14:textId="77777777" w:rsidR="00BB68E1" w:rsidRDefault="00BB68E1">
            <w:pPr>
              <w:textAlignment w:val="bottom"/>
              <w:rPr>
                <w:rFonts w:ascii="Times New Roman" w:hAnsi="Times New Roman"/>
                <w:sz w:val="20"/>
                <w:szCs w:val="20"/>
              </w:rPr>
            </w:pPr>
          </w:p>
        </w:tc>
      </w:tr>
      <w:tr w:rsidR="00BB68E1" w14:paraId="42A12429" w14:textId="77777777">
        <w:trPr>
          <w:jc w:val="center"/>
        </w:trPr>
        <w:tc>
          <w:tcPr>
            <w:tcW w:w="0" w:type="auto"/>
            <w:shd w:val="clear" w:color="auto" w:fill="CCEEFF"/>
            <w:tcMar>
              <w:top w:w="40" w:type="dxa"/>
              <w:left w:w="40" w:type="dxa"/>
              <w:bottom w:w="40" w:type="dxa"/>
              <w:right w:w="40" w:type="dxa"/>
            </w:tcMar>
            <w:vAlign w:val="center"/>
          </w:tcPr>
          <w:p w14:paraId="42A1242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Goodwill</w:t>
            </w:r>
          </w:p>
        </w:tc>
        <w:tc>
          <w:tcPr>
            <w:tcW w:w="0" w:type="auto"/>
            <w:shd w:val="clear" w:color="auto" w:fill="CCEEFF"/>
            <w:tcMar>
              <w:top w:w="40" w:type="dxa"/>
              <w:left w:w="40" w:type="dxa"/>
              <w:bottom w:w="40" w:type="dxa"/>
              <w:right w:w="40" w:type="dxa"/>
            </w:tcMar>
            <w:vAlign w:val="bottom"/>
          </w:tcPr>
          <w:p w14:paraId="42A1242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2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31,073</w:t>
            </w:r>
          </w:p>
        </w:tc>
        <w:tc>
          <w:tcPr>
            <w:tcW w:w="0" w:type="auto"/>
            <w:shd w:val="clear" w:color="auto" w:fill="CCEEFF"/>
            <w:vAlign w:val="bottom"/>
          </w:tcPr>
          <w:p w14:paraId="42A1242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42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2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31,181</w:t>
            </w:r>
          </w:p>
        </w:tc>
        <w:tc>
          <w:tcPr>
            <w:tcW w:w="0" w:type="auto"/>
            <w:shd w:val="clear" w:color="auto" w:fill="CCEEFF"/>
            <w:vAlign w:val="bottom"/>
          </w:tcPr>
          <w:p w14:paraId="42A12428" w14:textId="77777777" w:rsidR="00BB68E1" w:rsidRDefault="00BB68E1">
            <w:pPr>
              <w:textAlignment w:val="bottom"/>
              <w:rPr>
                <w:rFonts w:ascii="Times New Roman" w:hAnsi="Times New Roman"/>
                <w:sz w:val="20"/>
                <w:szCs w:val="20"/>
              </w:rPr>
            </w:pPr>
          </w:p>
        </w:tc>
      </w:tr>
      <w:tr w:rsidR="00BB68E1" w14:paraId="42A12431" w14:textId="77777777">
        <w:trPr>
          <w:jc w:val="center"/>
        </w:trPr>
        <w:tc>
          <w:tcPr>
            <w:tcW w:w="0" w:type="auto"/>
            <w:shd w:val="clear" w:color="auto" w:fill="auto"/>
            <w:tcMar>
              <w:top w:w="40" w:type="dxa"/>
              <w:left w:w="40" w:type="dxa"/>
              <w:bottom w:w="40" w:type="dxa"/>
              <w:right w:w="40" w:type="dxa"/>
            </w:tcMar>
            <w:vAlign w:val="center"/>
          </w:tcPr>
          <w:p w14:paraId="42A1242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 long-term assets</w:t>
            </w:r>
          </w:p>
        </w:tc>
        <w:tc>
          <w:tcPr>
            <w:tcW w:w="0" w:type="auto"/>
            <w:shd w:val="clear" w:color="auto" w:fill="auto"/>
            <w:tcMar>
              <w:top w:w="40" w:type="dxa"/>
              <w:left w:w="40" w:type="dxa"/>
              <w:bottom w:w="40" w:type="dxa"/>
              <w:right w:w="40" w:type="dxa"/>
            </w:tcMar>
            <w:vAlign w:val="bottom"/>
          </w:tcPr>
          <w:p w14:paraId="42A1242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42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16,567</w:t>
            </w:r>
          </w:p>
        </w:tc>
        <w:tc>
          <w:tcPr>
            <w:tcW w:w="0" w:type="auto"/>
            <w:tcBorders>
              <w:bottom w:val="single" w:sz="8" w:space="0" w:color="000000"/>
            </w:tcBorders>
            <w:shd w:val="clear" w:color="auto" w:fill="auto"/>
            <w:vAlign w:val="bottom"/>
          </w:tcPr>
          <w:p w14:paraId="42A1242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42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42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14,822</w:t>
            </w:r>
          </w:p>
        </w:tc>
        <w:tc>
          <w:tcPr>
            <w:tcW w:w="0" w:type="auto"/>
            <w:tcBorders>
              <w:bottom w:val="single" w:sz="8" w:space="0" w:color="000000"/>
            </w:tcBorders>
            <w:shd w:val="clear" w:color="auto" w:fill="auto"/>
            <w:vAlign w:val="bottom"/>
          </w:tcPr>
          <w:p w14:paraId="42A12430" w14:textId="77777777" w:rsidR="00BB68E1" w:rsidRDefault="00BB68E1">
            <w:pPr>
              <w:textAlignment w:val="bottom"/>
              <w:rPr>
                <w:rFonts w:ascii="Times New Roman" w:hAnsi="Times New Roman"/>
                <w:sz w:val="20"/>
                <w:szCs w:val="20"/>
              </w:rPr>
            </w:pPr>
          </w:p>
        </w:tc>
      </w:tr>
      <w:tr w:rsidR="00BB68E1" w14:paraId="42A1243B" w14:textId="77777777">
        <w:trPr>
          <w:jc w:val="center"/>
        </w:trPr>
        <w:tc>
          <w:tcPr>
            <w:tcW w:w="0" w:type="auto"/>
            <w:shd w:val="clear" w:color="auto" w:fill="CCEEFF"/>
            <w:tcMar>
              <w:top w:w="40" w:type="dxa"/>
              <w:left w:w="40" w:type="dxa"/>
              <w:bottom w:w="40" w:type="dxa"/>
              <w:right w:w="40" w:type="dxa"/>
            </w:tcMar>
            <w:vAlign w:val="center"/>
          </w:tcPr>
          <w:p w14:paraId="42A12432"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assets</w:t>
            </w:r>
          </w:p>
        </w:tc>
        <w:tc>
          <w:tcPr>
            <w:tcW w:w="0" w:type="auto"/>
            <w:shd w:val="clear" w:color="auto" w:fill="CCEEFF"/>
            <w:tcMar>
              <w:top w:w="40" w:type="dxa"/>
              <w:left w:w="40" w:type="dxa"/>
              <w:bottom w:w="40" w:type="dxa"/>
              <w:right w:w="40" w:type="dxa"/>
            </w:tcMar>
            <w:vAlign w:val="bottom"/>
          </w:tcPr>
          <w:p w14:paraId="42A1243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243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243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236,495</w:t>
            </w:r>
          </w:p>
        </w:tc>
        <w:tc>
          <w:tcPr>
            <w:tcW w:w="0" w:type="auto"/>
            <w:tcBorders>
              <w:bottom w:val="double" w:sz="6" w:space="0" w:color="000000"/>
            </w:tcBorders>
            <w:shd w:val="clear" w:color="auto" w:fill="CCEEFF"/>
            <w:vAlign w:val="bottom"/>
          </w:tcPr>
          <w:p w14:paraId="42A1243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43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243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243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219,295</w:t>
            </w:r>
          </w:p>
        </w:tc>
        <w:tc>
          <w:tcPr>
            <w:tcW w:w="0" w:type="auto"/>
            <w:tcBorders>
              <w:bottom w:val="double" w:sz="6" w:space="0" w:color="000000"/>
            </w:tcBorders>
            <w:shd w:val="clear" w:color="auto" w:fill="CCEEFF"/>
            <w:vAlign w:val="bottom"/>
          </w:tcPr>
          <w:p w14:paraId="42A1243A" w14:textId="77777777" w:rsidR="00BB68E1" w:rsidRDefault="00BB68E1">
            <w:pPr>
              <w:textAlignment w:val="bottom"/>
              <w:rPr>
                <w:rFonts w:ascii="Times New Roman" w:hAnsi="Times New Roman"/>
                <w:sz w:val="20"/>
                <w:szCs w:val="20"/>
              </w:rPr>
            </w:pPr>
          </w:p>
        </w:tc>
      </w:tr>
      <w:tr w:rsidR="00BB68E1" w14:paraId="42A12441" w14:textId="77777777">
        <w:trPr>
          <w:jc w:val="center"/>
        </w:trPr>
        <w:tc>
          <w:tcPr>
            <w:tcW w:w="0" w:type="auto"/>
            <w:shd w:val="clear" w:color="auto" w:fill="auto"/>
            <w:tcMar>
              <w:top w:w="40" w:type="dxa"/>
              <w:left w:w="40" w:type="dxa"/>
              <w:bottom w:w="40" w:type="dxa"/>
              <w:right w:w="40" w:type="dxa"/>
            </w:tcMar>
            <w:vAlign w:val="bottom"/>
          </w:tcPr>
          <w:p w14:paraId="42A124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43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43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43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44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447" w14:textId="77777777">
        <w:trPr>
          <w:jc w:val="center"/>
        </w:trPr>
        <w:tc>
          <w:tcPr>
            <w:tcW w:w="0" w:type="auto"/>
            <w:shd w:val="clear" w:color="auto" w:fill="CCEEFF"/>
            <w:tcMar>
              <w:top w:w="40" w:type="dxa"/>
              <w:left w:w="40" w:type="dxa"/>
              <w:bottom w:w="40" w:type="dxa"/>
              <w:right w:w="40" w:type="dxa"/>
            </w:tcMar>
            <w:vAlign w:val="center"/>
          </w:tcPr>
          <w:p w14:paraId="42A12442"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LIABILITIES AND EQUITY</w:t>
            </w:r>
          </w:p>
        </w:tc>
        <w:tc>
          <w:tcPr>
            <w:tcW w:w="0" w:type="auto"/>
            <w:shd w:val="clear" w:color="auto" w:fill="CCEEFF"/>
            <w:tcMar>
              <w:top w:w="40" w:type="dxa"/>
              <w:left w:w="40" w:type="dxa"/>
              <w:bottom w:w="40" w:type="dxa"/>
              <w:right w:w="40" w:type="dxa"/>
            </w:tcMar>
            <w:vAlign w:val="bottom"/>
          </w:tcPr>
          <w:p w14:paraId="42A1244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44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44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44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44D" w14:textId="77777777">
        <w:trPr>
          <w:jc w:val="center"/>
        </w:trPr>
        <w:tc>
          <w:tcPr>
            <w:tcW w:w="0" w:type="auto"/>
            <w:shd w:val="clear" w:color="auto" w:fill="auto"/>
            <w:tcMar>
              <w:top w:w="40" w:type="dxa"/>
              <w:left w:w="40" w:type="dxa"/>
              <w:bottom w:w="40" w:type="dxa"/>
              <w:right w:w="40" w:type="dxa"/>
            </w:tcMar>
            <w:vAlign w:val="center"/>
          </w:tcPr>
          <w:p w14:paraId="42A12448"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Current liabilities:</w:t>
            </w:r>
          </w:p>
        </w:tc>
        <w:tc>
          <w:tcPr>
            <w:tcW w:w="0" w:type="auto"/>
            <w:shd w:val="clear" w:color="auto" w:fill="auto"/>
            <w:tcMar>
              <w:top w:w="40" w:type="dxa"/>
              <w:left w:w="40" w:type="dxa"/>
              <w:bottom w:w="40" w:type="dxa"/>
              <w:right w:w="40" w:type="dxa"/>
            </w:tcMar>
            <w:vAlign w:val="bottom"/>
          </w:tcPr>
          <w:p w14:paraId="42A1244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44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44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44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457" w14:textId="77777777">
        <w:trPr>
          <w:jc w:val="center"/>
        </w:trPr>
        <w:tc>
          <w:tcPr>
            <w:tcW w:w="0" w:type="auto"/>
            <w:shd w:val="clear" w:color="auto" w:fill="CCEEFF"/>
            <w:tcMar>
              <w:top w:w="40" w:type="dxa"/>
              <w:left w:w="560" w:type="dxa"/>
              <w:bottom w:w="40" w:type="dxa"/>
              <w:right w:w="40" w:type="dxa"/>
            </w:tcMar>
            <w:vAlign w:val="center"/>
          </w:tcPr>
          <w:p w14:paraId="42A1244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Short-term borrowings</w:t>
            </w:r>
          </w:p>
        </w:tc>
        <w:tc>
          <w:tcPr>
            <w:tcW w:w="0" w:type="auto"/>
            <w:shd w:val="clear" w:color="auto" w:fill="CCEEFF"/>
            <w:tcMar>
              <w:top w:w="40" w:type="dxa"/>
              <w:left w:w="40" w:type="dxa"/>
              <w:bottom w:w="40" w:type="dxa"/>
              <w:right w:w="40" w:type="dxa"/>
            </w:tcMar>
            <w:vAlign w:val="bottom"/>
          </w:tcPr>
          <w:p w14:paraId="42A1244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45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45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575</w:t>
            </w:r>
          </w:p>
        </w:tc>
        <w:tc>
          <w:tcPr>
            <w:tcW w:w="0" w:type="auto"/>
            <w:shd w:val="clear" w:color="auto" w:fill="CCEEFF"/>
            <w:vAlign w:val="bottom"/>
          </w:tcPr>
          <w:p w14:paraId="42A1245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45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45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45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5,225</w:t>
            </w:r>
          </w:p>
        </w:tc>
        <w:tc>
          <w:tcPr>
            <w:tcW w:w="0" w:type="auto"/>
            <w:shd w:val="clear" w:color="auto" w:fill="CCEEFF"/>
            <w:vAlign w:val="bottom"/>
          </w:tcPr>
          <w:p w14:paraId="42A12456" w14:textId="77777777" w:rsidR="00BB68E1" w:rsidRDefault="00BB68E1">
            <w:pPr>
              <w:textAlignment w:val="bottom"/>
              <w:rPr>
                <w:rFonts w:ascii="Times New Roman" w:hAnsi="Times New Roman"/>
                <w:sz w:val="20"/>
                <w:szCs w:val="20"/>
              </w:rPr>
            </w:pPr>
          </w:p>
        </w:tc>
      </w:tr>
      <w:tr w:rsidR="00BB68E1" w14:paraId="42A1245F" w14:textId="77777777">
        <w:trPr>
          <w:jc w:val="center"/>
        </w:trPr>
        <w:tc>
          <w:tcPr>
            <w:tcW w:w="0" w:type="auto"/>
            <w:shd w:val="clear" w:color="auto" w:fill="auto"/>
            <w:tcMar>
              <w:top w:w="40" w:type="dxa"/>
              <w:left w:w="560" w:type="dxa"/>
              <w:bottom w:w="40" w:type="dxa"/>
              <w:right w:w="40" w:type="dxa"/>
            </w:tcMar>
            <w:vAlign w:val="center"/>
          </w:tcPr>
          <w:p w14:paraId="42A1245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Accounts payable</w:t>
            </w:r>
          </w:p>
        </w:tc>
        <w:tc>
          <w:tcPr>
            <w:tcW w:w="0" w:type="auto"/>
            <w:shd w:val="clear" w:color="auto" w:fill="auto"/>
            <w:tcMar>
              <w:top w:w="40" w:type="dxa"/>
              <w:left w:w="40" w:type="dxa"/>
              <w:bottom w:w="40" w:type="dxa"/>
              <w:right w:w="40" w:type="dxa"/>
            </w:tcMar>
            <w:vAlign w:val="bottom"/>
          </w:tcPr>
          <w:p w14:paraId="42A1245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5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46,973</w:t>
            </w:r>
          </w:p>
        </w:tc>
        <w:tc>
          <w:tcPr>
            <w:tcW w:w="0" w:type="auto"/>
            <w:shd w:val="clear" w:color="auto" w:fill="auto"/>
            <w:vAlign w:val="bottom"/>
          </w:tcPr>
          <w:p w14:paraId="42A1245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45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5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47,060</w:t>
            </w:r>
          </w:p>
        </w:tc>
        <w:tc>
          <w:tcPr>
            <w:tcW w:w="0" w:type="auto"/>
            <w:shd w:val="clear" w:color="auto" w:fill="auto"/>
            <w:vAlign w:val="bottom"/>
          </w:tcPr>
          <w:p w14:paraId="42A1245E" w14:textId="77777777" w:rsidR="00BB68E1" w:rsidRDefault="00BB68E1">
            <w:pPr>
              <w:textAlignment w:val="bottom"/>
              <w:rPr>
                <w:rFonts w:ascii="Times New Roman" w:hAnsi="Times New Roman"/>
                <w:sz w:val="20"/>
                <w:szCs w:val="20"/>
              </w:rPr>
            </w:pPr>
          </w:p>
        </w:tc>
      </w:tr>
      <w:tr w:rsidR="00BB68E1" w14:paraId="42A12467" w14:textId="77777777">
        <w:trPr>
          <w:jc w:val="center"/>
        </w:trPr>
        <w:tc>
          <w:tcPr>
            <w:tcW w:w="0" w:type="auto"/>
            <w:shd w:val="clear" w:color="auto" w:fill="CCEEFF"/>
            <w:tcMar>
              <w:top w:w="40" w:type="dxa"/>
              <w:left w:w="560" w:type="dxa"/>
              <w:bottom w:w="40" w:type="dxa"/>
              <w:right w:w="40" w:type="dxa"/>
            </w:tcMar>
            <w:vAlign w:val="center"/>
          </w:tcPr>
          <w:p w14:paraId="42A1246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Accrued liabilities</w:t>
            </w:r>
          </w:p>
        </w:tc>
        <w:tc>
          <w:tcPr>
            <w:tcW w:w="0" w:type="auto"/>
            <w:shd w:val="clear" w:color="auto" w:fill="CCEEFF"/>
            <w:tcMar>
              <w:top w:w="40" w:type="dxa"/>
              <w:left w:w="40" w:type="dxa"/>
              <w:bottom w:w="40" w:type="dxa"/>
              <w:right w:w="40" w:type="dxa"/>
            </w:tcMar>
            <w:vAlign w:val="bottom"/>
          </w:tcPr>
          <w:p w14:paraId="42A1246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6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22,296</w:t>
            </w:r>
          </w:p>
        </w:tc>
        <w:tc>
          <w:tcPr>
            <w:tcW w:w="0" w:type="auto"/>
            <w:shd w:val="clear" w:color="auto" w:fill="CCEEFF"/>
            <w:vAlign w:val="bottom"/>
          </w:tcPr>
          <w:p w14:paraId="42A1246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46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6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22,159</w:t>
            </w:r>
          </w:p>
        </w:tc>
        <w:tc>
          <w:tcPr>
            <w:tcW w:w="0" w:type="auto"/>
            <w:shd w:val="clear" w:color="auto" w:fill="CCEEFF"/>
            <w:vAlign w:val="bottom"/>
          </w:tcPr>
          <w:p w14:paraId="42A12466" w14:textId="77777777" w:rsidR="00BB68E1" w:rsidRDefault="00BB68E1">
            <w:pPr>
              <w:textAlignment w:val="bottom"/>
              <w:rPr>
                <w:rFonts w:ascii="Times New Roman" w:hAnsi="Times New Roman"/>
                <w:sz w:val="20"/>
                <w:szCs w:val="20"/>
              </w:rPr>
            </w:pPr>
          </w:p>
        </w:tc>
      </w:tr>
      <w:tr w:rsidR="00BB68E1" w14:paraId="42A1246F" w14:textId="77777777">
        <w:trPr>
          <w:jc w:val="center"/>
        </w:trPr>
        <w:tc>
          <w:tcPr>
            <w:tcW w:w="0" w:type="auto"/>
            <w:shd w:val="clear" w:color="auto" w:fill="auto"/>
            <w:tcMar>
              <w:top w:w="40" w:type="dxa"/>
              <w:left w:w="560" w:type="dxa"/>
              <w:bottom w:w="40" w:type="dxa"/>
              <w:right w:w="40" w:type="dxa"/>
            </w:tcMar>
            <w:vAlign w:val="center"/>
          </w:tcPr>
          <w:p w14:paraId="42A1246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Accrued income taxes</w:t>
            </w:r>
          </w:p>
        </w:tc>
        <w:tc>
          <w:tcPr>
            <w:tcW w:w="0" w:type="auto"/>
            <w:shd w:val="clear" w:color="auto" w:fill="auto"/>
            <w:tcMar>
              <w:top w:w="40" w:type="dxa"/>
              <w:left w:w="40" w:type="dxa"/>
              <w:bottom w:w="40" w:type="dxa"/>
              <w:right w:w="40" w:type="dxa"/>
            </w:tcMar>
            <w:vAlign w:val="bottom"/>
          </w:tcPr>
          <w:p w14:paraId="42A1246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6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280</w:t>
            </w:r>
          </w:p>
        </w:tc>
        <w:tc>
          <w:tcPr>
            <w:tcW w:w="0" w:type="auto"/>
            <w:shd w:val="clear" w:color="auto" w:fill="auto"/>
            <w:vAlign w:val="bottom"/>
          </w:tcPr>
          <w:p w14:paraId="42A1246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46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6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428</w:t>
            </w:r>
          </w:p>
        </w:tc>
        <w:tc>
          <w:tcPr>
            <w:tcW w:w="0" w:type="auto"/>
            <w:shd w:val="clear" w:color="auto" w:fill="auto"/>
            <w:vAlign w:val="bottom"/>
          </w:tcPr>
          <w:p w14:paraId="42A1246E" w14:textId="77777777" w:rsidR="00BB68E1" w:rsidRDefault="00BB68E1">
            <w:pPr>
              <w:textAlignment w:val="bottom"/>
              <w:rPr>
                <w:rFonts w:ascii="Times New Roman" w:hAnsi="Times New Roman"/>
                <w:sz w:val="20"/>
                <w:szCs w:val="20"/>
              </w:rPr>
            </w:pPr>
          </w:p>
        </w:tc>
      </w:tr>
      <w:tr w:rsidR="00BB68E1" w14:paraId="42A12477" w14:textId="77777777">
        <w:trPr>
          <w:jc w:val="center"/>
        </w:trPr>
        <w:tc>
          <w:tcPr>
            <w:tcW w:w="0" w:type="auto"/>
            <w:shd w:val="clear" w:color="auto" w:fill="CCEEFF"/>
            <w:tcMar>
              <w:top w:w="40" w:type="dxa"/>
              <w:left w:w="560" w:type="dxa"/>
              <w:bottom w:w="40" w:type="dxa"/>
              <w:right w:w="40" w:type="dxa"/>
            </w:tcMar>
            <w:vAlign w:val="center"/>
          </w:tcPr>
          <w:p w14:paraId="42A1247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Long-term debt due within one year</w:t>
            </w:r>
          </w:p>
        </w:tc>
        <w:tc>
          <w:tcPr>
            <w:tcW w:w="0" w:type="auto"/>
            <w:shd w:val="clear" w:color="auto" w:fill="CCEEFF"/>
            <w:tcMar>
              <w:top w:w="40" w:type="dxa"/>
              <w:left w:w="40" w:type="dxa"/>
              <w:bottom w:w="40" w:type="dxa"/>
              <w:right w:w="40" w:type="dxa"/>
            </w:tcMar>
            <w:vAlign w:val="bottom"/>
          </w:tcPr>
          <w:p w14:paraId="42A1247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7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5,362</w:t>
            </w:r>
          </w:p>
        </w:tc>
        <w:tc>
          <w:tcPr>
            <w:tcW w:w="0" w:type="auto"/>
            <w:shd w:val="clear" w:color="auto" w:fill="CCEEFF"/>
            <w:vAlign w:val="bottom"/>
          </w:tcPr>
          <w:p w14:paraId="42A1247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47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7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1,876</w:t>
            </w:r>
          </w:p>
        </w:tc>
        <w:tc>
          <w:tcPr>
            <w:tcW w:w="0" w:type="auto"/>
            <w:shd w:val="clear" w:color="auto" w:fill="CCEEFF"/>
            <w:vAlign w:val="bottom"/>
          </w:tcPr>
          <w:p w14:paraId="42A12476" w14:textId="77777777" w:rsidR="00BB68E1" w:rsidRDefault="00BB68E1">
            <w:pPr>
              <w:textAlignment w:val="bottom"/>
              <w:rPr>
                <w:rFonts w:ascii="Times New Roman" w:hAnsi="Times New Roman"/>
                <w:sz w:val="20"/>
                <w:szCs w:val="20"/>
              </w:rPr>
            </w:pPr>
          </w:p>
        </w:tc>
      </w:tr>
      <w:tr w:rsidR="00BB68E1" w14:paraId="42A1247F" w14:textId="77777777">
        <w:trPr>
          <w:jc w:val="center"/>
        </w:trPr>
        <w:tc>
          <w:tcPr>
            <w:tcW w:w="0" w:type="auto"/>
            <w:shd w:val="clear" w:color="auto" w:fill="auto"/>
            <w:tcMar>
              <w:top w:w="40" w:type="dxa"/>
              <w:left w:w="560" w:type="dxa"/>
              <w:bottom w:w="40" w:type="dxa"/>
              <w:right w:w="40" w:type="dxa"/>
            </w:tcMar>
            <w:vAlign w:val="center"/>
          </w:tcPr>
          <w:p w14:paraId="42A1247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lease obligations due within one year</w:t>
            </w:r>
          </w:p>
        </w:tc>
        <w:tc>
          <w:tcPr>
            <w:tcW w:w="0" w:type="auto"/>
            <w:shd w:val="clear" w:color="auto" w:fill="auto"/>
            <w:tcMar>
              <w:top w:w="40" w:type="dxa"/>
              <w:left w:w="40" w:type="dxa"/>
              <w:bottom w:w="40" w:type="dxa"/>
              <w:right w:w="40" w:type="dxa"/>
            </w:tcMar>
            <w:vAlign w:val="bottom"/>
          </w:tcPr>
          <w:p w14:paraId="42A1247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7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1,793</w:t>
            </w:r>
          </w:p>
        </w:tc>
        <w:tc>
          <w:tcPr>
            <w:tcW w:w="0" w:type="auto"/>
            <w:shd w:val="clear" w:color="auto" w:fill="auto"/>
            <w:vAlign w:val="bottom"/>
          </w:tcPr>
          <w:p w14:paraId="42A1247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4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7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47E" w14:textId="77777777" w:rsidR="00BB68E1" w:rsidRDefault="00BB68E1">
            <w:pPr>
              <w:textAlignment w:val="bottom"/>
              <w:rPr>
                <w:rFonts w:ascii="Times New Roman" w:hAnsi="Times New Roman"/>
                <w:sz w:val="20"/>
                <w:szCs w:val="20"/>
              </w:rPr>
            </w:pPr>
          </w:p>
        </w:tc>
      </w:tr>
      <w:tr w:rsidR="00BB68E1" w14:paraId="42A12487" w14:textId="77777777">
        <w:trPr>
          <w:jc w:val="center"/>
        </w:trPr>
        <w:tc>
          <w:tcPr>
            <w:tcW w:w="0" w:type="auto"/>
            <w:shd w:val="clear" w:color="auto" w:fill="CCEEFF"/>
            <w:tcMar>
              <w:top w:w="40" w:type="dxa"/>
              <w:left w:w="560" w:type="dxa"/>
              <w:bottom w:w="40" w:type="dxa"/>
              <w:right w:w="40" w:type="dxa"/>
            </w:tcMar>
            <w:vAlign w:val="center"/>
          </w:tcPr>
          <w:p w14:paraId="42A1248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Finance lease obligations due within one year</w:t>
            </w:r>
          </w:p>
        </w:tc>
        <w:tc>
          <w:tcPr>
            <w:tcW w:w="0" w:type="auto"/>
            <w:shd w:val="clear" w:color="auto" w:fill="CCEEFF"/>
            <w:tcMar>
              <w:top w:w="40" w:type="dxa"/>
              <w:left w:w="40" w:type="dxa"/>
              <w:bottom w:w="40" w:type="dxa"/>
              <w:right w:w="40" w:type="dxa"/>
            </w:tcMar>
            <w:vAlign w:val="bottom"/>
          </w:tcPr>
          <w:p w14:paraId="42A124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8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511</w:t>
            </w:r>
          </w:p>
        </w:tc>
        <w:tc>
          <w:tcPr>
            <w:tcW w:w="0" w:type="auto"/>
            <w:shd w:val="clear" w:color="auto" w:fill="CCEEFF"/>
            <w:vAlign w:val="bottom"/>
          </w:tcPr>
          <w:p w14:paraId="42A1248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4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8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486" w14:textId="77777777" w:rsidR="00BB68E1" w:rsidRDefault="00BB68E1">
            <w:pPr>
              <w:textAlignment w:val="bottom"/>
              <w:rPr>
                <w:rFonts w:ascii="Times New Roman" w:hAnsi="Times New Roman"/>
                <w:sz w:val="20"/>
                <w:szCs w:val="20"/>
              </w:rPr>
            </w:pPr>
          </w:p>
        </w:tc>
      </w:tr>
      <w:tr w:rsidR="00BB68E1" w14:paraId="42A1248F" w14:textId="77777777">
        <w:trPr>
          <w:jc w:val="center"/>
        </w:trPr>
        <w:tc>
          <w:tcPr>
            <w:tcW w:w="0" w:type="auto"/>
            <w:shd w:val="clear" w:color="auto" w:fill="auto"/>
            <w:tcMar>
              <w:top w:w="40" w:type="dxa"/>
              <w:left w:w="560" w:type="dxa"/>
              <w:bottom w:w="40" w:type="dxa"/>
              <w:right w:w="40" w:type="dxa"/>
            </w:tcMar>
            <w:vAlign w:val="center"/>
          </w:tcPr>
          <w:p w14:paraId="42A1248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Capital lease and financing obligations due within one year</w:t>
            </w:r>
          </w:p>
        </w:tc>
        <w:tc>
          <w:tcPr>
            <w:tcW w:w="0" w:type="auto"/>
            <w:shd w:val="clear" w:color="auto" w:fill="auto"/>
            <w:tcMar>
              <w:top w:w="40" w:type="dxa"/>
              <w:left w:w="40" w:type="dxa"/>
              <w:bottom w:w="40" w:type="dxa"/>
              <w:right w:w="40" w:type="dxa"/>
            </w:tcMar>
            <w:vAlign w:val="bottom"/>
          </w:tcPr>
          <w:p w14:paraId="42A1248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8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48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48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8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729</w:t>
            </w:r>
          </w:p>
        </w:tc>
        <w:tc>
          <w:tcPr>
            <w:tcW w:w="0" w:type="auto"/>
            <w:shd w:val="clear" w:color="auto" w:fill="auto"/>
            <w:vAlign w:val="bottom"/>
          </w:tcPr>
          <w:p w14:paraId="42A1248E" w14:textId="77777777" w:rsidR="00BB68E1" w:rsidRDefault="00BB68E1">
            <w:pPr>
              <w:textAlignment w:val="bottom"/>
              <w:rPr>
                <w:rFonts w:ascii="Times New Roman" w:hAnsi="Times New Roman"/>
                <w:sz w:val="20"/>
                <w:szCs w:val="20"/>
              </w:rPr>
            </w:pPr>
          </w:p>
        </w:tc>
      </w:tr>
      <w:tr w:rsidR="00BB68E1" w14:paraId="42A12497" w14:textId="77777777">
        <w:trPr>
          <w:jc w:val="center"/>
        </w:trPr>
        <w:tc>
          <w:tcPr>
            <w:tcW w:w="0" w:type="auto"/>
            <w:shd w:val="clear" w:color="auto" w:fill="CCEEFF"/>
            <w:tcMar>
              <w:top w:w="40" w:type="dxa"/>
              <w:left w:w="1040" w:type="dxa"/>
              <w:bottom w:w="40" w:type="dxa"/>
              <w:right w:w="40" w:type="dxa"/>
            </w:tcMar>
            <w:vAlign w:val="center"/>
          </w:tcPr>
          <w:p w14:paraId="42A1249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current liabilities</w:t>
            </w:r>
          </w:p>
        </w:tc>
        <w:tc>
          <w:tcPr>
            <w:tcW w:w="0" w:type="auto"/>
            <w:shd w:val="clear" w:color="auto" w:fill="CCEEFF"/>
            <w:tcMar>
              <w:top w:w="40" w:type="dxa"/>
              <w:left w:w="40" w:type="dxa"/>
              <w:bottom w:w="40" w:type="dxa"/>
              <w:right w:w="40" w:type="dxa"/>
            </w:tcMar>
            <w:vAlign w:val="bottom"/>
          </w:tcPr>
          <w:p w14:paraId="42A1249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2A1249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77,790</w:t>
            </w:r>
          </w:p>
        </w:tc>
        <w:tc>
          <w:tcPr>
            <w:tcW w:w="0" w:type="auto"/>
            <w:tcBorders>
              <w:top w:val="single" w:sz="8" w:space="0" w:color="000000"/>
            </w:tcBorders>
            <w:shd w:val="clear" w:color="auto" w:fill="CCEEFF"/>
            <w:vAlign w:val="bottom"/>
          </w:tcPr>
          <w:p w14:paraId="42A1249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49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2A1249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77,477</w:t>
            </w:r>
          </w:p>
        </w:tc>
        <w:tc>
          <w:tcPr>
            <w:tcW w:w="0" w:type="auto"/>
            <w:tcBorders>
              <w:top w:val="single" w:sz="8" w:space="0" w:color="000000"/>
            </w:tcBorders>
            <w:shd w:val="clear" w:color="auto" w:fill="CCEEFF"/>
            <w:vAlign w:val="bottom"/>
          </w:tcPr>
          <w:p w14:paraId="42A12496" w14:textId="77777777" w:rsidR="00BB68E1" w:rsidRDefault="00BB68E1">
            <w:pPr>
              <w:textAlignment w:val="bottom"/>
              <w:rPr>
                <w:rFonts w:ascii="Times New Roman" w:hAnsi="Times New Roman"/>
                <w:sz w:val="20"/>
                <w:szCs w:val="20"/>
              </w:rPr>
            </w:pPr>
          </w:p>
        </w:tc>
      </w:tr>
      <w:tr w:rsidR="00BB68E1" w14:paraId="42A1249D" w14:textId="77777777">
        <w:trPr>
          <w:jc w:val="center"/>
        </w:trPr>
        <w:tc>
          <w:tcPr>
            <w:tcW w:w="0" w:type="auto"/>
            <w:shd w:val="clear" w:color="auto" w:fill="auto"/>
            <w:tcMar>
              <w:top w:w="40" w:type="dxa"/>
              <w:left w:w="40" w:type="dxa"/>
              <w:bottom w:w="40" w:type="dxa"/>
              <w:right w:w="40" w:type="dxa"/>
            </w:tcMar>
            <w:vAlign w:val="bottom"/>
          </w:tcPr>
          <w:p w14:paraId="42A1249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49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49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49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49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4A5" w14:textId="77777777">
        <w:trPr>
          <w:jc w:val="center"/>
        </w:trPr>
        <w:tc>
          <w:tcPr>
            <w:tcW w:w="0" w:type="auto"/>
            <w:shd w:val="clear" w:color="auto" w:fill="CCEEFF"/>
            <w:tcMar>
              <w:top w:w="40" w:type="dxa"/>
              <w:left w:w="40" w:type="dxa"/>
              <w:bottom w:w="40" w:type="dxa"/>
              <w:right w:w="40" w:type="dxa"/>
            </w:tcMar>
            <w:vAlign w:val="center"/>
          </w:tcPr>
          <w:p w14:paraId="42A1249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Long-term debt</w:t>
            </w:r>
          </w:p>
        </w:tc>
        <w:tc>
          <w:tcPr>
            <w:tcW w:w="0" w:type="auto"/>
            <w:shd w:val="clear" w:color="auto" w:fill="CCEEFF"/>
            <w:tcMar>
              <w:top w:w="40" w:type="dxa"/>
              <w:left w:w="40" w:type="dxa"/>
              <w:bottom w:w="40" w:type="dxa"/>
              <w:right w:w="40" w:type="dxa"/>
            </w:tcMar>
            <w:vAlign w:val="bottom"/>
          </w:tcPr>
          <w:p w14:paraId="42A1249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A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43,714</w:t>
            </w:r>
          </w:p>
        </w:tc>
        <w:tc>
          <w:tcPr>
            <w:tcW w:w="0" w:type="auto"/>
            <w:shd w:val="clear" w:color="auto" w:fill="CCEEFF"/>
            <w:vAlign w:val="bottom"/>
          </w:tcPr>
          <w:p w14:paraId="42A124A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4A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A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43,520</w:t>
            </w:r>
          </w:p>
        </w:tc>
        <w:tc>
          <w:tcPr>
            <w:tcW w:w="0" w:type="auto"/>
            <w:shd w:val="clear" w:color="auto" w:fill="CCEEFF"/>
            <w:vAlign w:val="bottom"/>
          </w:tcPr>
          <w:p w14:paraId="42A124A4" w14:textId="77777777" w:rsidR="00BB68E1" w:rsidRDefault="00BB68E1">
            <w:pPr>
              <w:textAlignment w:val="bottom"/>
              <w:rPr>
                <w:rFonts w:ascii="Times New Roman" w:hAnsi="Times New Roman"/>
                <w:sz w:val="20"/>
                <w:szCs w:val="20"/>
              </w:rPr>
            </w:pPr>
          </w:p>
        </w:tc>
      </w:tr>
      <w:tr w:rsidR="00BB68E1" w14:paraId="42A124AD" w14:textId="77777777">
        <w:trPr>
          <w:jc w:val="center"/>
        </w:trPr>
        <w:tc>
          <w:tcPr>
            <w:tcW w:w="0" w:type="auto"/>
            <w:shd w:val="clear" w:color="auto" w:fill="auto"/>
            <w:tcMar>
              <w:top w:w="40" w:type="dxa"/>
              <w:left w:w="40" w:type="dxa"/>
              <w:bottom w:w="40" w:type="dxa"/>
              <w:right w:w="40" w:type="dxa"/>
            </w:tcMar>
            <w:vAlign w:val="center"/>
          </w:tcPr>
          <w:p w14:paraId="42A124A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Long-term operating lease obligations</w:t>
            </w:r>
          </w:p>
        </w:tc>
        <w:tc>
          <w:tcPr>
            <w:tcW w:w="0" w:type="auto"/>
            <w:shd w:val="clear" w:color="auto" w:fill="auto"/>
            <w:tcMar>
              <w:top w:w="40" w:type="dxa"/>
              <w:left w:w="40" w:type="dxa"/>
              <w:bottom w:w="40" w:type="dxa"/>
              <w:right w:w="40" w:type="dxa"/>
            </w:tcMar>
            <w:vAlign w:val="bottom"/>
          </w:tcPr>
          <w:p w14:paraId="42A124A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A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16,171</w:t>
            </w:r>
          </w:p>
        </w:tc>
        <w:tc>
          <w:tcPr>
            <w:tcW w:w="0" w:type="auto"/>
            <w:shd w:val="clear" w:color="auto" w:fill="auto"/>
            <w:vAlign w:val="bottom"/>
          </w:tcPr>
          <w:p w14:paraId="42A124A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4A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A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4AC" w14:textId="77777777" w:rsidR="00BB68E1" w:rsidRDefault="00BB68E1">
            <w:pPr>
              <w:textAlignment w:val="bottom"/>
              <w:rPr>
                <w:rFonts w:ascii="Times New Roman" w:hAnsi="Times New Roman"/>
                <w:sz w:val="20"/>
                <w:szCs w:val="20"/>
              </w:rPr>
            </w:pPr>
          </w:p>
        </w:tc>
      </w:tr>
      <w:tr w:rsidR="00BB68E1" w14:paraId="42A124B5" w14:textId="77777777">
        <w:trPr>
          <w:jc w:val="center"/>
        </w:trPr>
        <w:tc>
          <w:tcPr>
            <w:tcW w:w="0" w:type="auto"/>
            <w:shd w:val="clear" w:color="auto" w:fill="CCEEFF"/>
            <w:tcMar>
              <w:top w:w="40" w:type="dxa"/>
              <w:left w:w="40" w:type="dxa"/>
              <w:bottom w:w="40" w:type="dxa"/>
              <w:right w:w="40" w:type="dxa"/>
            </w:tcMar>
            <w:vAlign w:val="center"/>
          </w:tcPr>
          <w:p w14:paraId="42A124A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Long-term finance lease obligations</w:t>
            </w:r>
          </w:p>
        </w:tc>
        <w:tc>
          <w:tcPr>
            <w:tcW w:w="0" w:type="auto"/>
            <w:shd w:val="clear" w:color="auto" w:fill="CCEEFF"/>
            <w:tcMar>
              <w:top w:w="40" w:type="dxa"/>
              <w:left w:w="40" w:type="dxa"/>
              <w:bottom w:w="40" w:type="dxa"/>
              <w:right w:w="40" w:type="dxa"/>
            </w:tcMar>
            <w:vAlign w:val="bottom"/>
          </w:tcPr>
          <w:p w14:paraId="42A124A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B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4,307</w:t>
            </w:r>
          </w:p>
        </w:tc>
        <w:tc>
          <w:tcPr>
            <w:tcW w:w="0" w:type="auto"/>
            <w:shd w:val="clear" w:color="auto" w:fill="CCEEFF"/>
            <w:vAlign w:val="bottom"/>
          </w:tcPr>
          <w:p w14:paraId="42A124B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4B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B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4B4" w14:textId="77777777" w:rsidR="00BB68E1" w:rsidRDefault="00BB68E1">
            <w:pPr>
              <w:textAlignment w:val="bottom"/>
              <w:rPr>
                <w:rFonts w:ascii="Times New Roman" w:hAnsi="Times New Roman"/>
                <w:sz w:val="20"/>
                <w:szCs w:val="20"/>
              </w:rPr>
            </w:pPr>
          </w:p>
        </w:tc>
      </w:tr>
      <w:tr w:rsidR="00BB68E1" w14:paraId="42A124BD" w14:textId="77777777">
        <w:trPr>
          <w:jc w:val="center"/>
        </w:trPr>
        <w:tc>
          <w:tcPr>
            <w:tcW w:w="0" w:type="auto"/>
            <w:shd w:val="clear" w:color="auto" w:fill="auto"/>
            <w:tcMar>
              <w:top w:w="40" w:type="dxa"/>
              <w:left w:w="40" w:type="dxa"/>
              <w:bottom w:w="40" w:type="dxa"/>
              <w:right w:w="40" w:type="dxa"/>
            </w:tcMar>
            <w:vAlign w:val="center"/>
          </w:tcPr>
          <w:p w14:paraId="42A124B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Long-term capital lease and financing obligations</w:t>
            </w:r>
          </w:p>
        </w:tc>
        <w:tc>
          <w:tcPr>
            <w:tcW w:w="0" w:type="auto"/>
            <w:shd w:val="clear" w:color="auto" w:fill="auto"/>
            <w:tcMar>
              <w:top w:w="40" w:type="dxa"/>
              <w:left w:w="40" w:type="dxa"/>
              <w:bottom w:w="40" w:type="dxa"/>
              <w:right w:w="40" w:type="dxa"/>
            </w:tcMar>
            <w:vAlign w:val="bottom"/>
          </w:tcPr>
          <w:p w14:paraId="42A124B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B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4B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4B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B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6,683</w:t>
            </w:r>
          </w:p>
        </w:tc>
        <w:tc>
          <w:tcPr>
            <w:tcW w:w="0" w:type="auto"/>
            <w:shd w:val="clear" w:color="auto" w:fill="auto"/>
            <w:vAlign w:val="bottom"/>
          </w:tcPr>
          <w:p w14:paraId="42A124BC" w14:textId="77777777" w:rsidR="00BB68E1" w:rsidRDefault="00BB68E1">
            <w:pPr>
              <w:textAlignment w:val="bottom"/>
              <w:rPr>
                <w:rFonts w:ascii="Times New Roman" w:hAnsi="Times New Roman"/>
                <w:sz w:val="20"/>
                <w:szCs w:val="20"/>
              </w:rPr>
            </w:pPr>
          </w:p>
        </w:tc>
      </w:tr>
      <w:tr w:rsidR="00BB68E1" w14:paraId="42A124C5" w14:textId="77777777">
        <w:trPr>
          <w:jc w:val="center"/>
        </w:trPr>
        <w:tc>
          <w:tcPr>
            <w:tcW w:w="0" w:type="auto"/>
            <w:shd w:val="clear" w:color="auto" w:fill="CCEEFF"/>
            <w:tcMar>
              <w:top w:w="40" w:type="dxa"/>
              <w:left w:w="40" w:type="dxa"/>
              <w:bottom w:w="40" w:type="dxa"/>
              <w:right w:w="40" w:type="dxa"/>
            </w:tcMar>
            <w:vAlign w:val="center"/>
          </w:tcPr>
          <w:p w14:paraId="42A124B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Deferred income taxes and other</w:t>
            </w:r>
          </w:p>
        </w:tc>
        <w:tc>
          <w:tcPr>
            <w:tcW w:w="0" w:type="auto"/>
            <w:shd w:val="clear" w:color="auto" w:fill="CCEEFF"/>
            <w:tcMar>
              <w:top w:w="40" w:type="dxa"/>
              <w:left w:w="40" w:type="dxa"/>
              <w:bottom w:w="40" w:type="dxa"/>
              <w:right w:w="40" w:type="dxa"/>
            </w:tcMar>
            <w:vAlign w:val="bottom"/>
          </w:tcPr>
          <w:p w14:paraId="42A124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C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12,961</w:t>
            </w:r>
          </w:p>
        </w:tc>
        <w:tc>
          <w:tcPr>
            <w:tcW w:w="0" w:type="auto"/>
            <w:shd w:val="clear" w:color="auto" w:fill="CCEEFF"/>
            <w:vAlign w:val="bottom"/>
          </w:tcPr>
          <w:p w14:paraId="42A124C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4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C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11,981</w:t>
            </w:r>
          </w:p>
        </w:tc>
        <w:tc>
          <w:tcPr>
            <w:tcW w:w="0" w:type="auto"/>
            <w:shd w:val="clear" w:color="auto" w:fill="CCEEFF"/>
            <w:vAlign w:val="bottom"/>
          </w:tcPr>
          <w:p w14:paraId="42A124C4" w14:textId="77777777" w:rsidR="00BB68E1" w:rsidRDefault="00BB68E1">
            <w:pPr>
              <w:textAlignment w:val="bottom"/>
              <w:rPr>
                <w:rFonts w:ascii="Times New Roman" w:hAnsi="Times New Roman"/>
                <w:sz w:val="20"/>
                <w:szCs w:val="20"/>
              </w:rPr>
            </w:pPr>
          </w:p>
        </w:tc>
      </w:tr>
      <w:tr w:rsidR="00BB68E1" w14:paraId="42A124CB" w14:textId="77777777">
        <w:trPr>
          <w:jc w:val="center"/>
        </w:trPr>
        <w:tc>
          <w:tcPr>
            <w:tcW w:w="0" w:type="auto"/>
            <w:shd w:val="clear" w:color="auto" w:fill="auto"/>
            <w:tcMar>
              <w:top w:w="40" w:type="dxa"/>
              <w:left w:w="40" w:type="dxa"/>
              <w:bottom w:w="40" w:type="dxa"/>
              <w:right w:w="40" w:type="dxa"/>
            </w:tcMar>
            <w:vAlign w:val="bottom"/>
          </w:tcPr>
          <w:p w14:paraId="42A124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4C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4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4C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4C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4D1" w14:textId="77777777">
        <w:trPr>
          <w:jc w:val="center"/>
        </w:trPr>
        <w:tc>
          <w:tcPr>
            <w:tcW w:w="0" w:type="auto"/>
            <w:shd w:val="clear" w:color="auto" w:fill="CCEEFF"/>
            <w:tcMar>
              <w:top w:w="40" w:type="dxa"/>
              <w:left w:w="40" w:type="dxa"/>
              <w:bottom w:w="40" w:type="dxa"/>
              <w:right w:w="40" w:type="dxa"/>
            </w:tcMar>
            <w:vAlign w:val="center"/>
          </w:tcPr>
          <w:p w14:paraId="42A124C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Commitments and contingencies</w:t>
            </w:r>
          </w:p>
        </w:tc>
        <w:tc>
          <w:tcPr>
            <w:tcW w:w="0" w:type="auto"/>
            <w:shd w:val="clear" w:color="auto" w:fill="CCEEFF"/>
            <w:tcMar>
              <w:top w:w="40" w:type="dxa"/>
              <w:left w:w="40" w:type="dxa"/>
              <w:bottom w:w="40" w:type="dxa"/>
              <w:right w:w="40" w:type="dxa"/>
            </w:tcMar>
            <w:vAlign w:val="bottom"/>
          </w:tcPr>
          <w:p w14:paraId="42A124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center"/>
          </w:tcPr>
          <w:p w14:paraId="42A124CE" w14:textId="77777777" w:rsidR="00BB68E1" w:rsidRDefault="00BB68E1">
            <w:pPr>
              <w:textAlignment w:val="center"/>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42A124C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center"/>
          </w:tcPr>
          <w:p w14:paraId="42A124D0" w14:textId="77777777" w:rsidR="00BB68E1" w:rsidRDefault="00BB68E1">
            <w:pPr>
              <w:textAlignment w:val="center"/>
              <w:rPr>
                <w:rFonts w:ascii="Times New Roman" w:hAnsi="Times New Roman"/>
                <w:sz w:val="16"/>
                <w:szCs w:val="16"/>
              </w:rPr>
            </w:pPr>
          </w:p>
        </w:tc>
      </w:tr>
      <w:tr w:rsidR="00BB68E1" w14:paraId="42A124D7" w14:textId="77777777">
        <w:trPr>
          <w:jc w:val="center"/>
        </w:trPr>
        <w:tc>
          <w:tcPr>
            <w:tcW w:w="0" w:type="auto"/>
            <w:shd w:val="clear" w:color="auto" w:fill="auto"/>
            <w:tcMar>
              <w:top w:w="40" w:type="dxa"/>
              <w:left w:w="40" w:type="dxa"/>
              <w:bottom w:w="40" w:type="dxa"/>
              <w:right w:w="40" w:type="dxa"/>
            </w:tcMar>
            <w:vAlign w:val="bottom"/>
          </w:tcPr>
          <w:p w14:paraId="42A124D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4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4D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4D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4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4DD" w14:textId="77777777">
        <w:trPr>
          <w:jc w:val="center"/>
        </w:trPr>
        <w:tc>
          <w:tcPr>
            <w:tcW w:w="0" w:type="auto"/>
            <w:shd w:val="clear" w:color="auto" w:fill="CCEEFF"/>
            <w:tcMar>
              <w:top w:w="40" w:type="dxa"/>
              <w:left w:w="40" w:type="dxa"/>
              <w:bottom w:w="40" w:type="dxa"/>
              <w:right w:w="40" w:type="dxa"/>
            </w:tcMar>
            <w:vAlign w:val="center"/>
          </w:tcPr>
          <w:p w14:paraId="42A124D8"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Equity:</w:t>
            </w:r>
          </w:p>
        </w:tc>
        <w:tc>
          <w:tcPr>
            <w:tcW w:w="0" w:type="auto"/>
            <w:shd w:val="clear" w:color="auto" w:fill="CCEEFF"/>
            <w:tcMar>
              <w:top w:w="40" w:type="dxa"/>
              <w:left w:w="40" w:type="dxa"/>
              <w:bottom w:w="40" w:type="dxa"/>
              <w:right w:w="40" w:type="dxa"/>
            </w:tcMar>
            <w:vAlign w:val="bottom"/>
          </w:tcPr>
          <w:p w14:paraId="42A124D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4D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4D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4D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4E5" w14:textId="77777777">
        <w:trPr>
          <w:jc w:val="center"/>
        </w:trPr>
        <w:tc>
          <w:tcPr>
            <w:tcW w:w="0" w:type="auto"/>
            <w:shd w:val="clear" w:color="auto" w:fill="auto"/>
            <w:tcMar>
              <w:top w:w="40" w:type="dxa"/>
              <w:left w:w="560" w:type="dxa"/>
              <w:bottom w:w="40" w:type="dxa"/>
              <w:right w:w="40" w:type="dxa"/>
            </w:tcMar>
            <w:vAlign w:val="center"/>
          </w:tcPr>
          <w:p w14:paraId="42A124D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Common stock</w:t>
            </w:r>
          </w:p>
        </w:tc>
        <w:tc>
          <w:tcPr>
            <w:tcW w:w="0" w:type="auto"/>
            <w:shd w:val="clear" w:color="auto" w:fill="auto"/>
            <w:tcMar>
              <w:top w:w="40" w:type="dxa"/>
              <w:left w:w="40" w:type="dxa"/>
              <w:bottom w:w="40" w:type="dxa"/>
              <w:right w:w="40" w:type="dxa"/>
            </w:tcMar>
            <w:vAlign w:val="bottom"/>
          </w:tcPr>
          <w:p w14:paraId="42A124D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E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284</w:t>
            </w:r>
          </w:p>
        </w:tc>
        <w:tc>
          <w:tcPr>
            <w:tcW w:w="0" w:type="auto"/>
            <w:shd w:val="clear" w:color="auto" w:fill="auto"/>
            <w:vAlign w:val="bottom"/>
          </w:tcPr>
          <w:p w14:paraId="42A124E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4E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E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288</w:t>
            </w:r>
          </w:p>
        </w:tc>
        <w:tc>
          <w:tcPr>
            <w:tcW w:w="0" w:type="auto"/>
            <w:shd w:val="clear" w:color="auto" w:fill="auto"/>
            <w:vAlign w:val="bottom"/>
          </w:tcPr>
          <w:p w14:paraId="42A124E4" w14:textId="77777777" w:rsidR="00BB68E1" w:rsidRDefault="00BB68E1">
            <w:pPr>
              <w:textAlignment w:val="bottom"/>
              <w:rPr>
                <w:rFonts w:ascii="Times New Roman" w:hAnsi="Times New Roman"/>
                <w:sz w:val="20"/>
                <w:szCs w:val="20"/>
              </w:rPr>
            </w:pPr>
          </w:p>
        </w:tc>
      </w:tr>
      <w:tr w:rsidR="00BB68E1" w14:paraId="42A124ED" w14:textId="77777777">
        <w:trPr>
          <w:jc w:val="center"/>
        </w:trPr>
        <w:tc>
          <w:tcPr>
            <w:tcW w:w="0" w:type="auto"/>
            <w:shd w:val="clear" w:color="auto" w:fill="CCEEFF"/>
            <w:tcMar>
              <w:top w:w="40" w:type="dxa"/>
              <w:left w:w="560" w:type="dxa"/>
              <w:bottom w:w="40" w:type="dxa"/>
              <w:right w:w="40" w:type="dxa"/>
            </w:tcMar>
            <w:vAlign w:val="center"/>
          </w:tcPr>
          <w:p w14:paraId="42A124E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Capital in excess of par value</w:t>
            </w:r>
          </w:p>
        </w:tc>
        <w:tc>
          <w:tcPr>
            <w:tcW w:w="0" w:type="auto"/>
            <w:shd w:val="clear" w:color="auto" w:fill="CCEEFF"/>
            <w:tcMar>
              <w:top w:w="40" w:type="dxa"/>
              <w:left w:w="40" w:type="dxa"/>
              <w:bottom w:w="40" w:type="dxa"/>
              <w:right w:w="40" w:type="dxa"/>
            </w:tcMar>
            <w:vAlign w:val="bottom"/>
          </w:tcPr>
          <w:p w14:paraId="42A124E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E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3,247</w:t>
            </w:r>
          </w:p>
        </w:tc>
        <w:tc>
          <w:tcPr>
            <w:tcW w:w="0" w:type="auto"/>
            <w:shd w:val="clear" w:color="auto" w:fill="CCEEFF"/>
            <w:vAlign w:val="bottom"/>
          </w:tcPr>
          <w:p w14:paraId="42A124E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4E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4E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2,965</w:t>
            </w:r>
          </w:p>
        </w:tc>
        <w:tc>
          <w:tcPr>
            <w:tcW w:w="0" w:type="auto"/>
            <w:shd w:val="clear" w:color="auto" w:fill="CCEEFF"/>
            <w:vAlign w:val="bottom"/>
          </w:tcPr>
          <w:p w14:paraId="42A124EC" w14:textId="77777777" w:rsidR="00BB68E1" w:rsidRDefault="00BB68E1">
            <w:pPr>
              <w:textAlignment w:val="bottom"/>
              <w:rPr>
                <w:rFonts w:ascii="Times New Roman" w:hAnsi="Times New Roman"/>
                <w:sz w:val="20"/>
                <w:szCs w:val="20"/>
              </w:rPr>
            </w:pPr>
          </w:p>
        </w:tc>
      </w:tr>
      <w:tr w:rsidR="00BB68E1" w14:paraId="42A124F5" w14:textId="77777777">
        <w:trPr>
          <w:jc w:val="center"/>
        </w:trPr>
        <w:tc>
          <w:tcPr>
            <w:tcW w:w="0" w:type="auto"/>
            <w:shd w:val="clear" w:color="auto" w:fill="auto"/>
            <w:tcMar>
              <w:top w:w="40" w:type="dxa"/>
              <w:left w:w="560" w:type="dxa"/>
              <w:bottom w:w="40" w:type="dxa"/>
              <w:right w:w="40" w:type="dxa"/>
            </w:tcMar>
            <w:vAlign w:val="center"/>
          </w:tcPr>
          <w:p w14:paraId="42A124E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Retained earnings</w:t>
            </w:r>
          </w:p>
        </w:tc>
        <w:tc>
          <w:tcPr>
            <w:tcW w:w="0" w:type="auto"/>
            <w:shd w:val="clear" w:color="auto" w:fill="auto"/>
            <w:tcMar>
              <w:top w:w="40" w:type="dxa"/>
              <w:left w:w="40" w:type="dxa"/>
              <w:bottom w:w="40" w:type="dxa"/>
              <w:right w:w="40" w:type="dxa"/>
            </w:tcMar>
            <w:vAlign w:val="bottom"/>
          </w:tcPr>
          <w:p w14:paraId="42A124E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F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83,943</w:t>
            </w:r>
          </w:p>
        </w:tc>
        <w:tc>
          <w:tcPr>
            <w:tcW w:w="0" w:type="auto"/>
            <w:shd w:val="clear" w:color="auto" w:fill="auto"/>
            <w:vAlign w:val="bottom"/>
          </w:tcPr>
          <w:p w14:paraId="42A124F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4F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4F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80,785</w:t>
            </w:r>
          </w:p>
        </w:tc>
        <w:tc>
          <w:tcPr>
            <w:tcW w:w="0" w:type="auto"/>
            <w:shd w:val="clear" w:color="auto" w:fill="auto"/>
            <w:vAlign w:val="bottom"/>
          </w:tcPr>
          <w:p w14:paraId="42A124F4" w14:textId="77777777" w:rsidR="00BB68E1" w:rsidRDefault="00BB68E1">
            <w:pPr>
              <w:textAlignment w:val="bottom"/>
              <w:rPr>
                <w:rFonts w:ascii="Times New Roman" w:hAnsi="Times New Roman"/>
                <w:sz w:val="20"/>
                <w:szCs w:val="20"/>
              </w:rPr>
            </w:pPr>
          </w:p>
        </w:tc>
      </w:tr>
      <w:tr w:rsidR="00BB68E1" w14:paraId="42A124FD" w14:textId="77777777">
        <w:trPr>
          <w:jc w:val="center"/>
        </w:trPr>
        <w:tc>
          <w:tcPr>
            <w:tcW w:w="0" w:type="auto"/>
            <w:shd w:val="clear" w:color="auto" w:fill="CCEEFF"/>
            <w:tcMar>
              <w:top w:w="40" w:type="dxa"/>
              <w:left w:w="560" w:type="dxa"/>
              <w:bottom w:w="40" w:type="dxa"/>
              <w:right w:w="40" w:type="dxa"/>
            </w:tcMar>
            <w:vAlign w:val="center"/>
          </w:tcPr>
          <w:p w14:paraId="42A124F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Accumulated other comprehensive loss</w:t>
            </w:r>
          </w:p>
        </w:tc>
        <w:tc>
          <w:tcPr>
            <w:tcW w:w="0" w:type="auto"/>
            <w:shd w:val="clear" w:color="auto" w:fill="CCEEFF"/>
            <w:tcMar>
              <w:top w:w="40" w:type="dxa"/>
              <w:left w:w="40" w:type="dxa"/>
              <w:bottom w:w="40" w:type="dxa"/>
              <w:right w:w="40" w:type="dxa"/>
            </w:tcMar>
            <w:vAlign w:val="bottom"/>
          </w:tcPr>
          <w:p w14:paraId="42A124F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4F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(12,805</w:t>
            </w:r>
          </w:p>
        </w:tc>
        <w:tc>
          <w:tcPr>
            <w:tcW w:w="0" w:type="auto"/>
            <w:tcBorders>
              <w:bottom w:val="single" w:sz="8" w:space="0" w:color="000000"/>
            </w:tcBorders>
            <w:shd w:val="clear" w:color="auto" w:fill="CCEEFF"/>
            <w:tcMar>
              <w:top w:w="40" w:type="dxa"/>
              <w:bottom w:w="40" w:type="dxa"/>
              <w:right w:w="40" w:type="dxa"/>
            </w:tcMar>
            <w:vAlign w:val="center"/>
          </w:tcPr>
          <w:p w14:paraId="42A124F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4F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4F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(11,542</w:t>
            </w:r>
          </w:p>
        </w:tc>
        <w:tc>
          <w:tcPr>
            <w:tcW w:w="0" w:type="auto"/>
            <w:tcBorders>
              <w:bottom w:val="single" w:sz="8" w:space="0" w:color="000000"/>
            </w:tcBorders>
            <w:shd w:val="clear" w:color="auto" w:fill="CCEEFF"/>
            <w:tcMar>
              <w:top w:w="40" w:type="dxa"/>
              <w:bottom w:w="40" w:type="dxa"/>
              <w:right w:w="40" w:type="dxa"/>
            </w:tcMar>
            <w:vAlign w:val="center"/>
          </w:tcPr>
          <w:p w14:paraId="42A124F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505" w14:textId="77777777">
        <w:trPr>
          <w:jc w:val="center"/>
        </w:trPr>
        <w:tc>
          <w:tcPr>
            <w:tcW w:w="0" w:type="auto"/>
            <w:shd w:val="clear" w:color="auto" w:fill="auto"/>
            <w:tcMar>
              <w:top w:w="40" w:type="dxa"/>
              <w:left w:w="1040" w:type="dxa"/>
              <w:bottom w:w="40" w:type="dxa"/>
              <w:right w:w="40" w:type="dxa"/>
            </w:tcMar>
            <w:vAlign w:val="center"/>
          </w:tcPr>
          <w:p w14:paraId="42A124F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Walmart shareholders' equity</w:t>
            </w:r>
          </w:p>
        </w:tc>
        <w:tc>
          <w:tcPr>
            <w:tcW w:w="0" w:type="auto"/>
            <w:shd w:val="clear" w:color="auto" w:fill="auto"/>
            <w:tcMar>
              <w:top w:w="40" w:type="dxa"/>
              <w:left w:w="40" w:type="dxa"/>
              <w:bottom w:w="40" w:type="dxa"/>
              <w:right w:w="40" w:type="dxa"/>
            </w:tcMar>
            <w:vAlign w:val="bottom"/>
          </w:tcPr>
          <w:p w14:paraId="42A124F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50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74,669</w:t>
            </w:r>
          </w:p>
        </w:tc>
        <w:tc>
          <w:tcPr>
            <w:tcW w:w="0" w:type="auto"/>
            <w:shd w:val="clear" w:color="auto" w:fill="auto"/>
            <w:vAlign w:val="bottom"/>
          </w:tcPr>
          <w:p w14:paraId="42A1250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50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50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72,496</w:t>
            </w:r>
          </w:p>
        </w:tc>
        <w:tc>
          <w:tcPr>
            <w:tcW w:w="0" w:type="auto"/>
            <w:shd w:val="clear" w:color="auto" w:fill="auto"/>
            <w:vAlign w:val="bottom"/>
          </w:tcPr>
          <w:p w14:paraId="42A12504" w14:textId="77777777" w:rsidR="00BB68E1" w:rsidRDefault="00BB68E1">
            <w:pPr>
              <w:textAlignment w:val="bottom"/>
              <w:rPr>
                <w:rFonts w:ascii="Times New Roman" w:hAnsi="Times New Roman"/>
                <w:sz w:val="20"/>
                <w:szCs w:val="20"/>
              </w:rPr>
            </w:pPr>
          </w:p>
        </w:tc>
      </w:tr>
      <w:tr w:rsidR="00BB68E1" w14:paraId="42A1250D" w14:textId="77777777">
        <w:trPr>
          <w:jc w:val="center"/>
        </w:trPr>
        <w:tc>
          <w:tcPr>
            <w:tcW w:w="0" w:type="auto"/>
            <w:shd w:val="clear" w:color="auto" w:fill="CCEEFF"/>
            <w:tcMar>
              <w:top w:w="40" w:type="dxa"/>
              <w:left w:w="560" w:type="dxa"/>
              <w:bottom w:w="40" w:type="dxa"/>
              <w:right w:w="40" w:type="dxa"/>
            </w:tcMar>
            <w:vAlign w:val="center"/>
          </w:tcPr>
          <w:p w14:paraId="42A1250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Noncontrolling interest</w:t>
            </w:r>
          </w:p>
        </w:tc>
        <w:tc>
          <w:tcPr>
            <w:tcW w:w="0" w:type="auto"/>
            <w:shd w:val="clear" w:color="auto" w:fill="CCEEFF"/>
            <w:tcMar>
              <w:top w:w="40" w:type="dxa"/>
              <w:left w:w="40" w:type="dxa"/>
              <w:bottom w:w="40" w:type="dxa"/>
              <w:right w:w="40" w:type="dxa"/>
            </w:tcMar>
            <w:vAlign w:val="bottom"/>
          </w:tcPr>
          <w:p w14:paraId="42A1250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50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6,883</w:t>
            </w:r>
          </w:p>
        </w:tc>
        <w:tc>
          <w:tcPr>
            <w:tcW w:w="0" w:type="auto"/>
            <w:tcBorders>
              <w:bottom w:val="single" w:sz="8" w:space="0" w:color="000000"/>
            </w:tcBorders>
            <w:shd w:val="clear" w:color="auto" w:fill="CCEEFF"/>
            <w:vAlign w:val="bottom"/>
          </w:tcPr>
          <w:p w14:paraId="42A1250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50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50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7,138</w:t>
            </w:r>
          </w:p>
        </w:tc>
        <w:tc>
          <w:tcPr>
            <w:tcW w:w="0" w:type="auto"/>
            <w:tcBorders>
              <w:bottom w:val="single" w:sz="8" w:space="0" w:color="000000"/>
            </w:tcBorders>
            <w:shd w:val="clear" w:color="auto" w:fill="CCEEFF"/>
            <w:vAlign w:val="bottom"/>
          </w:tcPr>
          <w:p w14:paraId="42A1250C" w14:textId="77777777" w:rsidR="00BB68E1" w:rsidRDefault="00BB68E1">
            <w:pPr>
              <w:textAlignment w:val="bottom"/>
              <w:rPr>
                <w:rFonts w:ascii="Times New Roman" w:hAnsi="Times New Roman"/>
                <w:sz w:val="20"/>
                <w:szCs w:val="20"/>
              </w:rPr>
            </w:pPr>
          </w:p>
        </w:tc>
      </w:tr>
      <w:tr w:rsidR="00BB68E1" w14:paraId="42A12515" w14:textId="77777777">
        <w:trPr>
          <w:jc w:val="center"/>
        </w:trPr>
        <w:tc>
          <w:tcPr>
            <w:tcW w:w="0" w:type="auto"/>
            <w:shd w:val="clear" w:color="auto" w:fill="auto"/>
            <w:tcMar>
              <w:top w:w="40" w:type="dxa"/>
              <w:left w:w="1040" w:type="dxa"/>
              <w:bottom w:w="40" w:type="dxa"/>
              <w:right w:w="40" w:type="dxa"/>
            </w:tcMar>
            <w:vAlign w:val="center"/>
          </w:tcPr>
          <w:p w14:paraId="42A1250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equity</w:t>
            </w:r>
          </w:p>
        </w:tc>
        <w:tc>
          <w:tcPr>
            <w:tcW w:w="0" w:type="auto"/>
            <w:shd w:val="clear" w:color="auto" w:fill="auto"/>
            <w:tcMar>
              <w:top w:w="40" w:type="dxa"/>
              <w:left w:w="40" w:type="dxa"/>
              <w:bottom w:w="40" w:type="dxa"/>
              <w:right w:w="40" w:type="dxa"/>
            </w:tcMar>
            <w:vAlign w:val="bottom"/>
          </w:tcPr>
          <w:p w14:paraId="42A1250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51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81,552</w:t>
            </w:r>
          </w:p>
        </w:tc>
        <w:tc>
          <w:tcPr>
            <w:tcW w:w="0" w:type="auto"/>
            <w:tcBorders>
              <w:bottom w:val="single" w:sz="8" w:space="0" w:color="000000"/>
            </w:tcBorders>
            <w:shd w:val="clear" w:color="auto" w:fill="auto"/>
            <w:vAlign w:val="bottom"/>
          </w:tcPr>
          <w:p w14:paraId="42A1251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5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51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79,634</w:t>
            </w:r>
          </w:p>
        </w:tc>
        <w:tc>
          <w:tcPr>
            <w:tcW w:w="0" w:type="auto"/>
            <w:tcBorders>
              <w:bottom w:val="single" w:sz="8" w:space="0" w:color="000000"/>
            </w:tcBorders>
            <w:shd w:val="clear" w:color="auto" w:fill="auto"/>
            <w:vAlign w:val="bottom"/>
          </w:tcPr>
          <w:p w14:paraId="42A12514" w14:textId="77777777" w:rsidR="00BB68E1" w:rsidRDefault="00BB68E1">
            <w:pPr>
              <w:textAlignment w:val="bottom"/>
              <w:rPr>
                <w:rFonts w:ascii="Times New Roman" w:hAnsi="Times New Roman"/>
                <w:sz w:val="20"/>
                <w:szCs w:val="20"/>
              </w:rPr>
            </w:pPr>
          </w:p>
        </w:tc>
      </w:tr>
      <w:tr w:rsidR="00BB68E1" w14:paraId="42A1251F" w14:textId="77777777">
        <w:trPr>
          <w:jc w:val="center"/>
        </w:trPr>
        <w:tc>
          <w:tcPr>
            <w:tcW w:w="0" w:type="auto"/>
            <w:shd w:val="clear" w:color="auto" w:fill="CCEEFF"/>
            <w:tcMar>
              <w:top w:w="40" w:type="dxa"/>
              <w:left w:w="40" w:type="dxa"/>
              <w:bottom w:w="40" w:type="dxa"/>
              <w:right w:w="40" w:type="dxa"/>
            </w:tcMar>
            <w:vAlign w:val="center"/>
          </w:tcPr>
          <w:p w14:paraId="42A12516"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liabilities and equity</w:t>
            </w:r>
          </w:p>
        </w:tc>
        <w:tc>
          <w:tcPr>
            <w:tcW w:w="0" w:type="auto"/>
            <w:shd w:val="clear" w:color="auto" w:fill="CCEEFF"/>
            <w:tcMar>
              <w:top w:w="40" w:type="dxa"/>
              <w:left w:w="40" w:type="dxa"/>
              <w:bottom w:w="40" w:type="dxa"/>
              <w:right w:w="40" w:type="dxa"/>
            </w:tcMar>
            <w:vAlign w:val="bottom"/>
          </w:tcPr>
          <w:p w14:paraId="42A1251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251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251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236,495</w:t>
            </w:r>
          </w:p>
        </w:tc>
        <w:tc>
          <w:tcPr>
            <w:tcW w:w="0" w:type="auto"/>
            <w:tcBorders>
              <w:bottom w:val="double" w:sz="6" w:space="0" w:color="000000"/>
            </w:tcBorders>
            <w:shd w:val="clear" w:color="auto" w:fill="CCEEFF"/>
            <w:vAlign w:val="bottom"/>
          </w:tcPr>
          <w:p w14:paraId="42A1251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51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251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251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219,295</w:t>
            </w:r>
          </w:p>
        </w:tc>
        <w:tc>
          <w:tcPr>
            <w:tcW w:w="0" w:type="auto"/>
            <w:tcBorders>
              <w:bottom w:val="double" w:sz="6" w:space="0" w:color="000000"/>
            </w:tcBorders>
            <w:shd w:val="clear" w:color="auto" w:fill="CCEEFF"/>
            <w:vAlign w:val="bottom"/>
          </w:tcPr>
          <w:p w14:paraId="42A1251E" w14:textId="77777777" w:rsidR="00BB68E1" w:rsidRDefault="00BB68E1">
            <w:pPr>
              <w:textAlignment w:val="bottom"/>
              <w:rPr>
                <w:rFonts w:ascii="Times New Roman" w:hAnsi="Times New Roman"/>
                <w:sz w:val="20"/>
                <w:szCs w:val="20"/>
              </w:rPr>
            </w:pPr>
          </w:p>
        </w:tc>
      </w:tr>
    </w:tbl>
    <w:p w14:paraId="42A12520" w14:textId="77777777" w:rsidR="00BB68E1" w:rsidRDefault="005D2D5E">
      <w:pPr>
        <w:spacing w:line="288" w:lineRule="auto"/>
        <w:rPr>
          <w:rFonts w:ascii="Times New Roman" w:hAnsi="Times New Roman"/>
          <w:sz w:val="16"/>
          <w:szCs w:val="16"/>
        </w:rPr>
      </w:pPr>
      <w:r>
        <w:rPr>
          <w:rFonts w:ascii="Times New Roman" w:eastAsia="宋体" w:hAnsi="Times New Roman"/>
          <w:i/>
          <w:iCs/>
          <w:sz w:val="16"/>
          <w:szCs w:val="16"/>
        </w:rPr>
        <w:t xml:space="preserve">See accompanying notes. </w:t>
      </w:r>
    </w:p>
    <w:p w14:paraId="42A12521" w14:textId="77777777" w:rsidR="00BB68E1" w:rsidRDefault="00BB68E1">
      <w:pPr>
        <w:rPr>
          <w:rFonts w:ascii="Times New Roman" w:hAnsi="Times New Roman"/>
          <w:sz w:val="20"/>
          <w:szCs w:val="20"/>
        </w:rPr>
      </w:pPr>
    </w:p>
    <w:p w14:paraId="42A12522"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52</w:t>
      </w:r>
    </w:p>
    <w:p w14:paraId="42A12523" w14:textId="77777777" w:rsidR="00BB68E1" w:rsidRDefault="00BB68E1">
      <w:pPr>
        <w:spacing w:line="288" w:lineRule="auto"/>
        <w:jc w:val="center"/>
        <w:rPr>
          <w:rFonts w:ascii="Times New Roman" w:hAnsi="Times New Roman"/>
          <w:sz w:val="20"/>
          <w:szCs w:val="20"/>
        </w:rPr>
      </w:pPr>
    </w:p>
    <w:p w14:paraId="42A12524" w14:textId="77777777" w:rsidR="00BB68E1" w:rsidRDefault="005D2D5E">
      <w:r>
        <w:rPr>
          <w:rFonts w:ascii="Times New Roman" w:hAnsi="Times New Roman"/>
          <w:sz w:val="20"/>
          <w:szCs w:val="20"/>
        </w:rPr>
        <w:pict w14:anchorId="42A142AB">
          <v:rect id="_x0000_i1076" style="width:415.3pt;height:1.5pt" o:hralign="center" o:hrstd="t" o:hr="t" fillcolor="#a0a0a0" stroked="f"/>
        </w:pict>
      </w:r>
    </w:p>
    <w:p w14:paraId="42A12525" w14:textId="77777777" w:rsidR="00BB68E1" w:rsidRDefault="00BB68E1">
      <w:pPr>
        <w:spacing w:line="288" w:lineRule="auto"/>
        <w:rPr>
          <w:rFonts w:ascii="Times New Roman" w:hAnsi="Times New Roman"/>
          <w:sz w:val="20"/>
          <w:szCs w:val="20"/>
        </w:rPr>
      </w:pPr>
    </w:p>
    <w:p w14:paraId="42A12526" w14:textId="77777777" w:rsidR="00BB68E1" w:rsidRDefault="00BB68E1">
      <w:pPr>
        <w:rPr>
          <w:rFonts w:ascii="Times New Roman" w:hAnsi="Times New Roman"/>
          <w:sz w:val="20"/>
          <w:szCs w:val="20"/>
        </w:rPr>
      </w:pPr>
    </w:p>
    <w:p w14:paraId="42A12527"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42A12528"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Consolidated Statements of Shareholders' Equity</w:t>
      </w:r>
    </w:p>
    <w:p w14:paraId="42A12529" w14:textId="77777777" w:rsidR="00BB68E1" w:rsidRDefault="00BB68E1">
      <w:pPr>
        <w:spacing w:line="288" w:lineRule="auto"/>
        <w:jc w:val="cente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027"/>
        <w:gridCol w:w="391"/>
        <w:gridCol w:w="93"/>
        <w:gridCol w:w="129"/>
        <w:gridCol w:w="120"/>
        <w:gridCol w:w="414"/>
        <w:gridCol w:w="104"/>
        <w:gridCol w:w="128"/>
        <w:gridCol w:w="127"/>
        <w:gridCol w:w="495"/>
        <w:gridCol w:w="125"/>
        <w:gridCol w:w="128"/>
        <w:gridCol w:w="120"/>
        <w:gridCol w:w="448"/>
        <w:gridCol w:w="113"/>
        <w:gridCol w:w="128"/>
        <w:gridCol w:w="126"/>
        <w:gridCol w:w="863"/>
        <w:gridCol w:w="124"/>
        <w:gridCol w:w="128"/>
        <w:gridCol w:w="127"/>
        <w:gridCol w:w="749"/>
        <w:gridCol w:w="126"/>
        <w:gridCol w:w="128"/>
        <w:gridCol w:w="123"/>
        <w:gridCol w:w="837"/>
        <w:gridCol w:w="120"/>
        <w:gridCol w:w="128"/>
        <w:gridCol w:w="119"/>
        <w:gridCol w:w="426"/>
        <w:gridCol w:w="92"/>
      </w:tblGrid>
      <w:tr w:rsidR="00BB68E1" w14:paraId="42A1252B" w14:textId="77777777">
        <w:tc>
          <w:tcPr>
            <w:tcW w:w="0" w:type="auto"/>
            <w:gridSpan w:val="31"/>
            <w:shd w:val="clear" w:color="auto" w:fill="auto"/>
            <w:vAlign w:val="center"/>
          </w:tcPr>
          <w:p w14:paraId="42A1252A" w14:textId="77777777" w:rsidR="00BB68E1" w:rsidRDefault="00BB68E1">
            <w:pPr>
              <w:rPr>
                <w:rFonts w:ascii="Times New Roman" w:hAnsi="Times New Roman"/>
                <w:sz w:val="20"/>
                <w:szCs w:val="20"/>
              </w:rPr>
            </w:pPr>
          </w:p>
        </w:tc>
      </w:tr>
      <w:tr w:rsidR="00BB68E1" w14:paraId="42A1254B" w14:textId="77777777">
        <w:tc>
          <w:tcPr>
            <w:tcW w:w="1800" w:type="pct"/>
            <w:shd w:val="clear" w:color="auto" w:fill="auto"/>
            <w:vAlign w:val="center"/>
          </w:tcPr>
          <w:p w14:paraId="42A1252C" w14:textId="77777777" w:rsidR="00BB68E1" w:rsidRDefault="00BB68E1">
            <w:pPr>
              <w:rPr>
                <w:rFonts w:ascii="Times New Roman" w:hAnsi="Times New Roman"/>
                <w:sz w:val="20"/>
                <w:szCs w:val="20"/>
              </w:rPr>
            </w:pPr>
          </w:p>
        </w:tc>
        <w:tc>
          <w:tcPr>
            <w:tcW w:w="250" w:type="pct"/>
            <w:shd w:val="clear" w:color="auto" w:fill="auto"/>
            <w:vAlign w:val="center"/>
          </w:tcPr>
          <w:p w14:paraId="42A1252D" w14:textId="77777777" w:rsidR="00BB68E1" w:rsidRDefault="00BB68E1">
            <w:pPr>
              <w:rPr>
                <w:rFonts w:ascii="Times New Roman" w:hAnsi="Times New Roman"/>
                <w:sz w:val="20"/>
                <w:szCs w:val="20"/>
              </w:rPr>
            </w:pPr>
          </w:p>
        </w:tc>
        <w:tc>
          <w:tcPr>
            <w:tcW w:w="50" w:type="pct"/>
            <w:shd w:val="clear" w:color="auto" w:fill="auto"/>
            <w:vAlign w:val="center"/>
          </w:tcPr>
          <w:p w14:paraId="42A1252E" w14:textId="77777777" w:rsidR="00BB68E1" w:rsidRDefault="00BB68E1">
            <w:pPr>
              <w:rPr>
                <w:rFonts w:ascii="Times New Roman" w:hAnsi="Times New Roman"/>
                <w:sz w:val="20"/>
                <w:szCs w:val="20"/>
              </w:rPr>
            </w:pPr>
          </w:p>
        </w:tc>
        <w:tc>
          <w:tcPr>
            <w:tcW w:w="50" w:type="pct"/>
            <w:shd w:val="clear" w:color="auto" w:fill="auto"/>
            <w:vAlign w:val="center"/>
          </w:tcPr>
          <w:p w14:paraId="42A1252F" w14:textId="77777777" w:rsidR="00BB68E1" w:rsidRDefault="00BB68E1">
            <w:pPr>
              <w:rPr>
                <w:rFonts w:ascii="Times New Roman" w:hAnsi="Times New Roman"/>
                <w:sz w:val="20"/>
                <w:szCs w:val="20"/>
              </w:rPr>
            </w:pPr>
          </w:p>
        </w:tc>
        <w:tc>
          <w:tcPr>
            <w:tcW w:w="50" w:type="pct"/>
            <w:shd w:val="clear" w:color="auto" w:fill="auto"/>
            <w:vAlign w:val="center"/>
          </w:tcPr>
          <w:p w14:paraId="42A12530" w14:textId="77777777" w:rsidR="00BB68E1" w:rsidRDefault="00BB68E1">
            <w:pPr>
              <w:rPr>
                <w:rFonts w:ascii="Times New Roman" w:hAnsi="Times New Roman"/>
                <w:sz w:val="20"/>
                <w:szCs w:val="20"/>
              </w:rPr>
            </w:pPr>
          </w:p>
        </w:tc>
        <w:tc>
          <w:tcPr>
            <w:tcW w:w="200" w:type="pct"/>
            <w:shd w:val="clear" w:color="auto" w:fill="auto"/>
            <w:vAlign w:val="center"/>
          </w:tcPr>
          <w:p w14:paraId="42A12531" w14:textId="77777777" w:rsidR="00BB68E1" w:rsidRDefault="00BB68E1">
            <w:pPr>
              <w:rPr>
                <w:rFonts w:ascii="Times New Roman" w:hAnsi="Times New Roman"/>
                <w:sz w:val="20"/>
                <w:szCs w:val="20"/>
              </w:rPr>
            </w:pPr>
          </w:p>
        </w:tc>
        <w:tc>
          <w:tcPr>
            <w:tcW w:w="50" w:type="pct"/>
            <w:shd w:val="clear" w:color="auto" w:fill="auto"/>
            <w:vAlign w:val="center"/>
          </w:tcPr>
          <w:p w14:paraId="42A12532" w14:textId="77777777" w:rsidR="00BB68E1" w:rsidRDefault="00BB68E1">
            <w:pPr>
              <w:rPr>
                <w:rFonts w:ascii="Times New Roman" w:hAnsi="Times New Roman"/>
                <w:sz w:val="20"/>
                <w:szCs w:val="20"/>
              </w:rPr>
            </w:pPr>
          </w:p>
        </w:tc>
        <w:tc>
          <w:tcPr>
            <w:tcW w:w="50" w:type="pct"/>
            <w:shd w:val="clear" w:color="auto" w:fill="auto"/>
            <w:vAlign w:val="center"/>
          </w:tcPr>
          <w:p w14:paraId="42A12533" w14:textId="77777777" w:rsidR="00BB68E1" w:rsidRDefault="00BB68E1">
            <w:pPr>
              <w:rPr>
                <w:rFonts w:ascii="Times New Roman" w:hAnsi="Times New Roman"/>
                <w:sz w:val="20"/>
                <w:szCs w:val="20"/>
              </w:rPr>
            </w:pPr>
          </w:p>
        </w:tc>
        <w:tc>
          <w:tcPr>
            <w:tcW w:w="50" w:type="pct"/>
            <w:shd w:val="clear" w:color="auto" w:fill="auto"/>
            <w:vAlign w:val="center"/>
          </w:tcPr>
          <w:p w14:paraId="42A12534" w14:textId="77777777" w:rsidR="00BB68E1" w:rsidRDefault="00BB68E1">
            <w:pPr>
              <w:rPr>
                <w:rFonts w:ascii="Times New Roman" w:hAnsi="Times New Roman"/>
                <w:sz w:val="20"/>
                <w:szCs w:val="20"/>
              </w:rPr>
            </w:pPr>
          </w:p>
        </w:tc>
        <w:tc>
          <w:tcPr>
            <w:tcW w:w="200" w:type="pct"/>
            <w:shd w:val="clear" w:color="auto" w:fill="auto"/>
            <w:vAlign w:val="center"/>
          </w:tcPr>
          <w:p w14:paraId="42A12535" w14:textId="77777777" w:rsidR="00BB68E1" w:rsidRDefault="00BB68E1">
            <w:pPr>
              <w:rPr>
                <w:rFonts w:ascii="Times New Roman" w:hAnsi="Times New Roman"/>
                <w:sz w:val="20"/>
                <w:szCs w:val="20"/>
              </w:rPr>
            </w:pPr>
          </w:p>
        </w:tc>
        <w:tc>
          <w:tcPr>
            <w:tcW w:w="50" w:type="pct"/>
            <w:shd w:val="clear" w:color="auto" w:fill="auto"/>
            <w:vAlign w:val="center"/>
          </w:tcPr>
          <w:p w14:paraId="42A12536" w14:textId="77777777" w:rsidR="00BB68E1" w:rsidRDefault="00BB68E1">
            <w:pPr>
              <w:rPr>
                <w:rFonts w:ascii="Times New Roman" w:hAnsi="Times New Roman"/>
                <w:sz w:val="20"/>
                <w:szCs w:val="20"/>
              </w:rPr>
            </w:pPr>
          </w:p>
        </w:tc>
        <w:tc>
          <w:tcPr>
            <w:tcW w:w="50" w:type="pct"/>
            <w:shd w:val="clear" w:color="auto" w:fill="auto"/>
            <w:vAlign w:val="center"/>
          </w:tcPr>
          <w:p w14:paraId="42A12537" w14:textId="77777777" w:rsidR="00BB68E1" w:rsidRDefault="00BB68E1">
            <w:pPr>
              <w:rPr>
                <w:rFonts w:ascii="Times New Roman" w:hAnsi="Times New Roman"/>
                <w:sz w:val="20"/>
                <w:szCs w:val="20"/>
              </w:rPr>
            </w:pPr>
          </w:p>
        </w:tc>
        <w:tc>
          <w:tcPr>
            <w:tcW w:w="50" w:type="pct"/>
            <w:shd w:val="clear" w:color="auto" w:fill="auto"/>
            <w:vAlign w:val="center"/>
          </w:tcPr>
          <w:p w14:paraId="42A12538" w14:textId="77777777" w:rsidR="00BB68E1" w:rsidRDefault="00BB68E1">
            <w:pPr>
              <w:rPr>
                <w:rFonts w:ascii="Times New Roman" w:hAnsi="Times New Roman"/>
                <w:sz w:val="20"/>
                <w:szCs w:val="20"/>
              </w:rPr>
            </w:pPr>
          </w:p>
        </w:tc>
        <w:tc>
          <w:tcPr>
            <w:tcW w:w="200" w:type="pct"/>
            <w:shd w:val="clear" w:color="auto" w:fill="auto"/>
            <w:vAlign w:val="center"/>
          </w:tcPr>
          <w:p w14:paraId="42A12539" w14:textId="77777777" w:rsidR="00BB68E1" w:rsidRDefault="00BB68E1">
            <w:pPr>
              <w:rPr>
                <w:rFonts w:ascii="Times New Roman" w:hAnsi="Times New Roman"/>
                <w:sz w:val="20"/>
                <w:szCs w:val="20"/>
              </w:rPr>
            </w:pPr>
          </w:p>
        </w:tc>
        <w:tc>
          <w:tcPr>
            <w:tcW w:w="50" w:type="pct"/>
            <w:shd w:val="clear" w:color="auto" w:fill="auto"/>
            <w:vAlign w:val="center"/>
          </w:tcPr>
          <w:p w14:paraId="42A1253A" w14:textId="77777777" w:rsidR="00BB68E1" w:rsidRDefault="00BB68E1">
            <w:pPr>
              <w:rPr>
                <w:rFonts w:ascii="Times New Roman" w:hAnsi="Times New Roman"/>
                <w:sz w:val="20"/>
                <w:szCs w:val="20"/>
              </w:rPr>
            </w:pPr>
          </w:p>
        </w:tc>
        <w:tc>
          <w:tcPr>
            <w:tcW w:w="50" w:type="pct"/>
            <w:shd w:val="clear" w:color="auto" w:fill="auto"/>
            <w:vAlign w:val="center"/>
          </w:tcPr>
          <w:p w14:paraId="42A1253B" w14:textId="77777777" w:rsidR="00BB68E1" w:rsidRDefault="00BB68E1">
            <w:pPr>
              <w:rPr>
                <w:rFonts w:ascii="Times New Roman" w:hAnsi="Times New Roman"/>
                <w:sz w:val="20"/>
                <w:szCs w:val="20"/>
              </w:rPr>
            </w:pPr>
          </w:p>
        </w:tc>
        <w:tc>
          <w:tcPr>
            <w:tcW w:w="50" w:type="pct"/>
            <w:shd w:val="clear" w:color="auto" w:fill="auto"/>
            <w:vAlign w:val="center"/>
          </w:tcPr>
          <w:p w14:paraId="42A1253C" w14:textId="77777777" w:rsidR="00BB68E1" w:rsidRDefault="00BB68E1">
            <w:pPr>
              <w:rPr>
                <w:rFonts w:ascii="Times New Roman" w:hAnsi="Times New Roman"/>
                <w:sz w:val="20"/>
                <w:szCs w:val="20"/>
              </w:rPr>
            </w:pPr>
          </w:p>
        </w:tc>
        <w:tc>
          <w:tcPr>
            <w:tcW w:w="350" w:type="pct"/>
            <w:shd w:val="clear" w:color="auto" w:fill="auto"/>
            <w:vAlign w:val="center"/>
          </w:tcPr>
          <w:p w14:paraId="42A1253D" w14:textId="77777777" w:rsidR="00BB68E1" w:rsidRDefault="00BB68E1">
            <w:pPr>
              <w:rPr>
                <w:rFonts w:ascii="Times New Roman" w:hAnsi="Times New Roman"/>
                <w:sz w:val="20"/>
                <w:szCs w:val="20"/>
              </w:rPr>
            </w:pPr>
          </w:p>
        </w:tc>
        <w:tc>
          <w:tcPr>
            <w:tcW w:w="50" w:type="pct"/>
            <w:shd w:val="clear" w:color="auto" w:fill="auto"/>
            <w:vAlign w:val="center"/>
          </w:tcPr>
          <w:p w14:paraId="42A1253E" w14:textId="77777777" w:rsidR="00BB68E1" w:rsidRDefault="00BB68E1">
            <w:pPr>
              <w:rPr>
                <w:rFonts w:ascii="Times New Roman" w:hAnsi="Times New Roman"/>
                <w:sz w:val="20"/>
                <w:szCs w:val="20"/>
              </w:rPr>
            </w:pPr>
          </w:p>
        </w:tc>
        <w:tc>
          <w:tcPr>
            <w:tcW w:w="50" w:type="pct"/>
            <w:shd w:val="clear" w:color="auto" w:fill="auto"/>
            <w:vAlign w:val="center"/>
          </w:tcPr>
          <w:p w14:paraId="42A1253F" w14:textId="77777777" w:rsidR="00BB68E1" w:rsidRDefault="00BB68E1">
            <w:pPr>
              <w:rPr>
                <w:rFonts w:ascii="Times New Roman" w:hAnsi="Times New Roman"/>
                <w:sz w:val="20"/>
                <w:szCs w:val="20"/>
              </w:rPr>
            </w:pPr>
          </w:p>
        </w:tc>
        <w:tc>
          <w:tcPr>
            <w:tcW w:w="50" w:type="pct"/>
            <w:shd w:val="clear" w:color="auto" w:fill="auto"/>
            <w:vAlign w:val="center"/>
          </w:tcPr>
          <w:p w14:paraId="42A12540" w14:textId="77777777" w:rsidR="00BB68E1" w:rsidRDefault="00BB68E1">
            <w:pPr>
              <w:rPr>
                <w:rFonts w:ascii="Times New Roman" w:hAnsi="Times New Roman"/>
                <w:sz w:val="20"/>
                <w:szCs w:val="20"/>
              </w:rPr>
            </w:pPr>
          </w:p>
        </w:tc>
        <w:tc>
          <w:tcPr>
            <w:tcW w:w="300" w:type="pct"/>
            <w:shd w:val="clear" w:color="auto" w:fill="auto"/>
            <w:vAlign w:val="center"/>
          </w:tcPr>
          <w:p w14:paraId="42A12541" w14:textId="77777777" w:rsidR="00BB68E1" w:rsidRDefault="00BB68E1">
            <w:pPr>
              <w:rPr>
                <w:rFonts w:ascii="Times New Roman" w:hAnsi="Times New Roman"/>
                <w:sz w:val="20"/>
                <w:szCs w:val="20"/>
              </w:rPr>
            </w:pPr>
          </w:p>
        </w:tc>
        <w:tc>
          <w:tcPr>
            <w:tcW w:w="50" w:type="pct"/>
            <w:shd w:val="clear" w:color="auto" w:fill="auto"/>
            <w:vAlign w:val="center"/>
          </w:tcPr>
          <w:p w14:paraId="42A12542" w14:textId="77777777" w:rsidR="00BB68E1" w:rsidRDefault="00BB68E1">
            <w:pPr>
              <w:rPr>
                <w:rFonts w:ascii="Times New Roman" w:hAnsi="Times New Roman"/>
                <w:sz w:val="20"/>
                <w:szCs w:val="20"/>
              </w:rPr>
            </w:pPr>
          </w:p>
        </w:tc>
        <w:tc>
          <w:tcPr>
            <w:tcW w:w="50" w:type="pct"/>
            <w:shd w:val="clear" w:color="auto" w:fill="auto"/>
            <w:vAlign w:val="center"/>
          </w:tcPr>
          <w:p w14:paraId="42A12543" w14:textId="77777777" w:rsidR="00BB68E1" w:rsidRDefault="00BB68E1">
            <w:pPr>
              <w:rPr>
                <w:rFonts w:ascii="Times New Roman" w:hAnsi="Times New Roman"/>
                <w:sz w:val="20"/>
                <w:szCs w:val="20"/>
              </w:rPr>
            </w:pPr>
          </w:p>
        </w:tc>
        <w:tc>
          <w:tcPr>
            <w:tcW w:w="50" w:type="pct"/>
            <w:shd w:val="clear" w:color="auto" w:fill="auto"/>
            <w:vAlign w:val="center"/>
          </w:tcPr>
          <w:p w14:paraId="42A12544" w14:textId="77777777" w:rsidR="00BB68E1" w:rsidRDefault="00BB68E1">
            <w:pPr>
              <w:rPr>
                <w:rFonts w:ascii="Times New Roman" w:hAnsi="Times New Roman"/>
                <w:sz w:val="20"/>
                <w:szCs w:val="20"/>
              </w:rPr>
            </w:pPr>
          </w:p>
        </w:tc>
        <w:tc>
          <w:tcPr>
            <w:tcW w:w="350" w:type="pct"/>
            <w:shd w:val="clear" w:color="auto" w:fill="auto"/>
            <w:vAlign w:val="center"/>
          </w:tcPr>
          <w:p w14:paraId="42A12545" w14:textId="77777777" w:rsidR="00BB68E1" w:rsidRDefault="00BB68E1">
            <w:pPr>
              <w:rPr>
                <w:rFonts w:ascii="Times New Roman" w:hAnsi="Times New Roman"/>
                <w:sz w:val="20"/>
                <w:szCs w:val="20"/>
              </w:rPr>
            </w:pPr>
          </w:p>
        </w:tc>
        <w:tc>
          <w:tcPr>
            <w:tcW w:w="50" w:type="pct"/>
            <w:shd w:val="clear" w:color="auto" w:fill="auto"/>
            <w:vAlign w:val="center"/>
          </w:tcPr>
          <w:p w14:paraId="42A12546" w14:textId="77777777" w:rsidR="00BB68E1" w:rsidRDefault="00BB68E1">
            <w:pPr>
              <w:rPr>
                <w:rFonts w:ascii="Times New Roman" w:hAnsi="Times New Roman"/>
                <w:sz w:val="20"/>
                <w:szCs w:val="20"/>
              </w:rPr>
            </w:pPr>
          </w:p>
        </w:tc>
        <w:tc>
          <w:tcPr>
            <w:tcW w:w="50" w:type="pct"/>
            <w:shd w:val="clear" w:color="auto" w:fill="auto"/>
            <w:vAlign w:val="center"/>
          </w:tcPr>
          <w:p w14:paraId="42A12547" w14:textId="77777777" w:rsidR="00BB68E1" w:rsidRDefault="00BB68E1">
            <w:pPr>
              <w:rPr>
                <w:rFonts w:ascii="Times New Roman" w:hAnsi="Times New Roman"/>
                <w:sz w:val="20"/>
                <w:szCs w:val="20"/>
              </w:rPr>
            </w:pPr>
          </w:p>
        </w:tc>
        <w:tc>
          <w:tcPr>
            <w:tcW w:w="50" w:type="pct"/>
            <w:shd w:val="clear" w:color="auto" w:fill="auto"/>
            <w:vAlign w:val="center"/>
          </w:tcPr>
          <w:p w14:paraId="42A12548" w14:textId="77777777" w:rsidR="00BB68E1" w:rsidRDefault="00BB68E1">
            <w:pPr>
              <w:rPr>
                <w:rFonts w:ascii="Times New Roman" w:hAnsi="Times New Roman"/>
                <w:sz w:val="20"/>
                <w:szCs w:val="20"/>
              </w:rPr>
            </w:pPr>
          </w:p>
        </w:tc>
        <w:tc>
          <w:tcPr>
            <w:tcW w:w="250" w:type="pct"/>
            <w:shd w:val="clear" w:color="auto" w:fill="auto"/>
            <w:vAlign w:val="center"/>
          </w:tcPr>
          <w:p w14:paraId="42A12549" w14:textId="77777777" w:rsidR="00BB68E1" w:rsidRDefault="00BB68E1">
            <w:pPr>
              <w:rPr>
                <w:rFonts w:ascii="Times New Roman" w:hAnsi="Times New Roman"/>
                <w:sz w:val="20"/>
                <w:szCs w:val="20"/>
              </w:rPr>
            </w:pPr>
          </w:p>
        </w:tc>
        <w:tc>
          <w:tcPr>
            <w:tcW w:w="50" w:type="pct"/>
            <w:shd w:val="clear" w:color="auto" w:fill="auto"/>
            <w:vAlign w:val="center"/>
          </w:tcPr>
          <w:p w14:paraId="42A1254A" w14:textId="77777777" w:rsidR="00BB68E1" w:rsidRDefault="00BB68E1">
            <w:pPr>
              <w:rPr>
                <w:rFonts w:ascii="Times New Roman" w:hAnsi="Times New Roman"/>
                <w:sz w:val="20"/>
                <w:szCs w:val="20"/>
              </w:rPr>
            </w:pPr>
          </w:p>
        </w:tc>
      </w:tr>
      <w:tr w:rsidR="00BB68E1" w14:paraId="42A1255C" w14:textId="77777777">
        <w:tc>
          <w:tcPr>
            <w:tcW w:w="0" w:type="auto"/>
            <w:shd w:val="clear" w:color="auto" w:fill="auto"/>
            <w:tcMar>
              <w:top w:w="40" w:type="dxa"/>
              <w:left w:w="40" w:type="dxa"/>
              <w:bottom w:w="40" w:type="dxa"/>
              <w:right w:w="40" w:type="dxa"/>
            </w:tcMar>
            <w:vAlign w:val="bottom"/>
          </w:tcPr>
          <w:p w14:paraId="42A1254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25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54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4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55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5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55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5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5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55"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Accumulated</w:t>
            </w:r>
          </w:p>
        </w:tc>
        <w:tc>
          <w:tcPr>
            <w:tcW w:w="0" w:type="auto"/>
            <w:shd w:val="clear" w:color="auto" w:fill="auto"/>
            <w:tcMar>
              <w:top w:w="40" w:type="dxa"/>
              <w:left w:w="40" w:type="dxa"/>
              <w:bottom w:w="40" w:type="dxa"/>
              <w:right w:w="40" w:type="dxa"/>
            </w:tcMar>
            <w:vAlign w:val="bottom"/>
          </w:tcPr>
          <w:p w14:paraId="42A1255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5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auto"/>
            <w:tcMar>
              <w:top w:w="40" w:type="dxa"/>
              <w:left w:w="40" w:type="dxa"/>
              <w:bottom w:w="40" w:type="dxa"/>
              <w:right w:w="40" w:type="dxa"/>
            </w:tcMar>
            <w:vAlign w:val="bottom"/>
          </w:tcPr>
          <w:p w14:paraId="42A1255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5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55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5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56D" w14:textId="77777777">
        <w:tc>
          <w:tcPr>
            <w:tcW w:w="0" w:type="auto"/>
            <w:shd w:val="clear" w:color="auto" w:fill="auto"/>
            <w:tcMar>
              <w:top w:w="40" w:type="dxa"/>
              <w:left w:w="40" w:type="dxa"/>
              <w:bottom w:w="40" w:type="dxa"/>
              <w:right w:w="40" w:type="dxa"/>
            </w:tcMar>
            <w:vAlign w:val="bottom"/>
          </w:tcPr>
          <w:p w14:paraId="42A1255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255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55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6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56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6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Capital in</w:t>
            </w:r>
          </w:p>
        </w:tc>
        <w:tc>
          <w:tcPr>
            <w:tcW w:w="0" w:type="auto"/>
            <w:shd w:val="clear" w:color="auto" w:fill="auto"/>
            <w:tcMar>
              <w:top w:w="40" w:type="dxa"/>
              <w:left w:w="40" w:type="dxa"/>
              <w:bottom w:w="40" w:type="dxa"/>
              <w:right w:w="40" w:type="dxa"/>
            </w:tcMar>
            <w:vAlign w:val="bottom"/>
          </w:tcPr>
          <w:p w14:paraId="42A1256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6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56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66"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Other</w:t>
            </w:r>
          </w:p>
        </w:tc>
        <w:tc>
          <w:tcPr>
            <w:tcW w:w="0" w:type="auto"/>
            <w:shd w:val="clear" w:color="auto" w:fill="auto"/>
            <w:tcMar>
              <w:top w:w="40" w:type="dxa"/>
              <w:left w:w="40" w:type="dxa"/>
              <w:bottom w:w="40" w:type="dxa"/>
              <w:right w:w="40" w:type="dxa"/>
            </w:tcMar>
            <w:vAlign w:val="bottom"/>
          </w:tcPr>
          <w:p w14:paraId="42A1256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68"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Walmart</w:t>
            </w:r>
          </w:p>
        </w:tc>
        <w:tc>
          <w:tcPr>
            <w:tcW w:w="0" w:type="auto"/>
            <w:shd w:val="clear" w:color="auto" w:fill="auto"/>
            <w:tcMar>
              <w:top w:w="40" w:type="dxa"/>
              <w:left w:w="40" w:type="dxa"/>
              <w:bottom w:w="40" w:type="dxa"/>
              <w:right w:w="40" w:type="dxa"/>
            </w:tcMar>
            <w:vAlign w:val="bottom"/>
          </w:tcPr>
          <w:p w14:paraId="42A1256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6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56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6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57C" w14:textId="77777777">
        <w:tc>
          <w:tcPr>
            <w:tcW w:w="0" w:type="auto"/>
            <w:vMerge w:val="restart"/>
            <w:shd w:val="clear" w:color="auto" w:fill="auto"/>
            <w:tcMar>
              <w:top w:w="40" w:type="dxa"/>
              <w:left w:w="40" w:type="dxa"/>
              <w:bottom w:w="40" w:type="dxa"/>
              <w:right w:w="40" w:type="dxa"/>
            </w:tcMar>
            <w:vAlign w:val="bottom"/>
          </w:tcPr>
          <w:p w14:paraId="42A1256E"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gridSpan w:val="6"/>
            <w:tcBorders>
              <w:bottom w:val="single" w:sz="8" w:space="0" w:color="000000"/>
            </w:tcBorders>
            <w:shd w:val="clear" w:color="auto" w:fill="auto"/>
            <w:tcMar>
              <w:top w:w="40" w:type="dxa"/>
              <w:bottom w:w="40" w:type="dxa"/>
            </w:tcMar>
            <w:vAlign w:val="bottom"/>
          </w:tcPr>
          <w:p w14:paraId="42A1256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Common Stock</w:t>
            </w:r>
          </w:p>
        </w:tc>
        <w:tc>
          <w:tcPr>
            <w:tcW w:w="0" w:type="auto"/>
            <w:shd w:val="clear" w:color="auto" w:fill="auto"/>
            <w:tcMar>
              <w:top w:w="40" w:type="dxa"/>
              <w:left w:w="40" w:type="dxa"/>
              <w:bottom w:w="40" w:type="dxa"/>
              <w:right w:w="40" w:type="dxa"/>
            </w:tcMar>
            <w:vAlign w:val="bottom"/>
          </w:tcPr>
          <w:p w14:paraId="42A1257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71"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Excess of</w:t>
            </w:r>
          </w:p>
        </w:tc>
        <w:tc>
          <w:tcPr>
            <w:tcW w:w="0" w:type="auto"/>
            <w:shd w:val="clear" w:color="auto" w:fill="auto"/>
            <w:tcMar>
              <w:top w:w="40" w:type="dxa"/>
              <w:left w:w="40" w:type="dxa"/>
              <w:bottom w:w="40" w:type="dxa"/>
              <w:right w:w="40" w:type="dxa"/>
            </w:tcMar>
            <w:vAlign w:val="bottom"/>
          </w:tcPr>
          <w:p w14:paraId="42A1257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7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Retained</w:t>
            </w:r>
          </w:p>
        </w:tc>
        <w:tc>
          <w:tcPr>
            <w:tcW w:w="0" w:type="auto"/>
            <w:shd w:val="clear" w:color="auto" w:fill="auto"/>
            <w:tcMar>
              <w:top w:w="40" w:type="dxa"/>
              <w:left w:w="40" w:type="dxa"/>
              <w:bottom w:w="40" w:type="dxa"/>
              <w:right w:w="40" w:type="dxa"/>
            </w:tcMar>
            <w:vAlign w:val="bottom"/>
          </w:tcPr>
          <w:p w14:paraId="42A1257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75"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Comprehensive</w:t>
            </w:r>
          </w:p>
        </w:tc>
        <w:tc>
          <w:tcPr>
            <w:tcW w:w="0" w:type="auto"/>
            <w:shd w:val="clear" w:color="auto" w:fill="auto"/>
            <w:tcMar>
              <w:top w:w="40" w:type="dxa"/>
              <w:left w:w="40" w:type="dxa"/>
              <w:bottom w:w="40" w:type="dxa"/>
              <w:right w:w="40" w:type="dxa"/>
            </w:tcMar>
            <w:vAlign w:val="bottom"/>
          </w:tcPr>
          <w:p w14:paraId="42A1257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7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Shareholders'</w:t>
            </w:r>
          </w:p>
        </w:tc>
        <w:tc>
          <w:tcPr>
            <w:tcW w:w="0" w:type="auto"/>
            <w:shd w:val="clear" w:color="auto" w:fill="auto"/>
            <w:tcMar>
              <w:top w:w="40" w:type="dxa"/>
              <w:left w:w="40" w:type="dxa"/>
              <w:bottom w:w="40" w:type="dxa"/>
              <w:right w:w="40" w:type="dxa"/>
            </w:tcMar>
            <w:vAlign w:val="bottom"/>
          </w:tcPr>
          <w:p w14:paraId="42A1257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79"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Noncontrolling</w:t>
            </w:r>
          </w:p>
        </w:tc>
        <w:tc>
          <w:tcPr>
            <w:tcW w:w="0" w:type="auto"/>
            <w:shd w:val="clear" w:color="auto" w:fill="auto"/>
            <w:tcMar>
              <w:top w:w="40" w:type="dxa"/>
              <w:left w:w="40" w:type="dxa"/>
              <w:bottom w:w="40" w:type="dxa"/>
              <w:right w:w="40" w:type="dxa"/>
            </w:tcMar>
            <w:vAlign w:val="bottom"/>
          </w:tcPr>
          <w:p w14:paraId="42A1257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57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BB68E1" w14:paraId="42A1258D" w14:textId="77777777">
        <w:tc>
          <w:tcPr>
            <w:tcW w:w="0" w:type="auto"/>
            <w:vMerge/>
            <w:shd w:val="clear" w:color="auto" w:fill="auto"/>
            <w:tcMar>
              <w:top w:w="40" w:type="dxa"/>
              <w:left w:w="40" w:type="dxa"/>
              <w:bottom w:w="40" w:type="dxa"/>
              <w:right w:w="40" w:type="dxa"/>
            </w:tcMar>
            <w:vAlign w:val="bottom"/>
          </w:tcPr>
          <w:p w14:paraId="42A1257D" w14:textId="77777777" w:rsidR="00BB68E1" w:rsidRDefault="00BB68E1">
            <w:pPr>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bottom w:w="40" w:type="dxa"/>
            </w:tcMar>
            <w:vAlign w:val="bottom"/>
          </w:tcPr>
          <w:p w14:paraId="42A1257E"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42A1257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580"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42A125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58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Par Value</w:t>
            </w:r>
          </w:p>
        </w:tc>
        <w:tc>
          <w:tcPr>
            <w:tcW w:w="0" w:type="auto"/>
            <w:shd w:val="clear" w:color="auto" w:fill="auto"/>
            <w:tcMar>
              <w:top w:w="40" w:type="dxa"/>
              <w:left w:w="40" w:type="dxa"/>
              <w:bottom w:w="40" w:type="dxa"/>
              <w:right w:w="40" w:type="dxa"/>
            </w:tcMar>
            <w:vAlign w:val="bottom"/>
          </w:tcPr>
          <w:p w14:paraId="42A1258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584"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Earnings</w:t>
            </w:r>
          </w:p>
        </w:tc>
        <w:tc>
          <w:tcPr>
            <w:tcW w:w="0" w:type="auto"/>
            <w:shd w:val="clear" w:color="auto" w:fill="auto"/>
            <w:tcMar>
              <w:top w:w="40" w:type="dxa"/>
              <w:left w:w="40" w:type="dxa"/>
              <w:bottom w:w="40" w:type="dxa"/>
              <w:right w:w="40" w:type="dxa"/>
            </w:tcMar>
            <w:vAlign w:val="bottom"/>
          </w:tcPr>
          <w:p w14:paraId="42A1258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586"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Income (Loss)</w:t>
            </w:r>
          </w:p>
        </w:tc>
        <w:tc>
          <w:tcPr>
            <w:tcW w:w="0" w:type="auto"/>
            <w:shd w:val="clear" w:color="auto" w:fill="auto"/>
            <w:tcMar>
              <w:top w:w="40" w:type="dxa"/>
              <w:left w:w="40" w:type="dxa"/>
              <w:bottom w:w="40" w:type="dxa"/>
              <w:right w:w="40" w:type="dxa"/>
            </w:tcMar>
            <w:vAlign w:val="bottom"/>
          </w:tcPr>
          <w:p w14:paraId="42A125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588"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Equity</w:t>
            </w:r>
          </w:p>
        </w:tc>
        <w:tc>
          <w:tcPr>
            <w:tcW w:w="0" w:type="auto"/>
            <w:shd w:val="clear" w:color="auto" w:fill="auto"/>
            <w:tcMar>
              <w:top w:w="40" w:type="dxa"/>
              <w:left w:w="40" w:type="dxa"/>
              <w:bottom w:w="40" w:type="dxa"/>
              <w:right w:w="40" w:type="dxa"/>
            </w:tcMar>
            <w:vAlign w:val="bottom"/>
          </w:tcPr>
          <w:p w14:paraId="42A1258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58A"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Interest</w:t>
            </w:r>
          </w:p>
        </w:tc>
        <w:tc>
          <w:tcPr>
            <w:tcW w:w="0" w:type="auto"/>
            <w:shd w:val="clear" w:color="auto" w:fill="auto"/>
            <w:tcMar>
              <w:top w:w="40" w:type="dxa"/>
              <w:left w:w="40" w:type="dxa"/>
              <w:bottom w:w="40" w:type="dxa"/>
              <w:right w:w="40" w:type="dxa"/>
            </w:tcMar>
            <w:vAlign w:val="bottom"/>
          </w:tcPr>
          <w:p w14:paraId="42A1258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58C"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Equity</w:t>
            </w:r>
          </w:p>
        </w:tc>
      </w:tr>
      <w:tr w:rsidR="005D2D5E" w14:paraId="42A125AD" w14:textId="77777777">
        <w:tc>
          <w:tcPr>
            <w:tcW w:w="0" w:type="auto"/>
            <w:shd w:val="clear" w:color="auto" w:fill="CCEEFF"/>
            <w:tcMar>
              <w:top w:w="40" w:type="dxa"/>
              <w:left w:w="40" w:type="dxa"/>
              <w:bottom w:w="40" w:type="dxa"/>
              <w:right w:w="40" w:type="dxa"/>
            </w:tcMar>
            <w:vAlign w:val="center"/>
          </w:tcPr>
          <w:p w14:paraId="42A1258E"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Balances as of February 1, 2017</w:t>
            </w:r>
          </w:p>
        </w:tc>
        <w:tc>
          <w:tcPr>
            <w:tcW w:w="0" w:type="auto"/>
            <w:tcBorders>
              <w:top w:val="single" w:sz="8" w:space="0" w:color="000000"/>
            </w:tcBorders>
            <w:shd w:val="clear" w:color="auto" w:fill="CCEEFF"/>
            <w:tcMar>
              <w:top w:w="40" w:type="dxa"/>
              <w:left w:w="40" w:type="dxa"/>
              <w:bottom w:w="40" w:type="dxa"/>
            </w:tcMar>
            <w:vAlign w:val="center"/>
          </w:tcPr>
          <w:p w14:paraId="42A1258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3,048</w:t>
            </w:r>
          </w:p>
        </w:tc>
        <w:tc>
          <w:tcPr>
            <w:tcW w:w="0" w:type="auto"/>
            <w:tcBorders>
              <w:top w:val="single" w:sz="8" w:space="0" w:color="000000"/>
            </w:tcBorders>
            <w:shd w:val="clear" w:color="auto" w:fill="CCEEFF"/>
            <w:vAlign w:val="bottom"/>
          </w:tcPr>
          <w:p w14:paraId="42A1259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59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59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59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305</w:t>
            </w:r>
          </w:p>
        </w:tc>
        <w:tc>
          <w:tcPr>
            <w:tcW w:w="0" w:type="auto"/>
            <w:shd w:val="clear" w:color="auto" w:fill="CCEEFF"/>
            <w:vAlign w:val="bottom"/>
          </w:tcPr>
          <w:p w14:paraId="42A1259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59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59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59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2,371</w:t>
            </w:r>
          </w:p>
        </w:tc>
        <w:tc>
          <w:tcPr>
            <w:tcW w:w="0" w:type="auto"/>
            <w:shd w:val="clear" w:color="auto" w:fill="CCEEFF"/>
            <w:vAlign w:val="bottom"/>
          </w:tcPr>
          <w:p w14:paraId="42A1259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59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59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59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89,354</w:t>
            </w:r>
          </w:p>
        </w:tc>
        <w:tc>
          <w:tcPr>
            <w:tcW w:w="0" w:type="auto"/>
            <w:shd w:val="clear" w:color="auto" w:fill="CCEEFF"/>
            <w:vAlign w:val="bottom"/>
          </w:tcPr>
          <w:p w14:paraId="42A1259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59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59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59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(14,232</w:t>
            </w:r>
          </w:p>
        </w:tc>
        <w:tc>
          <w:tcPr>
            <w:tcW w:w="0" w:type="auto"/>
            <w:shd w:val="clear" w:color="auto" w:fill="CCEEFF"/>
            <w:tcMar>
              <w:top w:w="40" w:type="dxa"/>
              <w:bottom w:w="40" w:type="dxa"/>
              <w:right w:w="40" w:type="dxa"/>
            </w:tcMar>
            <w:vAlign w:val="center"/>
          </w:tcPr>
          <w:p w14:paraId="42A125A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5A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5A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5A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77,798</w:t>
            </w:r>
          </w:p>
        </w:tc>
        <w:tc>
          <w:tcPr>
            <w:tcW w:w="0" w:type="auto"/>
            <w:shd w:val="clear" w:color="auto" w:fill="CCEEFF"/>
            <w:vAlign w:val="bottom"/>
          </w:tcPr>
          <w:p w14:paraId="42A125A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5A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5A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5A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2,737</w:t>
            </w:r>
          </w:p>
        </w:tc>
        <w:tc>
          <w:tcPr>
            <w:tcW w:w="0" w:type="auto"/>
            <w:shd w:val="clear" w:color="auto" w:fill="CCEEFF"/>
            <w:vAlign w:val="bottom"/>
          </w:tcPr>
          <w:p w14:paraId="42A125A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5A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5A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5A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80,535</w:t>
            </w:r>
          </w:p>
        </w:tc>
        <w:tc>
          <w:tcPr>
            <w:tcW w:w="0" w:type="auto"/>
            <w:shd w:val="clear" w:color="auto" w:fill="CCEEFF"/>
            <w:vAlign w:val="bottom"/>
          </w:tcPr>
          <w:p w14:paraId="42A125AC" w14:textId="77777777" w:rsidR="00BB68E1" w:rsidRDefault="00BB68E1">
            <w:pPr>
              <w:textAlignment w:val="bottom"/>
              <w:rPr>
                <w:rFonts w:ascii="Times New Roman" w:hAnsi="Times New Roman"/>
                <w:sz w:val="20"/>
                <w:szCs w:val="20"/>
              </w:rPr>
            </w:pPr>
          </w:p>
        </w:tc>
      </w:tr>
      <w:tr w:rsidR="00BB68E1" w14:paraId="42A125C6" w14:textId="77777777">
        <w:tc>
          <w:tcPr>
            <w:tcW w:w="0" w:type="auto"/>
            <w:shd w:val="clear" w:color="auto" w:fill="auto"/>
            <w:tcMar>
              <w:top w:w="40" w:type="dxa"/>
              <w:left w:w="40" w:type="dxa"/>
              <w:bottom w:w="40" w:type="dxa"/>
              <w:right w:w="40" w:type="dxa"/>
            </w:tcMar>
            <w:vAlign w:val="center"/>
          </w:tcPr>
          <w:p w14:paraId="42A125A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Consolidated net income</w:t>
            </w:r>
          </w:p>
        </w:tc>
        <w:tc>
          <w:tcPr>
            <w:tcW w:w="0" w:type="auto"/>
            <w:shd w:val="clear" w:color="auto" w:fill="auto"/>
            <w:tcMar>
              <w:top w:w="40" w:type="dxa"/>
              <w:left w:w="40" w:type="dxa"/>
              <w:bottom w:w="40" w:type="dxa"/>
            </w:tcMar>
            <w:vAlign w:val="center"/>
          </w:tcPr>
          <w:p w14:paraId="42A125A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5B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5B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5B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5B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5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5B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5B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5B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5B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9,862</w:t>
            </w:r>
          </w:p>
        </w:tc>
        <w:tc>
          <w:tcPr>
            <w:tcW w:w="0" w:type="auto"/>
            <w:shd w:val="clear" w:color="auto" w:fill="auto"/>
            <w:vAlign w:val="bottom"/>
          </w:tcPr>
          <w:p w14:paraId="42A125B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5B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5B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5B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5B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5B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9,862</w:t>
            </w:r>
          </w:p>
        </w:tc>
        <w:tc>
          <w:tcPr>
            <w:tcW w:w="0" w:type="auto"/>
            <w:shd w:val="clear" w:color="auto" w:fill="auto"/>
            <w:vAlign w:val="bottom"/>
          </w:tcPr>
          <w:p w14:paraId="42A125B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5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5C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661</w:t>
            </w:r>
          </w:p>
        </w:tc>
        <w:tc>
          <w:tcPr>
            <w:tcW w:w="0" w:type="auto"/>
            <w:shd w:val="clear" w:color="auto" w:fill="auto"/>
            <w:vAlign w:val="bottom"/>
          </w:tcPr>
          <w:p w14:paraId="42A125C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5C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5C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10,523</w:t>
            </w:r>
          </w:p>
        </w:tc>
        <w:tc>
          <w:tcPr>
            <w:tcW w:w="0" w:type="auto"/>
            <w:shd w:val="clear" w:color="auto" w:fill="auto"/>
            <w:vAlign w:val="bottom"/>
          </w:tcPr>
          <w:p w14:paraId="42A125C5" w14:textId="77777777" w:rsidR="00BB68E1" w:rsidRDefault="00BB68E1">
            <w:pPr>
              <w:textAlignment w:val="bottom"/>
              <w:rPr>
                <w:rFonts w:ascii="Times New Roman" w:hAnsi="Times New Roman"/>
                <w:sz w:val="20"/>
                <w:szCs w:val="20"/>
              </w:rPr>
            </w:pPr>
          </w:p>
        </w:tc>
      </w:tr>
      <w:tr w:rsidR="00BB68E1" w14:paraId="42A125DF" w14:textId="77777777">
        <w:tc>
          <w:tcPr>
            <w:tcW w:w="0" w:type="auto"/>
            <w:shd w:val="clear" w:color="auto" w:fill="CCEEFF"/>
            <w:tcMar>
              <w:top w:w="40" w:type="dxa"/>
              <w:left w:w="40" w:type="dxa"/>
              <w:bottom w:w="40" w:type="dxa"/>
              <w:right w:w="40" w:type="dxa"/>
            </w:tcMar>
            <w:vAlign w:val="center"/>
          </w:tcPr>
          <w:p w14:paraId="42A125C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 comprehensive income (loss), net of income taxes</w:t>
            </w:r>
          </w:p>
        </w:tc>
        <w:tc>
          <w:tcPr>
            <w:tcW w:w="0" w:type="auto"/>
            <w:shd w:val="clear" w:color="auto" w:fill="CCEEFF"/>
            <w:tcMar>
              <w:top w:w="40" w:type="dxa"/>
              <w:left w:w="40" w:type="dxa"/>
              <w:bottom w:w="40" w:type="dxa"/>
            </w:tcMar>
            <w:vAlign w:val="center"/>
          </w:tcPr>
          <w:p w14:paraId="42A125C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5C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5C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5C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5C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5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5C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5C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5D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5D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5D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5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5D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4,051</w:t>
            </w:r>
          </w:p>
        </w:tc>
        <w:tc>
          <w:tcPr>
            <w:tcW w:w="0" w:type="auto"/>
            <w:shd w:val="clear" w:color="auto" w:fill="CCEEFF"/>
            <w:vAlign w:val="bottom"/>
          </w:tcPr>
          <w:p w14:paraId="42A125D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5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5D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4,051</w:t>
            </w:r>
          </w:p>
        </w:tc>
        <w:tc>
          <w:tcPr>
            <w:tcW w:w="0" w:type="auto"/>
            <w:shd w:val="clear" w:color="auto" w:fill="CCEEFF"/>
            <w:vAlign w:val="bottom"/>
          </w:tcPr>
          <w:p w14:paraId="42A125D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5D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5D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169</w:t>
            </w:r>
          </w:p>
        </w:tc>
        <w:tc>
          <w:tcPr>
            <w:tcW w:w="0" w:type="auto"/>
            <w:shd w:val="clear" w:color="auto" w:fill="CCEEFF"/>
            <w:vAlign w:val="bottom"/>
          </w:tcPr>
          <w:p w14:paraId="42A125D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5D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5D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4,220</w:t>
            </w:r>
          </w:p>
        </w:tc>
        <w:tc>
          <w:tcPr>
            <w:tcW w:w="0" w:type="auto"/>
            <w:shd w:val="clear" w:color="auto" w:fill="CCEEFF"/>
            <w:vAlign w:val="bottom"/>
          </w:tcPr>
          <w:p w14:paraId="42A125DE" w14:textId="77777777" w:rsidR="00BB68E1" w:rsidRDefault="00BB68E1">
            <w:pPr>
              <w:textAlignment w:val="bottom"/>
              <w:rPr>
                <w:rFonts w:ascii="Times New Roman" w:hAnsi="Times New Roman"/>
                <w:sz w:val="20"/>
                <w:szCs w:val="20"/>
              </w:rPr>
            </w:pPr>
          </w:p>
        </w:tc>
      </w:tr>
      <w:tr w:rsidR="00BB68E1" w14:paraId="42A125F8" w14:textId="77777777">
        <w:tc>
          <w:tcPr>
            <w:tcW w:w="0" w:type="auto"/>
            <w:shd w:val="clear" w:color="auto" w:fill="auto"/>
            <w:tcMar>
              <w:top w:w="40" w:type="dxa"/>
              <w:left w:w="40" w:type="dxa"/>
              <w:bottom w:w="40" w:type="dxa"/>
              <w:right w:w="40" w:type="dxa"/>
            </w:tcMar>
            <w:vAlign w:val="center"/>
          </w:tcPr>
          <w:p w14:paraId="42A125E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Cash dividends declared ($2.04 per share)</w:t>
            </w:r>
          </w:p>
        </w:tc>
        <w:tc>
          <w:tcPr>
            <w:tcW w:w="0" w:type="auto"/>
            <w:shd w:val="clear" w:color="auto" w:fill="auto"/>
            <w:tcMar>
              <w:top w:w="40" w:type="dxa"/>
              <w:left w:w="40" w:type="dxa"/>
              <w:bottom w:w="40" w:type="dxa"/>
            </w:tcMar>
            <w:vAlign w:val="center"/>
          </w:tcPr>
          <w:p w14:paraId="42A125E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5E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5E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5E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5E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5E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5E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5E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5E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5E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(6,124</w:t>
            </w:r>
          </w:p>
        </w:tc>
        <w:tc>
          <w:tcPr>
            <w:tcW w:w="0" w:type="auto"/>
            <w:shd w:val="clear" w:color="auto" w:fill="auto"/>
            <w:tcMar>
              <w:top w:w="40" w:type="dxa"/>
              <w:bottom w:w="40" w:type="dxa"/>
              <w:right w:w="40" w:type="dxa"/>
            </w:tcMar>
            <w:vAlign w:val="center"/>
          </w:tcPr>
          <w:p w14:paraId="42A125E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5E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5E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5E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5E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5F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(6,124</w:t>
            </w:r>
          </w:p>
        </w:tc>
        <w:tc>
          <w:tcPr>
            <w:tcW w:w="0" w:type="auto"/>
            <w:shd w:val="clear" w:color="auto" w:fill="auto"/>
            <w:tcMar>
              <w:top w:w="40" w:type="dxa"/>
              <w:bottom w:w="40" w:type="dxa"/>
              <w:right w:w="40" w:type="dxa"/>
            </w:tcMar>
            <w:vAlign w:val="center"/>
          </w:tcPr>
          <w:p w14:paraId="42A125F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5F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5F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5F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5F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5F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(6,124</w:t>
            </w:r>
          </w:p>
        </w:tc>
        <w:tc>
          <w:tcPr>
            <w:tcW w:w="0" w:type="auto"/>
            <w:shd w:val="clear" w:color="auto" w:fill="auto"/>
            <w:tcMar>
              <w:top w:w="40" w:type="dxa"/>
              <w:bottom w:w="40" w:type="dxa"/>
              <w:right w:w="40" w:type="dxa"/>
            </w:tcMar>
            <w:vAlign w:val="center"/>
          </w:tcPr>
          <w:p w14:paraId="42A125F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611" w14:textId="77777777">
        <w:tc>
          <w:tcPr>
            <w:tcW w:w="0" w:type="auto"/>
            <w:shd w:val="clear" w:color="auto" w:fill="CCEEFF"/>
            <w:tcMar>
              <w:top w:w="40" w:type="dxa"/>
              <w:left w:w="40" w:type="dxa"/>
              <w:bottom w:w="40" w:type="dxa"/>
              <w:right w:w="40" w:type="dxa"/>
            </w:tcMar>
            <w:vAlign w:val="center"/>
          </w:tcPr>
          <w:p w14:paraId="42A125F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Purchase of Company stock</w:t>
            </w:r>
          </w:p>
        </w:tc>
        <w:tc>
          <w:tcPr>
            <w:tcW w:w="0" w:type="auto"/>
            <w:shd w:val="clear" w:color="auto" w:fill="CCEEFF"/>
            <w:tcMar>
              <w:top w:w="40" w:type="dxa"/>
              <w:left w:w="40" w:type="dxa"/>
              <w:bottom w:w="40" w:type="dxa"/>
            </w:tcMar>
            <w:vAlign w:val="center"/>
          </w:tcPr>
          <w:p w14:paraId="42A125F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(103</w:t>
            </w:r>
          </w:p>
        </w:tc>
        <w:tc>
          <w:tcPr>
            <w:tcW w:w="0" w:type="auto"/>
            <w:shd w:val="clear" w:color="auto" w:fill="CCEEFF"/>
            <w:tcMar>
              <w:top w:w="40" w:type="dxa"/>
              <w:bottom w:w="40" w:type="dxa"/>
              <w:right w:w="40" w:type="dxa"/>
            </w:tcMar>
            <w:vAlign w:val="center"/>
          </w:tcPr>
          <w:p w14:paraId="42A125F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5F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5F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w:t>
            </w:r>
          </w:p>
        </w:tc>
        <w:tc>
          <w:tcPr>
            <w:tcW w:w="0" w:type="auto"/>
            <w:shd w:val="clear" w:color="auto" w:fill="CCEEFF"/>
            <w:tcMar>
              <w:top w:w="40" w:type="dxa"/>
              <w:bottom w:w="40" w:type="dxa"/>
              <w:right w:w="40" w:type="dxa"/>
            </w:tcMar>
            <w:vAlign w:val="center"/>
          </w:tcPr>
          <w:p w14:paraId="42A125F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5F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0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(219</w:t>
            </w:r>
          </w:p>
        </w:tc>
        <w:tc>
          <w:tcPr>
            <w:tcW w:w="0" w:type="auto"/>
            <w:shd w:val="clear" w:color="auto" w:fill="CCEEFF"/>
            <w:tcMar>
              <w:top w:w="40" w:type="dxa"/>
              <w:bottom w:w="40" w:type="dxa"/>
              <w:right w:w="40" w:type="dxa"/>
            </w:tcMar>
            <w:vAlign w:val="center"/>
          </w:tcPr>
          <w:p w14:paraId="42A1260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60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0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(7,975</w:t>
            </w:r>
          </w:p>
        </w:tc>
        <w:tc>
          <w:tcPr>
            <w:tcW w:w="0" w:type="auto"/>
            <w:shd w:val="clear" w:color="auto" w:fill="CCEEFF"/>
            <w:tcMar>
              <w:top w:w="40" w:type="dxa"/>
              <w:bottom w:w="40" w:type="dxa"/>
              <w:right w:w="40" w:type="dxa"/>
            </w:tcMar>
            <w:vAlign w:val="center"/>
          </w:tcPr>
          <w:p w14:paraId="42A1260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60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0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60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0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0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(8,204</w:t>
            </w:r>
          </w:p>
        </w:tc>
        <w:tc>
          <w:tcPr>
            <w:tcW w:w="0" w:type="auto"/>
            <w:shd w:val="clear" w:color="auto" w:fill="CCEEFF"/>
            <w:tcMar>
              <w:top w:w="40" w:type="dxa"/>
              <w:bottom w:w="40" w:type="dxa"/>
              <w:right w:w="40" w:type="dxa"/>
            </w:tcMar>
            <w:vAlign w:val="center"/>
          </w:tcPr>
          <w:p w14:paraId="42A1260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60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0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60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0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(8,204</w:t>
            </w:r>
          </w:p>
        </w:tc>
        <w:tc>
          <w:tcPr>
            <w:tcW w:w="0" w:type="auto"/>
            <w:shd w:val="clear" w:color="auto" w:fill="CCEEFF"/>
            <w:tcMar>
              <w:top w:w="40" w:type="dxa"/>
              <w:bottom w:w="40" w:type="dxa"/>
              <w:right w:w="40" w:type="dxa"/>
            </w:tcMar>
            <w:vAlign w:val="center"/>
          </w:tcPr>
          <w:p w14:paraId="42A1261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62A" w14:textId="77777777">
        <w:tc>
          <w:tcPr>
            <w:tcW w:w="0" w:type="auto"/>
            <w:shd w:val="clear" w:color="auto" w:fill="auto"/>
            <w:tcMar>
              <w:top w:w="40" w:type="dxa"/>
              <w:left w:w="40" w:type="dxa"/>
              <w:bottom w:w="40" w:type="dxa"/>
              <w:right w:w="40" w:type="dxa"/>
            </w:tcMar>
            <w:vAlign w:val="center"/>
          </w:tcPr>
          <w:p w14:paraId="42A1261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Cash dividend declared to noncontrolling interest</w:t>
            </w:r>
          </w:p>
        </w:tc>
        <w:tc>
          <w:tcPr>
            <w:tcW w:w="0" w:type="auto"/>
            <w:shd w:val="clear" w:color="auto" w:fill="auto"/>
            <w:tcMar>
              <w:top w:w="40" w:type="dxa"/>
              <w:left w:w="40" w:type="dxa"/>
              <w:bottom w:w="40" w:type="dxa"/>
            </w:tcMar>
            <w:vAlign w:val="center"/>
          </w:tcPr>
          <w:p w14:paraId="42A1261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1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1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1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1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1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1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1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1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1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1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1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1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2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2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2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2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2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2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(687</w:t>
            </w:r>
          </w:p>
        </w:tc>
        <w:tc>
          <w:tcPr>
            <w:tcW w:w="0" w:type="auto"/>
            <w:shd w:val="clear" w:color="auto" w:fill="auto"/>
            <w:tcMar>
              <w:top w:w="40" w:type="dxa"/>
              <w:bottom w:w="40" w:type="dxa"/>
              <w:right w:w="40" w:type="dxa"/>
            </w:tcMar>
            <w:vAlign w:val="center"/>
          </w:tcPr>
          <w:p w14:paraId="42A1262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62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2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(687</w:t>
            </w:r>
          </w:p>
        </w:tc>
        <w:tc>
          <w:tcPr>
            <w:tcW w:w="0" w:type="auto"/>
            <w:shd w:val="clear" w:color="auto" w:fill="auto"/>
            <w:tcMar>
              <w:top w:w="40" w:type="dxa"/>
              <w:bottom w:w="40" w:type="dxa"/>
              <w:right w:w="40" w:type="dxa"/>
            </w:tcMar>
            <w:vAlign w:val="center"/>
          </w:tcPr>
          <w:p w14:paraId="42A1262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643" w14:textId="77777777">
        <w:tc>
          <w:tcPr>
            <w:tcW w:w="0" w:type="auto"/>
            <w:shd w:val="clear" w:color="auto" w:fill="CCEEFF"/>
            <w:tcMar>
              <w:top w:w="40" w:type="dxa"/>
              <w:left w:w="40" w:type="dxa"/>
              <w:bottom w:w="40" w:type="dxa"/>
              <w:right w:w="40" w:type="dxa"/>
            </w:tcMar>
            <w:vAlign w:val="center"/>
          </w:tcPr>
          <w:p w14:paraId="42A1262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w:t>
            </w:r>
          </w:p>
        </w:tc>
        <w:tc>
          <w:tcPr>
            <w:tcW w:w="0" w:type="auto"/>
            <w:tcBorders>
              <w:bottom w:val="single" w:sz="8" w:space="0" w:color="000000"/>
            </w:tcBorders>
            <w:shd w:val="clear" w:color="auto" w:fill="CCEEFF"/>
            <w:tcMar>
              <w:top w:w="40" w:type="dxa"/>
              <w:left w:w="40" w:type="dxa"/>
              <w:bottom w:w="40" w:type="dxa"/>
            </w:tcMar>
            <w:vAlign w:val="center"/>
          </w:tcPr>
          <w:p w14:paraId="42A1262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w:t>
            </w:r>
          </w:p>
        </w:tc>
        <w:tc>
          <w:tcPr>
            <w:tcW w:w="0" w:type="auto"/>
            <w:tcBorders>
              <w:bottom w:val="single" w:sz="8" w:space="0" w:color="000000"/>
            </w:tcBorders>
            <w:shd w:val="clear" w:color="auto" w:fill="CCEEFF"/>
            <w:vAlign w:val="bottom"/>
          </w:tcPr>
          <w:p w14:paraId="42A1262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2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62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42A1263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3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63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496</w:t>
            </w:r>
          </w:p>
        </w:tc>
        <w:tc>
          <w:tcPr>
            <w:tcW w:w="0" w:type="auto"/>
            <w:tcBorders>
              <w:bottom w:val="single" w:sz="8" w:space="0" w:color="000000"/>
            </w:tcBorders>
            <w:shd w:val="clear" w:color="auto" w:fill="CCEEFF"/>
            <w:vAlign w:val="bottom"/>
          </w:tcPr>
          <w:p w14:paraId="42A1263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3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63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w:t>
            </w:r>
          </w:p>
        </w:tc>
        <w:tc>
          <w:tcPr>
            <w:tcW w:w="0" w:type="auto"/>
            <w:tcBorders>
              <w:bottom w:val="single" w:sz="8" w:space="0" w:color="000000"/>
            </w:tcBorders>
            <w:shd w:val="clear" w:color="auto" w:fill="CCEEFF"/>
            <w:tcMar>
              <w:top w:w="40" w:type="dxa"/>
              <w:bottom w:w="40" w:type="dxa"/>
              <w:right w:w="40" w:type="dxa"/>
            </w:tcMar>
            <w:vAlign w:val="center"/>
          </w:tcPr>
          <w:p w14:paraId="42A1263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63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63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42A1263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3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63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486</w:t>
            </w:r>
          </w:p>
        </w:tc>
        <w:tc>
          <w:tcPr>
            <w:tcW w:w="0" w:type="auto"/>
            <w:tcBorders>
              <w:bottom w:val="single" w:sz="8" w:space="0" w:color="000000"/>
            </w:tcBorders>
            <w:shd w:val="clear" w:color="auto" w:fill="CCEEFF"/>
            <w:vAlign w:val="bottom"/>
          </w:tcPr>
          <w:p w14:paraId="42A1263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3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63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73</w:t>
            </w:r>
          </w:p>
        </w:tc>
        <w:tc>
          <w:tcPr>
            <w:tcW w:w="0" w:type="auto"/>
            <w:tcBorders>
              <w:bottom w:val="single" w:sz="8" w:space="0" w:color="000000"/>
            </w:tcBorders>
            <w:shd w:val="clear" w:color="auto" w:fill="CCEEFF"/>
            <w:vAlign w:val="bottom"/>
          </w:tcPr>
          <w:p w14:paraId="42A1263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4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64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559</w:t>
            </w:r>
          </w:p>
        </w:tc>
        <w:tc>
          <w:tcPr>
            <w:tcW w:w="0" w:type="auto"/>
            <w:tcBorders>
              <w:bottom w:val="single" w:sz="8" w:space="0" w:color="000000"/>
            </w:tcBorders>
            <w:shd w:val="clear" w:color="auto" w:fill="CCEEFF"/>
            <w:vAlign w:val="bottom"/>
          </w:tcPr>
          <w:p w14:paraId="42A12642" w14:textId="77777777" w:rsidR="00BB68E1" w:rsidRDefault="00BB68E1">
            <w:pPr>
              <w:textAlignment w:val="bottom"/>
              <w:rPr>
                <w:rFonts w:ascii="Times New Roman" w:hAnsi="Times New Roman"/>
                <w:sz w:val="20"/>
                <w:szCs w:val="20"/>
              </w:rPr>
            </w:pPr>
          </w:p>
        </w:tc>
      </w:tr>
      <w:tr w:rsidR="00BB68E1" w14:paraId="42A1265C" w14:textId="77777777">
        <w:tc>
          <w:tcPr>
            <w:tcW w:w="0" w:type="auto"/>
            <w:shd w:val="clear" w:color="auto" w:fill="auto"/>
            <w:tcMar>
              <w:top w:w="40" w:type="dxa"/>
              <w:left w:w="40" w:type="dxa"/>
              <w:bottom w:w="40" w:type="dxa"/>
              <w:right w:w="40" w:type="dxa"/>
            </w:tcMar>
            <w:vAlign w:val="center"/>
          </w:tcPr>
          <w:p w14:paraId="42A12644"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Balances as of January 31, 2018</w:t>
            </w:r>
          </w:p>
        </w:tc>
        <w:tc>
          <w:tcPr>
            <w:tcW w:w="0" w:type="auto"/>
            <w:shd w:val="clear" w:color="auto" w:fill="auto"/>
            <w:tcMar>
              <w:top w:w="40" w:type="dxa"/>
              <w:left w:w="40" w:type="dxa"/>
              <w:bottom w:w="40" w:type="dxa"/>
            </w:tcMar>
            <w:vAlign w:val="center"/>
          </w:tcPr>
          <w:p w14:paraId="42A1264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2,952</w:t>
            </w:r>
          </w:p>
        </w:tc>
        <w:tc>
          <w:tcPr>
            <w:tcW w:w="0" w:type="auto"/>
            <w:shd w:val="clear" w:color="auto" w:fill="auto"/>
            <w:vAlign w:val="bottom"/>
          </w:tcPr>
          <w:p w14:paraId="42A1264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4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4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295</w:t>
            </w:r>
          </w:p>
        </w:tc>
        <w:tc>
          <w:tcPr>
            <w:tcW w:w="0" w:type="auto"/>
            <w:shd w:val="clear" w:color="auto" w:fill="auto"/>
            <w:vAlign w:val="bottom"/>
          </w:tcPr>
          <w:p w14:paraId="42A1264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4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4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2,648</w:t>
            </w:r>
          </w:p>
        </w:tc>
        <w:tc>
          <w:tcPr>
            <w:tcW w:w="0" w:type="auto"/>
            <w:shd w:val="clear" w:color="auto" w:fill="auto"/>
            <w:vAlign w:val="bottom"/>
          </w:tcPr>
          <w:p w14:paraId="42A1264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4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85,107</w:t>
            </w:r>
          </w:p>
        </w:tc>
        <w:tc>
          <w:tcPr>
            <w:tcW w:w="0" w:type="auto"/>
            <w:shd w:val="clear" w:color="auto" w:fill="auto"/>
            <w:vAlign w:val="bottom"/>
          </w:tcPr>
          <w:p w14:paraId="42A1264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5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5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(10,181</w:t>
            </w:r>
          </w:p>
        </w:tc>
        <w:tc>
          <w:tcPr>
            <w:tcW w:w="0" w:type="auto"/>
            <w:shd w:val="clear" w:color="auto" w:fill="auto"/>
            <w:tcMar>
              <w:top w:w="40" w:type="dxa"/>
              <w:bottom w:w="40" w:type="dxa"/>
              <w:right w:w="40" w:type="dxa"/>
            </w:tcMar>
            <w:vAlign w:val="center"/>
          </w:tcPr>
          <w:p w14:paraId="42A1265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65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5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77,869</w:t>
            </w:r>
          </w:p>
        </w:tc>
        <w:tc>
          <w:tcPr>
            <w:tcW w:w="0" w:type="auto"/>
            <w:shd w:val="clear" w:color="auto" w:fill="auto"/>
            <w:vAlign w:val="bottom"/>
          </w:tcPr>
          <w:p w14:paraId="42A1265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5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5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2,953</w:t>
            </w:r>
          </w:p>
        </w:tc>
        <w:tc>
          <w:tcPr>
            <w:tcW w:w="0" w:type="auto"/>
            <w:shd w:val="clear" w:color="auto" w:fill="auto"/>
            <w:vAlign w:val="bottom"/>
          </w:tcPr>
          <w:p w14:paraId="42A1265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5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5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80,822</w:t>
            </w:r>
          </w:p>
        </w:tc>
        <w:tc>
          <w:tcPr>
            <w:tcW w:w="0" w:type="auto"/>
            <w:shd w:val="clear" w:color="auto" w:fill="auto"/>
            <w:vAlign w:val="bottom"/>
          </w:tcPr>
          <w:p w14:paraId="42A1265B" w14:textId="77777777" w:rsidR="00BB68E1" w:rsidRDefault="00BB68E1">
            <w:pPr>
              <w:textAlignment w:val="bottom"/>
              <w:rPr>
                <w:rFonts w:ascii="Times New Roman" w:hAnsi="Times New Roman"/>
                <w:sz w:val="20"/>
                <w:szCs w:val="20"/>
              </w:rPr>
            </w:pPr>
          </w:p>
        </w:tc>
      </w:tr>
      <w:tr w:rsidR="00BB68E1" w14:paraId="42A12676" w14:textId="77777777">
        <w:tc>
          <w:tcPr>
            <w:tcW w:w="0" w:type="auto"/>
            <w:shd w:val="clear" w:color="auto" w:fill="CCEEFF"/>
            <w:tcMar>
              <w:top w:w="40" w:type="dxa"/>
              <w:left w:w="40" w:type="dxa"/>
              <w:bottom w:w="40" w:type="dxa"/>
              <w:right w:w="40" w:type="dxa"/>
            </w:tcMar>
            <w:vAlign w:val="center"/>
          </w:tcPr>
          <w:p w14:paraId="42A1265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Adoption of new accounting standards on February 1, 2018, net of income taxes</w:t>
            </w:r>
          </w:p>
          <w:p w14:paraId="42A1265E" w14:textId="77777777" w:rsidR="00BB68E1" w:rsidRDefault="00BB68E1">
            <w:pPr>
              <w:textAlignment w:val="center"/>
              <w:rPr>
                <w:rFonts w:ascii="Times New Roman" w:hAnsi="Times New Roman"/>
                <w:sz w:val="16"/>
                <w:szCs w:val="16"/>
              </w:rPr>
            </w:pPr>
          </w:p>
        </w:tc>
        <w:tc>
          <w:tcPr>
            <w:tcW w:w="0" w:type="auto"/>
            <w:shd w:val="clear" w:color="auto" w:fill="CCEEFF"/>
            <w:tcMar>
              <w:top w:w="40" w:type="dxa"/>
              <w:left w:w="40" w:type="dxa"/>
              <w:bottom w:w="40" w:type="dxa"/>
            </w:tcMar>
            <w:vAlign w:val="center"/>
          </w:tcPr>
          <w:p w14:paraId="42A1265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66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6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6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66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6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6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66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6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6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2,361</w:t>
            </w:r>
          </w:p>
        </w:tc>
        <w:tc>
          <w:tcPr>
            <w:tcW w:w="0" w:type="auto"/>
            <w:shd w:val="clear" w:color="auto" w:fill="CCEEFF"/>
            <w:vAlign w:val="bottom"/>
          </w:tcPr>
          <w:p w14:paraId="42A1266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6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6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(1,436</w:t>
            </w:r>
          </w:p>
        </w:tc>
        <w:tc>
          <w:tcPr>
            <w:tcW w:w="0" w:type="auto"/>
            <w:shd w:val="clear" w:color="auto" w:fill="CCEEFF"/>
            <w:tcMar>
              <w:top w:w="40" w:type="dxa"/>
              <w:bottom w:w="40" w:type="dxa"/>
              <w:right w:w="40" w:type="dxa"/>
            </w:tcMar>
            <w:vAlign w:val="center"/>
          </w:tcPr>
          <w:p w14:paraId="42A1266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66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6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925</w:t>
            </w:r>
          </w:p>
        </w:tc>
        <w:tc>
          <w:tcPr>
            <w:tcW w:w="0" w:type="auto"/>
            <w:shd w:val="clear" w:color="auto" w:fill="CCEEFF"/>
            <w:vAlign w:val="bottom"/>
          </w:tcPr>
          <w:p w14:paraId="42A1266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7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7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shd w:val="clear" w:color="auto" w:fill="CCEEFF"/>
            <w:tcMar>
              <w:top w:w="40" w:type="dxa"/>
              <w:bottom w:w="40" w:type="dxa"/>
              <w:right w:w="40" w:type="dxa"/>
            </w:tcMar>
            <w:vAlign w:val="center"/>
          </w:tcPr>
          <w:p w14:paraId="42A1267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67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7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924</w:t>
            </w:r>
          </w:p>
        </w:tc>
        <w:tc>
          <w:tcPr>
            <w:tcW w:w="0" w:type="auto"/>
            <w:shd w:val="clear" w:color="auto" w:fill="CCEEFF"/>
            <w:vAlign w:val="bottom"/>
          </w:tcPr>
          <w:p w14:paraId="42A12675" w14:textId="77777777" w:rsidR="00BB68E1" w:rsidRDefault="00BB68E1">
            <w:pPr>
              <w:textAlignment w:val="bottom"/>
              <w:rPr>
                <w:rFonts w:ascii="Times New Roman" w:hAnsi="Times New Roman"/>
                <w:sz w:val="20"/>
                <w:szCs w:val="20"/>
              </w:rPr>
            </w:pPr>
          </w:p>
        </w:tc>
      </w:tr>
      <w:tr w:rsidR="00BB68E1" w14:paraId="42A1268F" w14:textId="77777777">
        <w:tc>
          <w:tcPr>
            <w:tcW w:w="0" w:type="auto"/>
            <w:shd w:val="clear" w:color="auto" w:fill="auto"/>
            <w:tcMar>
              <w:top w:w="40" w:type="dxa"/>
              <w:left w:w="40" w:type="dxa"/>
              <w:bottom w:w="40" w:type="dxa"/>
              <w:right w:w="40" w:type="dxa"/>
            </w:tcMar>
            <w:vAlign w:val="center"/>
          </w:tcPr>
          <w:p w14:paraId="42A1267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Consolidated net income</w:t>
            </w:r>
          </w:p>
        </w:tc>
        <w:tc>
          <w:tcPr>
            <w:tcW w:w="0" w:type="auto"/>
            <w:shd w:val="clear" w:color="auto" w:fill="auto"/>
            <w:tcMar>
              <w:top w:w="40" w:type="dxa"/>
              <w:left w:w="40" w:type="dxa"/>
              <w:bottom w:w="40" w:type="dxa"/>
            </w:tcMar>
            <w:vAlign w:val="center"/>
          </w:tcPr>
          <w:p w14:paraId="42A1267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7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7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7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7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7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7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7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8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8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6,670</w:t>
            </w:r>
          </w:p>
        </w:tc>
        <w:tc>
          <w:tcPr>
            <w:tcW w:w="0" w:type="auto"/>
            <w:shd w:val="clear" w:color="auto" w:fill="auto"/>
            <w:vAlign w:val="bottom"/>
          </w:tcPr>
          <w:p w14:paraId="42A1268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8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8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8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8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6,670</w:t>
            </w:r>
          </w:p>
        </w:tc>
        <w:tc>
          <w:tcPr>
            <w:tcW w:w="0" w:type="auto"/>
            <w:shd w:val="clear" w:color="auto" w:fill="auto"/>
            <w:vAlign w:val="bottom"/>
          </w:tcPr>
          <w:p w14:paraId="42A1268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8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8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509</w:t>
            </w:r>
          </w:p>
        </w:tc>
        <w:tc>
          <w:tcPr>
            <w:tcW w:w="0" w:type="auto"/>
            <w:shd w:val="clear" w:color="auto" w:fill="auto"/>
            <w:vAlign w:val="bottom"/>
          </w:tcPr>
          <w:p w14:paraId="42A1268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8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8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7,179</w:t>
            </w:r>
          </w:p>
        </w:tc>
        <w:tc>
          <w:tcPr>
            <w:tcW w:w="0" w:type="auto"/>
            <w:shd w:val="clear" w:color="auto" w:fill="auto"/>
            <w:vAlign w:val="bottom"/>
          </w:tcPr>
          <w:p w14:paraId="42A1268E" w14:textId="77777777" w:rsidR="00BB68E1" w:rsidRDefault="00BB68E1">
            <w:pPr>
              <w:textAlignment w:val="bottom"/>
              <w:rPr>
                <w:rFonts w:ascii="Times New Roman" w:hAnsi="Times New Roman"/>
                <w:sz w:val="20"/>
                <w:szCs w:val="20"/>
              </w:rPr>
            </w:pPr>
          </w:p>
        </w:tc>
      </w:tr>
      <w:tr w:rsidR="00BB68E1" w14:paraId="42A126A8" w14:textId="77777777">
        <w:tc>
          <w:tcPr>
            <w:tcW w:w="0" w:type="auto"/>
            <w:shd w:val="clear" w:color="auto" w:fill="CCEEFF"/>
            <w:tcMar>
              <w:top w:w="40" w:type="dxa"/>
              <w:left w:w="40" w:type="dxa"/>
              <w:bottom w:w="40" w:type="dxa"/>
              <w:right w:w="40" w:type="dxa"/>
            </w:tcMar>
            <w:vAlign w:val="center"/>
          </w:tcPr>
          <w:p w14:paraId="42A1269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 comprehensive income (loss), net of income taxes</w:t>
            </w:r>
          </w:p>
        </w:tc>
        <w:tc>
          <w:tcPr>
            <w:tcW w:w="0" w:type="auto"/>
            <w:shd w:val="clear" w:color="auto" w:fill="CCEEFF"/>
            <w:tcMar>
              <w:top w:w="40" w:type="dxa"/>
              <w:left w:w="40" w:type="dxa"/>
              <w:bottom w:w="40" w:type="dxa"/>
            </w:tcMar>
            <w:vAlign w:val="center"/>
          </w:tcPr>
          <w:p w14:paraId="42A1269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69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9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9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69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9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9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69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9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9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69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9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9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75</w:t>
            </w:r>
          </w:p>
        </w:tc>
        <w:tc>
          <w:tcPr>
            <w:tcW w:w="0" w:type="auto"/>
            <w:shd w:val="clear" w:color="auto" w:fill="CCEEFF"/>
            <w:vAlign w:val="bottom"/>
          </w:tcPr>
          <w:p w14:paraId="42A1269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9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A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75</w:t>
            </w:r>
          </w:p>
        </w:tc>
        <w:tc>
          <w:tcPr>
            <w:tcW w:w="0" w:type="auto"/>
            <w:shd w:val="clear" w:color="auto" w:fill="CCEEFF"/>
            <w:vAlign w:val="bottom"/>
          </w:tcPr>
          <w:p w14:paraId="42A126A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A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A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(188</w:t>
            </w:r>
          </w:p>
        </w:tc>
        <w:tc>
          <w:tcPr>
            <w:tcW w:w="0" w:type="auto"/>
            <w:shd w:val="clear" w:color="auto" w:fill="CCEEFF"/>
            <w:tcMar>
              <w:top w:w="40" w:type="dxa"/>
              <w:bottom w:w="40" w:type="dxa"/>
              <w:right w:w="40" w:type="dxa"/>
            </w:tcMar>
            <w:vAlign w:val="center"/>
          </w:tcPr>
          <w:p w14:paraId="42A126A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6A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A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(113</w:t>
            </w:r>
          </w:p>
        </w:tc>
        <w:tc>
          <w:tcPr>
            <w:tcW w:w="0" w:type="auto"/>
            <w:shd w:val="clear" w:color="auto" w:fill="CCEEFF"/>
            <w:tcMar>
              <w:top w:w="40" w:type="dxa"/>
              <w:bottom w:w="40" w:type="dxa"/>
              <w:right w:w="40" w:type="dxa"/>
            </w:tcMar>
            <w:vAlign w:val="center"/>
          </w:tcPr>
          <w:p w14:paraId="42A126A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6C1" w14:textId="77777777">
        <w:tc>
          <w:tcPr>
            <w:tcW w:w="0" w:type="auto"/>
            <w:shd w:val="clear" w:color="auto" w:fill="auto"/>
            <w:tcMar>
              <w:top w:w="40" w:type="dxa"/>
              <w:left w:w="40" w:type="dxa"/>
              <w:bottom w:w="40" w:type="dxa"/>
              <w:right w:w="40" w:type="dxa"/>
            </w:tcMar>
            <w:vAlign w:val="center"/>
          </w:tcPr>
          <w:p w14:paraId="42A126A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Cash dividends declared ($2.08 per share)</w:t>
            </w:r>
          </w:p>
        </w:tc>
        <w:tc>
          <w:tcPr>
            <w:tcW w:w="0" w:type="auto"/>
            <w:shd w:val="clear" w:color="auto" w:fill="auto"/>
            <w:tcMar>
              <w:top w:w="40" w:type="dxa"/>
              <w:left w:w="40" w:type="dxa"/>
              <w:bottom w:w="40" w:type="dxa"/>
            </w:tcMar>
            <w:vAlign w:val="center"/>
          </w:tcPr>
          <w:p w14:paraId="42A126A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A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A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A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A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A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B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B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B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B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(6,102</w:t>
            </w:r>
          </w:p>
        </w:tc>
        <w:tc>
          <w:tcPr>
            <w:tcW w:w="0" w:type="auto"/>
            <w:shd w:val="clear" w:color="auto" w:fill="auto"/>
            <w:tcMar>
              <w:top w:w="40" w:type="dxa"/>
              <w:bottom w:w="40" w:type="dxa"/>
              <w:right w:w="40" w:type="dxa"/>
            </w:tcMar>
            <w:vAlign w:val="center"/>
          </w:tcPr>
          <w:p w14:paraId="42A126B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6B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B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B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B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B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(6,102</w:t>
            </w:r>
          </w:p>
        </w:tc>
        <w:tc>
          <w:tcPr>
            <w:tcW w:w="0" w:type="auto"/>
            <w:shd w:val="clear" w:color="auto" w:fill="auto"/>
            <w:tcMar>
              <w:top w:w="40" w:type="dxa"/>
              <w:bottom w:w="40" w:type="dxa"/>
              <w:right w:w="40" w:type="dxa"/>
            </w:tcMar>
            <w:vAlign w:val="center"/>
          </w:tcPr>
          <w:p w14:paraId="42A126B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6B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B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B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B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B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(6,102</w:t>
            </w:r>
          </w:p>
        </w:tc>
        <w:tc>
          <w:tcPr>
            <w:tcW w:w="0" w:type="auto"/>
            <w:shd w:val="clear" w:color="auto" w:fill="auto"/>
            <w:tcMar>
              <w:top w:w="40" w:type="dxa"/>
              <w:bottom w:w="40" w:type="dxa"/>
              <w:right w:w="40" w:type="dxa"/>
            </w:tcMar>
            <w:vAlign w:val="center"/>
          </w:tcPr>
          <w:p w14:paraId="42A126C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6DA" w14:textId="77777777">
        <w:tc>
          <w:tcPr>
            <w:tcW w:w="0" w:type="auto"/>
            <w:shd w:val="clear" w:color="auto" w:fill="CCEEFF"/>
            <w:tcMar>
              <w:top w:w="40" w:type="dxa"/>
              <w:left w:w="40" w:type="dxa"/>
              <w:bottom w:w="40" w:type="dxa"/>
              <w:right w:w="40" w:type="dxa"/>
            </w:tcMar>
            <w:vAlign w:val="center"/>
          </w:tcPr>
          <w:p w14:paraId="42A126C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Purchase of </w:t>
            </w:r>
            <w:r>
              <w:rPr>
                <w:rFonts w:ascii="Times New Roman" w:eastAsia="宋体" w:hAnsi="Times New Roman"/>
                <w:sz w:val="16"/>
                <w:szCs w:val="16"/>
              </w:rPr>
              <w:lastRenderedPageBreak/>
              <w:t>Company stock</w:t>
            </w:r>
          </w:p>
        </w:tc>
        <w:tc>
          <w:tcPr>
            <w:tcW w:w="0" w:type="auto"/>
            <w:shd w:val="clear" w:color="auto" w:fill="CCEEFF"/>
            <w:tcMar>
              <w:top w:w="40" w:type="dxa"/>
              <w:left w:w="40" w:type="dxa"/>
              <w:bottom w:w="40" w:type="dxa"/>
            </w:tcMar>
            <w:vAlign w:val="center"/>
          </w:tcPr>
          <w:p w14:paraId="42A126C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lastRenderedPageBreak/>
              <w:t>(80</w:t>
            </w:r>
          </w:p>
        </w:tc>
        <w:tc>
          <w:tcPr>
            <w:tcW w:w="0" w:type="auto"/>
            <w:shd w:val="clear" w:color="auto" w:fill="CCEEFF"/>
            <w:tcMar>
              <w:top w:w="40" w:type="dxa"/>
              <w:bottom w:w="40" w:type="dxa"/>
              <w:right w:w="40" w:type="dxa"/>
            </w:tcMar>
            <w:vAlign w:val="center"/>
          </w:tcPr>
          <w:p w14:paraId="42A126C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6C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C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w:t>
            </w:r>
          </w:p>
        </w:tc>
        <w:tc>
          <w:tcPr>
            <w:tcW w:w="0" w:type="auto"/>
            <w:shd w:val="clear" w:color="auto" w:fill="CCEEFF"/>
            <w:tcMar>
              <w:top w:w="40" w:type="dxa"/>
              <w:bottom w:w="40" w:type="dxa"/>
              <w:right w:w="40" w:type="dxa"/>
            </w:tcMar>
            <w:vAlign w:val="center"/>
          </w:tcPr>
          <w:p w14:paraId="42A126C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6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C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(245</w:t>
            </w:r>
          </w:p>
        </w:tc>
        <w:tc>
          <w:tcPr>
            <w:tcW w:w="0" w:type="auto"/>
            <w:shd w:val="clear" w:color="auto" w:fill="CCEEFF"/>
            <w:tcMar>
              <w:top w:w="40" w:type="dxa"/>
              <w:bottom w:w="40" w:type="dxa"/>
              <w:right w:w="40" w:type="dxa"/>
            </w:tcMar>
            <w:vAlign w:val="center"/>
          </w:tcPr>
          <w:p w14:paraId="42A126C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6C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C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(7,234</w:t>
            </w:r>
          </w:p>
        </w:tc>
        <w:tc>
          <w:tcPr>
            <w:tcW w:w="0" w:type="auto"/>
            <w:shd w:val="clear" w:color="auto" w:fill="CCEEFF"/>
            <w:tcMar>
              <w:top w:w="40" w:type="dxa"/>
              <w:bottom w:w="40" w:type="dxa"/>
              <w:right w:w="40" w:type="dxa"/>
            </w:tcMar>
            <w:vAlign w:val="center"/>
          </w:tcPr>
          <w:p w14:paraId="42A126C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6C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C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6D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D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D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(7,487</w:t>
            </w:r>
          </w:p>
        </w:tc>
        <w:tc>
          <w:tcPr>
            <w:tcW w:w="0" w:type="auto"/>
            <w:shd w:val="clear" w:color="auto" w:fill="CCEEFF"/>
            <w:tcMar>
              <w:top w:w="40" w:type="dxa"/>
              <w:bottom w:w="40" w:type="dxa"/>
              <w:right w:w="40" w:type="dxa"/>
            </w:tcMar>
            <w:vAlign w:val="center"/>
          </w:tcPr>
          <w:p w14:paraId="42A126D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6D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D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6D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D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D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(7,487</w:t>
            </w:r>
          </w:p>
        </w:tc>
        <w:tc>
          <w:tcPr>
            <w:tcW w:w="0" w:type="auto"/>
            <w:shd w:val="clear" w:color="auto" w:fill="CCEEFF"/>
            <w:tcMar>
              <w:top w:w="40" w:type="dxa"/>
              <w:bottom w:w="40" w:type="dxa"/>
              <w:right w:w="40" w:type="dxa"/>
            </w:tcMar>
            <w:vAlign w:val="center"/>
          </w:tcPr>
          <w:p w14:paraId="42A126D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6F3" w14:textId="77777777">
        <w:tc>
          <w:tcPr>
            <w:tcW w:w="0" w:type="auto"/>
            <w:shd w:val="clear" w:color="auto" w:fill="auto"/>
            <w:tcMar>
              <w:top w:w="40" w:type="dxa"/>
              <w:left w:w="40" w:type="dxa"/>
              <w:bottom w:w="40" w:type="dxa"/>
              <w:right w:w="40" w:type="dxa"/>
            </w:tcMar>
            <w:vAlign w:val="center"/>
          </w:tcPr>
          <w:p w14:paraId="42A126D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Cash dividend declared to noncontrolling interest</w:t>
            </w:r>
          </w:p>
        </w:tc>
        <w:tc>
          <w:tcPr>
            <w:tcW w:w="0" w:type="auto"/>
            <w:shd w:val="clear" w:color="auto" w:fill="auto"/>
            <w:tcMar>
              <w:top w:w="40" w:type="dxa"/>
              <w:left w:w="40" w:type="dxa"/>
              <w:bottom w:w="40" w:type="dxa"/>
            </w:tcMar>
            <w:vAlign w:val="center"/>
          </w:tcPr>
          <w:p w14:paraId="42A126D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D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D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D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E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E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E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E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E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E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E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E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E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E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E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E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6E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6E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E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(488</w:t>
            </w:r>
          </w:p>
        </w:tc>
        <w:tc>
          <w:tcPr>
            <w:tcW w:w="0" w:type="auto"/>
            <w:shd w:val="clear" w:color="auto" w:fill="auto"/>
            <w:tcMar>
              <w:top w:w="40" w:type="dxa"/>
              <w:bottom w:w="40" w:type="dxa"/>
              <w:right w:w="40" w:type="dxa"/>
            </w:tcMar>
            <w:vAlign w:val="center"/>
          </w:tcPr>
          <w:p w14:paraId="42A126E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6F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6F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(488</w:t>
            </w:r>
          </w:p>
        </w:tc>
        <w:tc>
          <w:tcPr>
            <w:tcW w:w="0" w:type="auto"/>
            <w:shd w:val="clear" w:color="auto" w:fill="auto"/>
            <w:tcMar>
              <w:top w:w="40" w:type="dxa"/>
              <w:bottom w:w="40" w:type="dxa"/>
              <w:right w:w="40" w:type="dxa"/>
            </w:tcMar>
            <w:vAlign w:val="center"/>
          </w:tcPr>
          <w:p w14:paraId="42A126F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70C" w14:textId="77777777">
        <w:tc>
          <w:tcPr>
            <w:tcW w:w="0" w:type="auto"/>
            <w:shd w:val="clear" w:color="auto" w:fill="CCEEFF"/>
            <w:tcMar>
              <w:top w:w="40" w:type="dxa"/>
              <w:left w:w="40" w:type="dxa"/>
              <w:bottom w:w="40" w:type="dxa"/>
              <w:right w:w="40" w:type="dxa"/>
            </w:tcMar>
            <w:vAlign w:val="center"/>
          </w:tcPr>
          <w:p w14:paraId="42A126F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Noncontrolling interest of acquired entity</w:t>
            </w:r>
          </w:p>
        </w:tc>
        <w:tc>
          <w:tcPr>
            <w:tcW w:w="0" w:type="auto"/>
            <w:shd w:val="clear" w:color="auto" w:fill="CCEEFF"/>
            <w:tcMar>
              <w:top w:w="40" w:type="dxa"/>
              <w:left w:w="40" w:type="dxa"/>
              <w:bottom w:w="40" w:type="dxa"/>
            </w:tcMar>
            <w:vAlign w:val="center"/>
          </w:tcPr>
          <w:p w14:paraId="42A126F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6F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F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F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6F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F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F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6F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6F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6F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6F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0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0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70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0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0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70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0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0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4,345</w:t>
            </w:r>
          </w:p>
        </w:tc>
        <w:tc>
          <w:tcPr>
            <w:tcW w:w="0" w:type="auto"/>
            <w:shd w:val="clear" w:color="auto" w:fill="CCEEFF"/>
            <w:vAlign w:val="bottom"/>
          </w:tcPr>
          <w:p w14:paraId="42A1270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0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0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4,345</w:t>
            </w:r>
          </w:p>
        </w:tc>
        <w:tc>
          <w:tcPr>
            <w:tcW w:w="0" w:type="auto"/>
            <w:shd w:val="clear" w:color="auto" w:fill="CCEEFF"/>
            <w:vAlign w:val="bottom"/>
          </w:tcPr>
          <w:p w14:paraId="42A1270B" w14:textId="77777777" w:rsidR="00BB68E1" w:rsidRDefault="00BB68E1">
            <w:pPr>
              <w:textAlignment w:val="bottom"/>
              <w:rPr>
                <w:rFonts w:ascii="Times New Roman" w:hAnsi="Times New Roman"/>
                <w:sz w:val="20"/>
                <w:szCs w:val="20"/>
              </w:rPr>
            </w:pPr>
          </w:p>
        </w:tc>
      </w:tr>
      <w:tr w:rsidR="00BB68E1" w14:paraId="42A12725" w14:textId="77777777">
        <w:tc>
          <w:tcPr>
            <w:tcW w:w="0" w:type="auto"/>
            <w:shd w:val="clear" w:color="auto" w:fill="auto"/>
            <w:tcMar>
              <w:top w:w="40" w:type="dxa"/>
              <w:left w:w="40" w:type="dxa"/>
              <w:bottom w:w="40" w:type="dxa"/>
              <w:right w:w="40" w:type="dxa"/>
            </w:tcMar>
            <w:vAlign w:val="center"/>
          </w:tcPr>
          <w:p w14:paraId="42A1270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w:t>
            </w:r>
          </w:p>
        </w:tc>
        <w:tc>
          <w:tcPr>
            <w:tcW w:w="0" w:type="auto"/>
            <w:tcBorders>
              <w:bottom w:val="single" w:sz="8" w:space="0" w:color="000000"/>
            </w:tcBorders>
            <w:shd w:val="clear" w:color="auto" w:fill="auto"/>
            <w:tcMar>
              <w:top w:w="40" w:type="dxa"/>
              <w:left w:w="40" w:type="dxa"/>
              <w:bottom w:w="40" w:type="dxa"/>
            </w:tcMar>
            <w:vAlign w:val="center"/>
          </w:tcPr>
          <w:p w14:paraId="42A1270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w:t>
            </w:r>
          </w:p>
        </w:tc>
        <w:tc>
          <w:tcPr>
            <w:tcW w:w="0" w:type="auto"/>
            <w:tcBorders>
              <w:bottom w:val="single" w:sz="8" w:space="0" w:color="000000"/>
            </w:tcBorders>
            <w:shd w:val="clear" w:color="auto" w:fill="auto"/>
            <w:vAlign w:val="bottom"/>
          </w:tcPr>
          <w:p w14:paraId="42A1270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1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71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tcBorders>
              <w:bottom w:val="single" w:sz="8" w:space="0" w:color="000000"/>
            </w:tcBorders>
            <w:shd w:val="clear" w:color="auto" w:fill="auto"/>
            <w:vAlign w:val="bottom"/>
          </w:tcPr>
          <w:p w14:paraId="42A1271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1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71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562</w:t>
            </w:r>
          </w:p>
        </w:tc>
        <w:tc>
          <w:tcPr>
            <w:tcW w:w="0" w:type="auto"/>
            <w:tcBorders>
              <w:bottom w:val="single" w:sz="8" w:space="0" w:color="000000"/>
            </w:tcBorders>
            <w:shd w:val="clear" w:color="auto" w:fill="auto"/>
            <w:vAlign w:val="bottom"/>
          </w:tcPr>
          <w:p w14:paraId="42A1271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1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71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w:t>
            </w:r>
          </w:p>
        </w:tc>
        <w:tc>
          <w:tcPr>
            <w:tcW w:w="0" w:type="auto"/>
            <w:tcBorders>
              <w:bottom w:val="single" w:sz="8" w:space="0" w:color="000000"/>
            </w:tcBorders>
            <w:shd w:val="clear" w:color="auto" w:fill="auto"/>
            <w:tcMar>
              <w:top w:w="40" w:type="dxa"/>
              <w:bottom w:w="40" w:type="dxa"/>
              <w:right w:w="40" w:type="dxa"/>
            </w:tcMar>
            <w:vAlign w:val="center"/>
          </w:tcPr>
          <w:p w14:paraId="42A1271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71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71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auto"/>
            <w:vAlign w:val="bottom"/>
          </w:tcPr>
          <w:p w14:paraId="42A1271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1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71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546</w:t>
            </w:r>
          </w:p>
        </w:tc>
        <w:tc>
          <w:tcPr>
            <w:tcW w:w="0" w:type="auto"/>
            <w:tcBorders>
              <w:bottom w:val="single" w:sz="8" w:space="0" w:color="000000"/>
            </w:tcBorders>
            <w:shd w:val="clear" w:color="auto" w:fill="auto"/>
            <w:vAlign w:val="bottom"/>
          </w:tcPr>
          <w:p w14:paraId="42A1271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1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72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w:t>
            </w:r>
          </w:p>
        </w:tc>
        <w:tc>
          <w:tcPr>
            <w:tcW w:w="0" w:type="auto"/>
            <w:tcBorders>
              <w:bottom w:val="single" w:sz="8" w:space="0" w:color="000000"/>
            </w:tcBorders>
            <w:shd w:val="clear" w:color="auto" w:fill="auto"/>
            <w:vAlign w:val="bottom"/>
          </w:tcPr>
          <w:p w14:paraId="42A1272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2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72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554</w:t>
            </w:r>
          </w:p>
        </w:tc>
        <w:tc>
          <w:tcPr>
            <w:tcW w:w="0" w:type="auto"/>
            <w:tcBorders>
              <w:bottom w:val="single" w:sz="8" w:space="0" w:color="000000"/>
            </w:tcBorders>
            <w:shd w:val="clear" w:color="auto" w:fill="auto"/>
            <w:vAlign w:val="bottom"/>
          </w:tcPr>
          <w:p w14:paraId="42A12724" w14:textId="77777777" w:rsidR="00BB68E1" w:rsidRDefault="00BB68E1">
            <w:pPr>
              <w:textAlignment w:val="bottom"/>
              <w:rPr>
                <w:rFonts w:ascii="Times New Roman" w:hAnsi="Times New Roman"/>
                <w:sz w:val="20"/>
                <w:szCs w:val="20"/>
              </w:rPr>
            </w:pPr>
          </w:p>
        </w:tc>
      </w:tr>
      <w:tr w:rsidR="00BB68E1" w14:paraId="42A1273E" w14:textId="77777777">
        <w:tc>
          <w:tcPr>
            <w:tcW w:w="0" w:type="auto"/>
            <w:shd w:val="clear" w:color="auto" w:fill="CCEEFF"/>
            <w:tcMar>
              <w:top w:w="40" w:type="dxa"/>
              <w:left w:w="40" w:type="dxa"/>
              <w:bottom w:w="40" w:type="dxa"/>
              <w:right w:w="40" w:type="dxa"/>
            </w:tcMar>
            <w:vAlign w:val="center"/>
          </w:tcPr>
          <w:p w14:paraId="42A12726"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Balances as of January 31, 2019</w:t>
            </w:r>
          </w:p>
        </w:tc>
        <w:tc>
          <w:tcPr>
            <w:tcW w:w="0" w:type="auto"/>
            <w:shd w:val="clear" w:color="auto" w:fill="CCEEFF"/>
            <w:tcMar>
              <w:top w:w="40" w:type="dxa"/>
              <w:left w:w="40" w:type="dxa"/>
              <w:bottom w:w="40" w:type="dxa"/>
            </w:tcMar>
            <w:vAlign w:val="center"/>
          </w:tcPr>
          <w:p w14:paraId="42A1272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2,878</w:t>
            </w:r>
          </w:p>
        </w:tc>
        <w:tc>
          <w:tcPr>
            <w:tcW w:w="0" w:type="auto"/>
            <w:shd w:val="clear" w:color="auto" w:fill="CCEEFF"/>
            <w:vAlign w:val="bottom"/>
          </w:tcPr>
          <w:p w14:paraId="42A1272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2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2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288</w:t>
            </w:r>
          </w:p>
        </w:tc>
        <w:tc>
          <w:tcPr>
            <w:tcW w:w="0" w:type="auto"/>
            <w:shd w:val="clear" w:color="auto" w:fill="CCEEFF"/>
            <w:vAlign w:val="bottom"/>
          </w:tcPr>
          <w:p w14:paraId="42A1272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2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2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2,965</w:t>
            </w:r>
          </w:p>
        </w:tc>
        <w:tc>
          <w:tcPr>
            <w:tcW w:w="0" w:type="auto"/>
            <w:shd w:val="clear" w:color="auto" w:fill="CCEEFF"/>
            <w:vAlign w:val="bottom"/>
          </w:tcPr>
          <w:p w14:paraId="42A1272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2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3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80,785</w:t>
            </w:r>
          </w:p>
        </w:tc>
        <w:tc>
          <w:tcPr>
            <w:tcW w:w="0" w:type="auto"/>
            <w:shd w:val="clear" w:color="auto" w:fill="CCEEFF"/>
            <w:vAlign w:val="bottom"/>
          </w:tcPr>
          <w:p w14:paraId="42A1273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3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3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(11,542</w:t>
            </w:r>
          </w:p>
        </w:tc>
        <w:tc>
          <w:tcPr>
            <w:tcW w:w="0" w:type="auto"/>
            <w:shd w:val="clear" w:color="auto" w:fill="CCEEFF"/>
            <w:tcMar>
              <w:top w:w="40" w:type="dxa"/>
              <w:bottom w:w="40" w:type="dxa"/>
              <w:right w:w="40" w:type="dxa"/>
            </w:tcMar>
            <w:vAlign w:val="center"/>
          </w:tcPr>
          <w:p w14:paraId="42A1273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73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3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72,496</w:t>
            </w:r>
          </w:p>
        </w:tc>
        <w:tc>
          <w:tcPr>
            <w:tcW w:w="0" w:type="auto"/>
            <w:shd w:val="clear" w:color="auto" w:fill="CCEEFF"/>
            <w:vAlign w:val="bottom"/>
          </w:tcPr>
          <w:p w14:paraId="42A1273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3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3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7,138</w:t>
            </w:r>
          </w:p>
        </w:tc>
        <w:tc>
          <w:tcPr>
            <w:tcW w:w="0" w:type="auto"/>
            <w:shd w:val="clear" w:color="auto" w:fill="CCEEFF"/>
            <w:vAlign w:val="bottom"/>
          </w:tcPr>
          <w:p w14:paraId="42A1273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3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79,634</w:t>
            </w:r>
          </w:p>
        </w:tc>
        <w:tc>
          <w:tcPr>
            <w:tcW w:w="0" w:type="auto"/>
            <w:shd w:val="clear" w:color="auto" w:fill="CCEEFF"/>
            <w:vAlign w:val="bottom"/>
          </w:tcPr>
          <w:p w14:paraId="42A1273D" w14:textId="77777777" w:rsidR="00BB68E1" w:rsidRDefault="00BB68E1">
            <w:pPr>
              <w:textAlignment w:val="bottom"/>
              <w:rPr>
                <w:rFonts w:ascii="Times New Roman" w:hAnsi="Times New Roman"/>
                <w:sz w:val="20"/>
                <w:szCs w:val="20"/>
              </w:rPr>
            </w:pPr>
          </w:p>
        </w:tc>
      </w:tr>
      <w:tr w:rsidR="00BB68E1" w14:paraId="42A12758" w14:textId="77777777">
        <w:tc>
          <w:tcPr>
            <w:tcW w:w="0" w:type="auto"/>
            <w:shd w:val="clear" w:color="auto" w:fill="auto"/>
            <w:tcMar>
              <w:top w:w="40" w:type="dxa"/>
              <w:left w:w="40" w:type="dxa"/>
              <w:bottom w:w="40" w:type="dxa"/>
              <w:right w:w="40" w:type="dxa"/>
            </w:tcMar>
            <w:vAlign w:val="center"/>
          </w:tcPr>
          <w:p w14:paraId="42A1273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Adoption of new accounting standards on February 1, 2019, net of income taxes</w:t>
            </w:r>
          </w:p>
          <w:p w14:paraId="42A12740" w14:textId="77777777" w:rsidR="00BB68E1" w:rsidRDefault="00BB68E1">
            <w:pPr>
              <w:textAlignment w:val="center"/>
              <w:rPr>
                <w:rFonts w:ascii="Times New Roman" w:hAnsi="Times New Roman"/>
                <w:sz w:val="16"/>
                <w:szCs w:val="16"/>
              </w:rPr>
            </w:pPr>
          </w:p>
        </w:tc>
        <w:tc>
          <w:tcPr>
            <w:tcW w:w="0" w:type="auto"/>
            <w:shd w:val="clear" w:color="auto" w:fill="auto"/>
            <w:tcMar>
              <w:top w:w="40" w:type="dxa"/>
              <w:left w:w="40" w:type="dxa"/>
              <w:bottom w:w="40" w:type="dxa"/>
            </w:tcMar>
            <w:vAlign w:val="center"/>
          </w:tcPr>
          <w:p w14:paraId="42A1274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74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4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4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74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4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4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74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4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4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(266</w:t>
            </w:r>
          </w:p>
        </w:tc>
        <w:tc>
          <w:tcPr>
            <w:tcW w:w="0" w:type="auto"/>
            <w:shd w:val="clear" w:color="auto" w:fill="auto"/>
            <w:tcMar>
              <w:top w:w="40" w:type="dxa"/>
              <w:bottom w:w="40" w:type="dxa"/>
              <w:right w:w="40" w:type="dxa"/>
            </w:tcMar>
            <w:vAlign w:val="center"/>
          </w:tcPr>
          <w:p w14:paraId="42A1274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74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4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74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4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5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(266</w:t>
            </w:r>
          </w:p>
        </w:tc>
        <w:tc>
          <w:tcPr>
            <w:tcW w:w="0" w:type="auto"/>
            <w:shd w:val="clear" w:color="auto" w:fill="auto"/>
            <w:tcMar>
              <w:top w:w="40" w:type="dxa"/>
              <w:bottom w:w="40" w:type="dxa"/>
              <w:right w:w="40" w:type="dxa"/>
            </w:tcMar>
            <w:vAlign w:val="center"/>
          </w:tcPr>
          <w:p w14:paraId="42A1275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75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5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(34</w:t>
            </w:r>
          </w:p>
        </w:tc>
        <w:tc>
          <w:tcPr>
            <w:tcW w:w="0" w:type="auto"/>
            <w:shd w:val="clear" w:color="auto" w:fill="auto"/>
            <w:tcMar>
              <w:top w:w="40" w:type="dxa"/>
              <w:bottom w:w="40" w:type="dxa"/>
              <w:right w:w="40" w:type="dxa"/>
            </w:tcMar>
            <w:vAlign w:val="center"/>
          </w:tcPr>
          <w:p w14:paraId="42A1275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75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5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(300</w:t>
            </w:r>
          </w:p>
        </w:tc>
        <w:tc>
          <w:tcPr>
            <w:tcW w:w="0" w:type="auto"/>
            <w:shd w:val="clear" w:color="auto" w:fill="auto"/>
            <w:tcMar>
              <w:top w:w="40" w:type="dxa"/>
              <w:bottom w:w="40" w:type="dxa"/>
              <w:right w:w="40" w:type="dxa"/>
            </w:tcMar>
            <w:vAlign w:val="center"/>
          </w:tcPr>
          <w:p w14:paraId="42A1275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771" w14:textId="77777777">
        <w:tc>
          <w:tcPr>
            <w:tcW w:w="0" w:type="auto"/>
            <w:shd w:val="clear" w:color="auto" w:fill="CCEEFF"/>
            <w:tcMar>
              <w:top w:w="40" w:type="dxa"/>
              <w:left w:w="40" w:type="dxa"/>
              <w:bottom w:w="40" w:type="dxa"/>
              <w:right w:w="40" w:type="dxa"/>
            </w:tcMar>
            <w:vAlign w:val="center"/>
          </w:tcPr>
          <w:p w14:paraId="42A1275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Consolidated net income</w:t>
            </w:r>
          </w:p>
        </w:tc>
        <w:tc>
          <w:tcPr>
            <w:tcW w:w="0" w:type="auto"/>
            <w:shd w:val="clear" w:color="auto" w:fill="CCEEFF"/>
            <w:tcMar>
              <w:top w:w="40" w:type="dxa"/>
              <w:left w:w="40" w:type="dxa"/>
              <w:bottom w:w="40" w:type="dxa"/>
            </w:tcMar>
            <w:vAlign w:val="center"/>
          </w:tcPr>
          <w:p w14:paraId="42A1275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75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5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5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75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5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6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76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6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6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14,881</w:t>
            </w:r>
          </w:p>
        </w:tc>
        <w:tc>
          <w:tcPr>
            <w:tcW w:w="0" w:type="auto"/>
            <w:shd w:val="clear" w:color="auto" w:fill="CCEEFF"/>
            <w:vAlign w:val="bottom"/>
          </w:tcPr>
          <w:p w14:paraId="42A1276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6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6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76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6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6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14,881</w:t>
            </w:r>
          </w:p>
        </w:tc>
        <w:tc>
          <w:tcPr>
            <w:tcW w:w="0" w:type="auto"/>
            <w:shd w:val="clear" w:color="auto" w:fill="CCEEFF"/>
            <w:vAlign w:val="bottom"/>
          </w:tcPr>
          <w:p w14:paraId="42A1276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6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6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320</w:t>
            </w:r>
          </w:p>
        </w:tc>
        <w:tc>
          <w:tcPr>
            <w:tcW w:w="0" w:type="auto"/>
            <w:shd w:val="clear" w:color="auto" w:fill="CCEEFF"/>
            <w:vAlign w:val="bottom"/>
          </w:tcPr>
          <w:p w14:paraId="42A1276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6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15,201</w:t>
            </w:r>
          </w:p>
        </w:tc>
        <w:tc>
          <w:tcPr>
            <w:tcW w:w="0" w:type="auto"/>
            <w:shd w:val="clear" w:color="auto" w:fill="CCEEFF"/>
            <w:vAlign w:val="bottom"/>
          </w:tcPr>
          <w:p w14:paraId="42A12770" w14:textId="77777777" w:rsidR="00BB68E1" w:rsidRDefault="00BB68E1">
            <w:pPr>
              <w:textAlignment w:val="bottom"/>
              <w:rPr>
                <w:rFonts w:ascii="Times New Roman" w:hAnsi="Times New Roman"/>
                <w:sz w:val="20"/>
                <w:szCs w:val="20"/>
              </w:rPr>
            </w:pPr>
          </w:p>
        </w:tc>
      </w:tr>
      <w:tr w:rsidR="00BB68E1" w14:paraId="42A1278A" w14:textId="77777777">
        <w:tc>
          <w:tcPr>
            <w:tcW w:w="0" w:type="auto"/>
            <w:shd w:val="clear" w:color="auto" w:fill="auto"/>
            <w:tcMar>
              <w:top w:w="40" w:type="dxa"/>
              <w:left w:w="40" w:type="dxa"/>
              <w:bottom w:w="40" w:type="dxa"/>
              <w:right w:w="40" w:type="dxa"/>
            </w:tcMar>
            <w:vAlign w:val="center"/>
          </w:tcPr>
          <w:p w14:paraId="42A1277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 comprehensive income (loss), net of income taxes</w:t>
            </w:r>
          </w:p>
        </w:tc>
        <w:tc>
          <w:tcPr>
            <w:tcW w:w="0" w:type="auto"/>
            <w:shd w:val="clear" w:color="auto" w:fill="auto"/>
            <w:tcMar>
              <w:top w:w="40" w:type="dxa"/>
              <w:left w:w="40" w:type="dxa"/>
              <w:bottom w:w="40" w:type="dxa"/>
            </w:tcMar>
            <w:vAlign w:val="center"/>
          </w:tcPr>
          <w:p w14:paraId="42A1277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77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7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7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77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7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7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77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7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7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77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7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7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(1,263</w:t>
            </w:r>
          </w:p>
        </w:tc>
        <w:tc>
          <w:tcPr>
            <w:tcW w:w="0" w:type="auto"/>
            <w:shd w:val="clear" w:color="auto" w:fill="auto"/>
            <w:tcMar>
              <w:top w:w="40" w:type="dxa"/>
              <w:bottom w:w="40" w:type="dxa"/>
              <w:right w:w="40" w:type="dxa"/>
            </w:tcMar>
            <w:vAlign w:val="center"/>
          </w:tcPr>
          <w:p w14:paraId="42A1278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7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8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(1,263</w:t>
            </w:r>
          </w:p>
        </w:tc>
        <w:tc>
          <w:tcPr>
            <w:tcW w:w="0" w:type="auto"/>
            <w:shd w:val="clear" w:color="auto" w:fill="auto"/>
            <w:tcMar>
              <w:top w:w="40" w:type="dxa"/>
              <w:bottom w:w="40" w:type="dxa"/>
              <w:right w:w="40" w:type="dxa"/>
            </w:tcMar>
            <w:vAlign w:val="center"/>
          </w:tcPr>
          <w:p w14:paraId="42A1278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7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8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auto"/>
            <w:vAlign w:val="bottom"/>
          </w:tcPr>
          <w:p w14:paraId="42A1278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8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(1,235</w:t>
            </w:r>
          </w:p>
        </w:tc>
        <w:tc>
          <w:tcPr>
            <w:tcW w:w="0" w:type="auto"/>
            <w:shd w:val="clear" w:color="auto" w:fill="auto"/>
            <w:tcMar>
              <w:top w:w="40" w:type="dxa"/>
              <w:bottom w:w="40" w:type="dxa"/>
              <w:right w:w="40" w:type="dxa"/>
            </w:tcMar>
            <w:vAlign w:val="center"/>
          </w:tcPr>
          <w:p w14:paraId="42A1278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7A3" w14:textId="77777777">
        <w:tc>
          <w:tcPr>
            <w:tcW w:w="0" w:type="auto"/>
            <w:shd w:val="clear" w:color="auto" w:fill="CCEEFF"/>
            <w:tcMar>
              <w:top w:w="40" w:type="dxa"/>
              <w:left w:w="40" w:type="dxa"/>
              <w:bottom w:w="40" w:type="dxa"/>
              <w:right w:w="40" w:type="dxa"/>
            </w:tcMar>
            <w:vAlign w:val="center"/>
          </w:tcPr>
          <w:p w14:paraId="42A1278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Cash dividends declared ($2.12 per share)</w:t>
            </w:r>
          </w:p>
        </w:tc>
        <w:tc>
          <w:tcPr>
            <w:tcW w:w="0" w:type="auto"/>
            <w:shd w:val="clear" w:color="auto" w:fill="CCEEFF"/>
            <w:tcMar>
              <w:top w:w="40" w:type="dxa"/>
              <w:left w:w="40" w:type="dxa"/>
              <w:bottom w:w="40" w:type="dxa"/>
            </w:tcMar>
            <w:vAlign w:val="center"/>
          </w:tcPr>
          <w:p w14:paraId="42A1278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78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8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8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79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9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9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79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9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9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(6,048</w:t>
            </w:r>
          </w:p>
        </w:tc>
        <w:tc>
          <w:tcPr>
            <w:tcW w:w="0" w:type="auto"/>
            <w:shd w:val="clear" w:color="auto" w:fill="CCEEFF"/>
            <w:tcMar>
              <w:top w:w="40" w:type="dxa"/>
              <w:bottom w:w="40" w:type="dxa"/>
              <w:right w:w="40" w:type="dxa"/>
            </w:tcMar>
            <w:vAlign w:val="center"/>
          </w:tcPr>
          <w:p w14:paraId="42A1279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79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9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79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9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9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(6,048</w:t>
            </w:r>
          </w:p>
        </w:tc>
        <w:tc>
          <w:tcPr>
            <w:tcW w:w="0" w:type="auto"/>
            <w:shd w:val="clear" w:color="auto" w:fill="CCEEFF"/>
            <w:tcMar>
              <w:top w:w="40" w:type="dxa"/>
              <w:bottom w:w="40" w:type="dxa"/>
              <w:right w:w="40" w:type="dxa"/>
            </w:tcMar>
            <w:vAlign w:val="center"/>
          </w:tcPr>
          <w:p w14:paraId="42A1279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79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9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79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A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A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(6,048</w:t>
            </w:r>
          </w:p>
        </w:tc>
        <w:tc>
          <w:tcPr>
            <w:tcW w:w="0" w:type="auto"/>
            <w:shd w:val="clear" w:color="auto" w:fill="CCEEFF"/>
            <w:tcMar>
              <w:top w:w="40" w:type="dxa"/>
              <w:bottom w:w="40" w:type="dxa"/>
              <w:right w:w="40" w:type="dxa"/>
            </w:tcMar>
            <w:vAlign w:val="center"/>
          </w:tcPr>
          <w:p w14:paraId="42A127A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7BC" w14:textId="77777777">
        <w:tc>
          <w:tcPr>
            <w:tcW w:w="0" w:type="auto"/>
            <w:shd w:val="clear" w:color="auto" w:fill="auto"/>
            <w:tcMar>
              <w:top w:w="40" w:type="dxa"/>
              <w:left w:w="40" w:type="dxa"/>
              <w:bottom w:w="40" w:type="dxa"/>
              <w:right w:w="40" w:type="dxa"/>
            </w:tcMar>
            <w:vAlign w:val="center"/>
          </w:tcPr>
          <w:p w14:paraId="42A127A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Purchase of Company stock</w:t>
            </w:r>
          </w:p>
        </w:tc>
        <w:tc>
          <w:tcPr>
            <w:tcW w:w="0" w:type="auto"/>
            <w:shd w:val="clear" w:color="auto" w:fill="auto"/>
            <w:tcMar>
              <w:top w:w="40" w:type="dxa"/>
              <w:left w:w="40" w:type="dxa"/>
              <w:bottom w:w="40" w:type="dxa"/>
            </w:tcMar>
            <w:vAlign w:val="center"/>
          </w:tcPr>
          <w:p w14:paraId="42A127A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(53</w:t>
            </w:r>
          </w:p>
        </w:tc>
        <w:tc>
          <w:tcPr>
            <w:tcW w:w="0" w:type="auto"/>
            <w:shd w:val="clear" w:color="auto" w:fill="auto"/>
            <w:tcMar>
              <w:top w:w="40" w:type="dxa"/>
              <w:bottom w:w="40" w:type="dxa"/>
              <w:right w:w="40" w:type="dxa"/>
            </w:tcMar>
            <w:vAlign w:val="center"/>
          </w:tcPr>
          <w:p w14:paraId="42A127A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7A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A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w:t>
            </w:r>
          </w:p>
        </w:tc>
        <w:tc>
          <w:tcPr>
            <w:tcW w:w="0" w:type="auto"/>
            <w:shd w:val="clear" w:color="auto" w:fill="auto"/>
            <w:tcMar>
              <w:top w:w="40" w:type="dxa"/>
              <w:bottom w:w="40" w:type="dxa"/>
              <w:right w:w="40" w:type="dxa"/>
            </w:tcMar>
            <w:vAlign w:val="center"/>
          </w:tcPr>
          <w:p w14:paraId="42A127A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7A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A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(199</w:t>
            </w:r>
          </w:p>
        </w:tc>
        <w:tc>
          <w:tcPr>
            <w:tcW w:w="0" w:type="auto"/>
            <w:shd w:val="clear" w:color="auto" w:fill="auto"/>
            <w:tcMar>
              <w:top w:w="40" w:type="dxa"/>
              <w:bottom w:w="40" w:type="dxa"/>
              <w:right w:w="40" w:type="dxa"/>
            </w:tcMar>
            <w:vAlign w:val="center"/>
          </w:tcPr>
          <w:p w14:paraId="42A127A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7A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A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(5,435</w:t>
            </w:r>
          </w:p>
        </w:tc>
        <w:tc>
          <w:tcPr>
            <w:tcW w:w="0" w:type="auto"/>
            <w:shd w:val="clear" w:color="auto" w:fill="auto"/>
            <w:tcMar>
              <w:top w:w="40" w:type="dxa"/>
              <w:bottom w:w="40" w:type="dxa"/>
              <w:right w:w="40" w:type="dxa"/>
            </w:tcMar>
            <w:vAlign w:val="center"/>
          </w:tcPr>
          <w:p w14:paraId="42A127A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7B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B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7B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B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B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(5,639</w:t>
            </w:r>
          </w:p>
        </w:tc>
        <w:tc>
          <w:tcPr>
            <w:tcW w:w="0" w:type="auto"/>
            <w:shd w:val="clear" w:color="auto" w:fill="auto"/>
            <w:tcMar>
              <w:top w:w="40" w:type="dxa"/>
              <w:bottom w:w="40" w:type="dxa"/>
              <w:right w:w="40" w:type="dxa"/>
            </w:tcMar>
            <w:vAlign w:val="center"/>
          </w:tcPr>
          <w:p w14:paraId="42A127B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7B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B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7B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B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B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(5,639</w:t>
            </w:r>
          </w:p>
        </w:tc>
        <w:tc>
          <w:tcPr>
            <w:tcW w:w="0" w:type="auto"/>
            <w:shd w:val="clear" w:color="auto" w:fill="auto"/>
            <w:tcMar>
              <w:top w:w="40" w:type="dxa"/>
              <w:bottom w:w="40" w:type="dxa"/>
              <w:right w:w="40" w:type="dxa"/>
            </w:tcMar>
            <w:vAlign w:val="center"/>
          </w:tcPr>
          <w:p w14:paraId="42A127B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7D5" w14:textId="77777777">
        <w:tc>
          <w:tcPr>
            <w:tcW w:w="0" w:type="auto"/>
            <w:shd w:val="clear" w:color="auto" w:fill="CCEEFF"/>
            <w:tcMar>
              <w:top w:w="40" w:type="dxa"/>
              <w:left w:w="40" w:type="dxa"/>
              <w:bottom w:w="40" w:type="dxa"/>
              <w:right w:w="40" w:type="dxa"/>
            </w:tcMar>
            <w:vAlign w:val="center"/>
          </w:tcPr>
          <w:p w14:paraId="42A127B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Cash dividends declared to noncontrolling interest</w:t>
            </w:r>
          </w:p>
        </w:tc>
        <w:tc>
          <w:tcPr>
            <w:tcW w:w="0" w:type="auto"/>
            <w:shd w:val="clear" w:color="auto" w:fill="CCEEFF"/>
            <w:tcMar>
              <w:top w:w="40" w:type="dxa"/>
              <w:left w:w="40" w:type="dxa"/>
              <w:bottom w:w="40" w:type="dxa"/>
            </w:tcMar>
            <w:vAlign w:val="center"/>
          </w:tcPr>
          <w:p w14:paraId="42A127B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7B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C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7C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C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C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7C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C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7C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C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C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7C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C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C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7C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C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D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(475</w:t>
            </w:r>
          </w:p>
        </w:tc>
        <w:tc>
          <w:tcPr>
            <w:tcW w:w="0" w:type="auto"/>
            <w:shd w:val="clear" w:color="auto" w:fill="CCEEFF"/>
            <w:tcMar>
              <w:top w:w="40" w:type="dxa"/>
              <w:bottom w:w="40" w:type="dxa"/>
              <w:right w:w="40" w:type="dxa"/>
            </w:tcMar>
            <w:vAlign w:val="center"/>
          </w:tcPr>
          <w:p w14:paraId="42A127D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7D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7D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(475</w:t>
            </w:r>
          </w:p>
        </w:tc>
        <w:tc>
          <w:tcPr>
            <w:tcW w:w="0" w:type="auto"/>
            <w:shd w:val="clear" w:color="auto" w:fill="CCEEFF"/>
            <w:tcMar>
              <w:top w:w="40" w:type="dxa"/>
              <w:bottom w:w="40" w:type="dxa"/>
              <w:right w:w="40" w:type="dxa"/>
            </w:tcMar>
            <w:vAlign w:val="center"/>
          </w:tcPr>
          <w:p w14:paraId="42A127D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7EE" w14:textId="77777777">
        <w:tc>
          <w:tcPr>
            <w:tcW w:w="0" w:type="auto"/>
            <w:shd w:val="clear" w:color="auto" w:fill="auto"/>
            <w:tcMar>
              <w:top w:w="40" w:type="dxa"/>
              <w:left w:w="40" w:type="dxa"/>
              <w:bottom w:w="40" w:type="dxa"/>
              <w:right w:w="40" w:type="dxa"/>
            </w:tcMar>
            <w:vAlign w:val="center"/>
          </w:tcPr>
          <w:p w14:paraId="42A127D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w:t>
            </w:r>
          </w:p>
        </w:tc>
        <w:tc>
          <w:tcPr>
            <w:tcW w:w="0" w:type="auto"/>
            <w:tcBorders>
              <w:bottom w:val="single" w:sz="8" w:space="0" w:color="000000"/>
            </w:tcBorders>
            <w:shd w:val="clear" w:color="auto" w:fill="auto"/>
            <w:tcMar>
              <w:top w:w="40" w:type="dxa"/>
              <w:left w:w="40" w:type="dxa"/>
              <w:bottom w:w="40" w:type="dxa"/>
            </w:tcMar>
            <w:vAlign w:val="center"/>
          </w:tcPr>
          <w:p w14:paraId="42A127D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w:t>
            </w:r>
          </w:p>
        </w:tc>
        <w:tc>
          <w:tcPr>
            <w:tcW w:w="0" w:type="auto"/>
            <w:tcBorders>
              <w:bottom w:val="single" w:sz="8" w:space="0" w:color="000000"/>
            </w:tcBorders>
            <w:shd w:val="clear" w:color="auto" w:fill="auto"/>
            <w:vAlign w:val="bottom"/>
          </w:tcPr>
          <w:p w14:paraId="42A127D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D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7D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shd w:val="clear" w:color="auto" w:fill="auto"/>
            <w:vAlign w:val="bottom"/>
          </w:tcPr>
          <w:p w14:paraId="42A127D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D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7D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481</w:t>
            </w:r>
          </w:p>
        </w:tc>
        <w:tc>
          <w:tcPr>
            <w:tcW w:w="0" w:type="auto"/>
            <w:tcBorders>
              <w:bottom w:val="single" w:sz="8" w:space="0" w:color="000000"/>
            </w:tcBorders>
            <w:shd w:val="clear" w:color="auto" w:fill="auto"/>
            <w:vAlign w:val="bottom"/>
          </w:tcPr>
          <w:p w14:paraId="42A127D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D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7E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w:t>
            </w:r>
          </w:p>
        </w:tc>
        <w:tc>
          <w:tcPr>
            <w:tcW w:w="0" w:type="auto"/>
            <w:tcBorders>
              <w:bottom w:val="single" w:sz="8" w:space="0" w:color="000000"/>
            </w:tcBorders>
            <w:shd w:val="clear" w:color="auto" w:fill="auto"/>
            <w:vAlign w:val="bottom"/>
          </w:tcPr>
          <w:p w14:paraId="42A127E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E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7E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auto"/>
            <w:vAlign w:val="bottom"/>
          </w:tcPr>
          <w:p w14:paraId="42A127E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E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7E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508</w:t>
            </w:r>
          </w:p>
        </w:tc>
        <w:tc>
          <w:tcPr>
            <w:tcW w:w="0" w:type="auto"/>
            <w:tcBorders>
              <w:bottom w:val="single" w:sz="8" w:space="0" w:color="000000"/>
            </w:tcBorders>
            <w:shd w:val="clear" w:color="auto" w:fill="auto"/>
            <w:vAlign w:val="bottom"/>
          </w:tcPr>
          <w:p w14:paraId="42A127E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7E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7E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(94</w:t>
            </w:r>
          </w:p>
        </w:tc>
        <w:tc>
          <w:tcPr>
            <w:tcW w:w="0" w:type="auto"/>
            <w:tcBorders>
              <w:bottom w:val="single" w:sz="8" w:space="0" w:color="000000"/>
            </w:tcBorders>
            <w:shd w:val="clear" w:color="auto" w:fill="auto"/>
            <w:tcMar>
              <w:top w:w="40" w:type="dxa"/>
              <w:bottom w:w="40" w:type="dxa"/>
              <w:right w:w="40" w:type="dxa"/>
            </w:tcMar>
            <w:vAlign w:val="center"/>
          </w:tcPr>
          <w:p w14:paraId="42A127E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7E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7E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414</w:t>
            </w:r>
          </w:p>
        </w:tc>
        <w:tc>
          <w:tcPr>
            <w:tcW w:w="0" w:type="auto"/>
            <w:tcBorders>
              <w:bottom w:val="single" w:sz="8" w:space="0" w:color="000000"/>
            </w:tcBorders>
            <w:shd w:val="clear" w:color="auto" w:fill="auto"/>
            <w:vAlign w:val="bottom"/>
          </w:tcPr>
          <w:p w14:paraId="42A127ED" w14:textId="77777777" w:rsidR="00BB68E1" w:rsidRDefault="00BB68E1">
            <w:pPr>
              <w:textAlignment w:val="bottom"/>
              <w:rPr>
                <w:rFonts w:ascii="Times New Roman" w:hAnsi="Times New Roman"/>
                <w:sz w:val="20"/>
                <w:szCs w:val="20"/>
              </w:rPr>
            </w:pPr>
          </w:p>
        </w:tc>
      </w:tr>
      <w:tr w:rsidR="005D2D5E" w14:paraId="42A1280E" w14:textId="77777777">
        <w:tc>
          <w:tcPr>
            <w:tcW w:w="0" w:type="auto"/>
            <w:shd w:val="clear" w:color="auto" w:fill="CCEEFF"/>
            <w:tcMar>
              <w:top w:w="40" w:type="dxa"/>
              <w:left w:w="40" w:type="dxa"/>
              <w:bottom w:w="40" w:type="dxa"/>
              <w:right w:w="40" w:type="dxa"/>
            </w:tcMar>
            <w:vAlign w:val="center"/>
          </w:tcPr>
          <w:p w14:paraId="42A127EF"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Balances as of January 31, 2020</w:t>
            </w:r>
          </w:p>
        </w:tc>
        <w:tc>
          <w:tcPr>
            <w:tcW w:w="0" w:type="auto"/>
            <w:tcBorders>
              <w:bottom w:val="double" w:sz="6" w:space="0" w:color="000000"/>
            </w:tcBorders>
            <w:shd w:val="clear" w:color="auto" w:fill="CCEEFF"/>
            <w:tcMar>
              <w:top w:w="40" w:type="dxa"/>
              <w:left w:w="40" w:type="dxa"/>
              <w:bottom w:w="40" w:type="dxa"/>
            </w:tcMar>
            <w:vAlign w:val="center"/>
          </w:tcPr>
          <w:p w14:paraId="42A127F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2,832</w:t>
            </w:r>
          </w:p>
        </w:tc>
        <w:tc>
          <w:tcPr>
            <w:tcW w:w="0" w:type="auto"/>
            <w:tcBorders>
              <w:bottom w:val="double" w:sz="6" w:space="0" w:color="000000"/>
            </w:tcBorders>
            <w:shd w:val="clear" w:color="auto" w:fill="CCEEFF"/>
            <w:vAlign w:val="bottom"/>
          </w:tcPr>
          <w:p w14:paraId="42A127F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F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27F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27F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284</w:t>
            </w:r>
          </w:p>
        </w:tc>
        <w:tc>
          <w:tcPr>
            <w:tcW w:w="0" w:type="auto"/>
            <w:tcBorders>
              <w:top w:val="single" w:sz="8" w:space="0" w:color="000000"/>
              <w:bottom w:val="double" w:sz="6" w:space="0" w:color="000000"/>
            </w:tcBorders>
            <w:shd w:val="clear" w:color="auto" w:fill="CCEEFF"/>
            <w:vAlign w:val="bottom"/>
          </w:tcPr>
          <w:p w14:paraId="42A127F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F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27F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27F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3,247</w:t>
            </w:r>
          </w:p>
        </w:tc>
        <w:tc>
          <w:tcPr>
            <w:tcW w:w="0" w:type="auto"/>
            <w:tcBorders>
              <w:bottom w:val="double" w:sz="6" w:space="0" w:color="000000"/>
            </w:tcBorders>
            <w:shd w:val="clear" w:color="auto" w:fill="CCEEFF"/>
            <w:vAlign w:val="bottom"/>
          </w:tcPr>
          <w:p w14:paraId="42A127F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F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27F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27F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83,943</w:t>
            </w:r>
          </w:p>
        </w:tc>
        <w:tc>
          <w:tcPr>
            <w:tcW w:w="0" w:type="auto"/>
            <w:tcBorders>
              <w:bottom w:val="double" w:sz="6" w:space="0" w:color="000000"/>
            </w:tcBorders>
            <w:shd w:val="clear" w:color="auto" w:fill="CCEEFF"/>
            <w:vAlign w:val="bottom"/>
          </w:tcPr>
          <w:p w14:paraId="42A127F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7F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27F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280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(12,805</w:t>
            </w:r>
          </w:p>
        </w:tc>
        <w:tc>
          <w:tcPr>
            <w:tcW w:w="0" w:type="auto"/>
            <w:tcBorders>
              <w:bottom w:val="double" w:sz="6" w:space="0" w:color="000000"/>
            </w:tcBorders>
            <w:shd w:val="clear" w:color="auto" w:fill="CCEEFF"/>
            <w:tcMar>
              <w:top w:w="40" w:type="dxa"/>
              <w:bottom w:w="40" w:type="dxa"/>
              <w:right w:w="40" w:type="dxa"/>
            </w:tcMar>
            <w:vAlign w:val="center"/>
          </w:tcPr>
          <w:p w14:paraId="42A1280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80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280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280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74,669</w:t>
            </w:r>
          </w:p>
        </w:tc>
        <w:tc>
          <w:tcPr>
            <w:tcW w:w="0" w:type="auto"/>
            <w:tcBorders>
              <w:bottom w:val="double" w:sz="6" w:space="0" w:color="000000"/>
            </w:tcBorders>
            <w:shd w:val="clear" w:color="auto" w:fill="CCEEFF"/>
            <w:vAlign w:val="bottom"/>
          </w:tcPr>
          <w:p w14:paraId="42A1280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80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280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280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6,883</w:t>
            </w:r>
          </w:p>
        </w:tc>
        <w:tc>
          <w:tcPr>
            <w:tcW w:w="0" w:type="auto"/>
            <w:tcBorders>
              <w:bottom w:val="double" w:sz="6" w:space="0" w:color="000000"/>
            </w:tcBorders>
            <w:shd w:val="clear" w:color="auto" w:fill="CCEEFF"/>
            <w:vAlign w:val="bottom"/>
          </w:tcPr>
          <w:p w14:paraId="42A1280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80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280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280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81,552</w:t>
            </w:r>
          </w:p>
        </w:tc>
        <w:tc>
          <w:tcPr>
            <w:tcW w:w="0" w:type="auto"/>
            <w:tcBorders>
              <w:bottom w:val="double" w:sz="6" w:space="0" w:color="000000"/>
            </w:tcBorders>
            <w:shd w:val="clear" w:color="auto" w:fill="CCEEFF"/>
            <w:vAlign w:val="bottom"/>
          </w:tcPr>
          <w:p w14:paraId="42A1280D" w14:textId="77777777" w:rsidR="00BB68E1" w:rsidRDefault="00BB68E1">
            <w:pPr>
              <w:textAlignment w:val="bottom"/>
              <w:rPr>
                <w:rFonts w:ascii="Times New Roman" w:hAnsi="Times New Roman"/>
                <w:sz w:val="20"/>
                <w:szCs w:val="20"/>
              </w:rPr>
            </w:pPr>
          </w:p>
        </w:tc>
      </w:tr>
    </w:tbl>
    <w:p w14:paraId="42A1280F" w14:textId="77777777" w:rsidR="00BB68E1" w:rsidRDefault="005D2D5E">
      <w:pPr>
        <w:spacing w:line="288" w:lineRule="auto"/>
        <w:rPr>
          <w:rFonts w:ascii="Times New Roman" w:hAnsi="Times New Roman"/>
          <w:sz w:val="16"/>
          <w:szCs w:val="16"/>
        </w:rPr>
      </w:pPr>
      <w:r>
        <w:rPr>
          <w:rFonts w:ascii="Times New Roman" w:eastAsia="宋体" w:hAnsi="Times New Roman"/>
          <w:i/>
          <w:iCs/>
          <w:sz w:val="16"/>
          <w:szCs w:val="16"/>
        </w:rPr>
        <w:t>See a</w:t>
      </w:r>
      <w:r>
        <w:rPr>
          <w:rFonts w:ascii="Times New Roman" w:eastAsia="宋体" w:hAnsi="Times New Roman"/>
          <w:i/>
          <w:iCs/>
          <w:sz w:val="16"/>
          <w:szCs w:val="16"/>
        </w:rPr>
        <w:t>ccompanying notes.</w:t>
      </w:r>
    </w:p>
    <w:p w14:paraId="42A12810" w14:textId="77777777" w:rsidR="00BB68E1" w:rsidRDefault="00BB68E1">
      <w:pPr>
        <w:rPr>
          <w:rFonts w:ascii="Times New Roman" w:hAnsi="Times New Roman"/>
          <w:sz w:val="20"/>
          <w:szCs w:val="20"/>
        </w:rPr>
      </w:pPr>
    </w:p>
    <w:p w14:paraId="42A12811"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53</w:t>
      </w:r>
    </w:p>
    <w:p w14:paraId="42A12812" w14:textId="77777777" w:rsidR="00BB68E1" w:rsidRDefault="00BB68E1">
      <w:pPr>
        <w:spacing w:line="288" w:lineRule="auto"/>
        <w:jc w:val="center"/>
        <w:rPr>
          <w:rFonts w:ascii="Times New Roman" w:hAnsi="Times New Roman"/>
          <w:sz w:val="20"/>
          <w:szCs w:val="20"/>
        </w:rPr>
      </w:pPr>
    </w:p>
    <w:p w14:paraId="42A12813" w14:textId="77777777" w:rsidR="00BB68E1" w:rsidRDefault="005D2D5E">
      <w:r>
        <w:rPr>
          <w:rFonts w:ascii="Times New Roman" w:hAnsi="Times New Roman"/>
          <w:sz w:val="20"/>
          <w:szCs w:val="20"/>
        </w:rPr>
        <w:pict w14:anchorId="42A142AC">
          <v:rect id="_x0000_i1077" style="width:415.3pt;height:1.5pt" o:hralign="center" o:hrstd="t" o:hr="t" fillcolor="#a0a0a0" stroked="f"/>
        </w:pict>
      </w:r>
    </w:p>
    <w:p w14:paraId="42A12814" w14:textId="77777777" w:rsidR="00BB68E1" w:rsidRDefault="00BB68E1">
      <w:pPr>
        <w:spacing w:line="288" w:lineRule="auto"/>
        <w:rPr>
          <w:rFonts w:ascii="Times New Roman" w:hAnsi="Times New Roman"/>
          <w:sz w:val="20"/>
          <w:szCs w:val="20"/>
        </w:rPr>
      </w:pPr>
    </w:p>
    <w:p w14:paraId="42A12815" w14:textId="77777777" w:rsidR="00BB68E1" w:rsidRDefault="00BB68E1">
      <w:pPr>
        <w:rPr>
          <w:rFonts w:ascii="Times New Roman" w:hAnsi="Times New Roman"/>
          <w:sz w:val="20"/>
          <w:szCs w:val="20"/>
        </w:rPr>
      </w:pPr>
    </w:p>
    <w:p w14:paraId="42A12816"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42A12817"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Consolidated Statements of Cash Flows</w:t>
      </w:r>
    </w:p>
    <w:p w14:paraId="42A12818" w14:textId="77777777" w:rsidR="00BB68E1" w:rsidRDefault="00BB68E1">
      <w:pPr>
        <w:spacing w:line="288" w:lineRule="auto"/>
        <w:jc w:val="cente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4995"/>
        <w:gridCol w:w="130"/>
        <w:gridCol w:w="120"/>
        <w:gridCol w:w="759"/>
        <w:gridCol w:w="94"/>
        <w:gridCol w:w="130"/>
        <w:gridCol w:w="121"/>
        <w:gridCol w:w="759"/>
        <w:gridCol w:w="94"/>
        <w:gridCol w:w="130"/>
        <w:gridCol w:w="120"/>
        <w:gridCol w:w="760"/>
        <w:gridCol w:w="94"/>
      </w:tblGrid>
      <w:tr w:rsidR="00BB68E1" w14:paraId="42A1281A" w14:textId="77777777">
        <w:tc>
          <w:tcPr>
            <w:tcW w:w="0" w:type="auto"/>
            <w:gridSpan w:val="13"/>
            <w:shd w:val="clear" w:color="auto" w:fill="auto"/>
            <w:vAlign w:val="center"/>
          </w:tcPr>
          <w:p w14:paraId="42A12819" w14:textId="77777777" w:rsidR="00BB68E1" w:rsidRDefault="00BB68E1">
            <w:pPr>
              <w:rPr>
                <w:rFonts w:ascii="Times New Roman" w:hAnsi="Times New Roman"/>
                <w:sz w:val="20"/>
                <w:szCs w:val="20"/>
              </w:rPr>
            </w:pPr>
          </w:p>
        </w:tc>
      </w:tr>
      <w:tr w:rsidR="00BB68E1" w14:paraId="42A12828" w14:textId="77777777">
        <w:tc>
          <w:tcPr>
            <w:tcW w:w="3050" w:type="pct"/>
            <w:shd w:val="clear" w:color="auto" w:fill="auto"/>
            <w:vAlign w:val="center"/>
          </w:tcPr>
          <w:p w14:paraId="42A1281B" w14:textId="77777777" w:rsidR="00BB68E1" w:rsidRDefault="00BB68E1">
            <w:pPr>
              <w:rPr>
                <w:rFonts w:ascii="Times New Roman" w:hAnsi="Times New Roman"/>
                <w:sz w:val="20"/>
                <w:szCs w:val="20"/>
              </w:rPr>
            </w:pPr>
          </w:p>
        </w:tc>
        <w:tc>
          <w:tcPr>
            <w:tcW w:w="50" w:type="pct"/>
            <w:shd w:val="clear" w:color="auto" w:fill="auto"/>
            <w:vAlign w:val="center"/>
          </w:tcPr>
          <w:p w14:paraId="42A1281C" w14:textId="77777777" w:rsidR="00BB68E1" w:rsidRDefault="00BB68E1">
            <w:pPr>
              <w:rPr>
                <w:rFonts w:ascii="Times New Roman" w:hAnsi="Times New Roman"/>
                <w:sz w:val="20"/>
                <w:szCs w:val="20"/>
              </w:rPr>
            </w:pPr>
          </w:p>
        </w:tc>
        <w:tc>
          <w:tcPr>
            <w:tcW w:w="50" w:type="pct"/>
            <w:shd w:val="clear" w:color="auto" w:fill="auto"/>
            <w:vAlign w:val="center"/>
          </w:tcPr>
          <w:p w14:paraId="42A1281D" w14:textId="77777777" w:rsidR="00BB68E1" w:rsidRDefault="00BB68E1">
            <w:pPr>
              <w:rPr>
                <w:rFonts w:ascii="Times New Roman" w:hAnsi="Times New Roman"/>
                <w:sz w:val="20"/>
                <w:szCs w:val="20"/>
              </w:rPr>
            </w:pPr>
          </w:p>
        </w:tc>
        <w:tc>
          <w:tcPr>
            <w:tcW w:w="500" w:type="pct"/>
            <w:shd w:val="clear" w:color="auto" w:fill="auto"/>
            <w:vAlign w:val="center"/>
          </w:tcPr>
          <w:p w14:paraId="42A1281E" w14:textId="77777777" w:rsidR="00BB68E1" w:rsidRDefault="00BB68E1">
            <w:pPr>
              <w:rPr>
                <w:rFonts w:ascii="Times New Roman" w:hAnsi="Times New Roman"/>
                <w:sz w:val="20"/>
                <w:szCs w:val="20"/>
              </w:rPr>
            </w:pPr>
          </w:p>
        </w:tc>
        <w:tc>
          <w:tcPr>
            <w:tcW w:w="50" w:type="pct"/>
            <w:shd w:val="clear" w:color="auto" w:fill="auto"/>
            <w:vAlign w:val="center"/>
          </w:tcPr>
          <w:p w14:paraId="42A1281F" w14:textId="77777777" w:rsidR="00BB68E1" w:rsidRDefault="00BB68E1">
            <w:pPr>
              <w:rPr>
                <w:rFonts w:ascii="Times New Roman" w:hAnsi="Times New Roman"/>
                <w:sz w:val="20"/>
                <w:szCs w:val="20"/>
              </w:rPr>
            </w:pPr>
          </w:p>
        </w:tc>
        <w:tc>
          <w:tcPr>
            <w:tcW w:w="50" w:type="pct"/>
            <w:shd w:val="clear" w:color="auto" w:fill="auto"/>
            <w:vAlign w:val="center"/>
          </w:tcPr>
          <w:p w14:paraId="42A12820" w14:textId="77777777" w:rsidR="00BB68E1" w:rsidRDefault="00BB68E1">
            <w:pPr>
              <w:rPr>
                <w:rFonts w:ascii="Times New Roman" w:hAnsi="Times New Roman"/>
                <w:sz w:val="20"/>
                <w:szCs w:val="20"/>
              </w:rPr>
            </w:pPr>
          </w:p>
        </w:tc>
        <w:tc>
          <w:tcPr>
            <w:tcW w:w="50" w:type="pct"/>
            <w:shd w:val="clear" w:color="auto" w:fill="auto"/>
            <w:vAlign w:val="center"/>
          </w:tcPr>
          <w:p w14:paraId="42A12821" w14:textId="77777777" w:rsidR="00BB68E1" w:rsidRDefault="00BB68E1">
            <w:pPr>
              <w:rPr>
                <w:rFonts w:ascii="Times New Roman" w:hAnsi="Times New Roman"/>
                <w:sz w:val="20"/>
                <w:szCs w:val="20"/>
              </w:rPr>
            </w:pPr>
          </w:p>
        </w:tc>
        <w:tc>
          <w:tcPr>
            <w:tcW w:w="500" w:type="pct"/>
            <w:shd w:val="clear" w:color="auto" w:fill="auto"/>
            <w:vAlign w:val="center"/>
          </w:tcPr>
          <w:p w14:paraId="42A12822" w14:textId="77777777" w:rsidR="00BB68E1" w:rsidRDefault="00BB68E1">
            <w:pPr>
              <w:rPr>
                <w:rFonts w:ascii="Times New Roman" w:hAnsi="Times New Roman"/>
                <w:sz w:val="20"/>
                <w:szCs w:val="20"/>
              </w:rPr>
            </w:pPr>
          </w:p>
        </w:tc>
        <w:tc>
          <w:tcPr>
            <w:tcW w:w="50" w:type="pct"/>
            <w:shd w:val="clear" w:color="auto" w:fill="auto"/>
            <w:vAlign w:val="center"/>
          </w:tcPr>
          <w:p w14:paraId="42A12823" w14:textId="77777777" w:rsidR="00BB68E1" w:rsidRDefault="00BB68E1">
            <w:pPr>
              <w:rPr>
                <w:rFonts w:ascii="Times New Roman" w:hAnsi="Times New Roman"/>
                <w:sz w:val="20"/>
                <w:szCs w:val="20"/>
              </w:rPr>
            </w:pPr>
          </w:p>
        </w:tc>
        <w:tc>
          <w:tcPr>
            <w:tcW w:w="50" w:type="pct"/>
            <w:shd w:val="clear" w:color="auto" w:fill="auto"/>
            <w:vAlign w:val="center"/>
          </w:tcPr>
          <w:p w14:paraId="42A12824" w14:textId="77777777" w:rsidR="00BB68E1" w:rsidRDefault="00BB68E1">
            <w:pPr>
              <w:rPr>
                <w:rFonts w:ascii="Times New Roman" w:hAnsi="Times New Roman"/>
                <w:sz w:val="20"/>
                <w:szCs w:val="20"/>
              </w:rPr>
            </w:pPr>
          </w:p>
        </w:tc>
        <w:tc>
          <w:tcPr>
            <w:tcW w:w="50" w:type="pct"/>
            <w:shd w:val="clear" w:color="auto" w:fill="auto"/>
            <w:vAlign w:val="center"/>
          </w:tcPr>
          <w:p w14:paraId="42A12825" w14:textId="77777777" w:rsidR="00BB68E1" w:rsidRDefault="00BB68E1">
            <w:pPr>
              <w:rPr>
                <w:rFonts w:ascii="Times New Roman" w:hAnsi="Times New Roman"/>
                <w:sz w:val="20"/>
                <w:szCs w:val="20"/>
              </w:rPr>
            </w:pPr>
          </w:p>
        </w:tc>
        <w:tc>
          <w:tcPr>
            <w:tcW w:w="500" w:type="pct"/>
            <w:shd w:val="clear" w:color="auto" w:fill="auto"/>
            <w:vAlign w:val="center"/>
          </w:tcPr>
          <w:p w14:paraId="42A12826" w14:textId="77777777" w:rsidR="00BB68E1" w:rsidRDefault="00BB68E1">
            <w:pPr>
              <w:rPr>
                <w:rFonts w:ascii="Times New Roman" w:hAnsi="Times New Roman"/>
                <w:sz w:val="20"/>
                <w:szCs w:val="20"/>
              </w:rPr>
            </w:pPr>
          </w:p>
        </w:tc>
        <w:tc>
          <w:tcPr>
            <w:tcW w:w="50" w:type="pct"/>
            <w:shd w:val="clear" w:color="auto" w:fill="auto"/>
            <w:vAlign w:val="center"/>
          </w:tcPr>
          <w:p w14:paraId="42A12827" w14:textId="77777777" w:rsidR="00BB68E1" w:rsidRDefault="00BB68E1">
            <w:pPr>
              <w:rPr>
                <w:rFonts w:ascii="Times New Roman" w:hAnsi="Times New Roman"/>
                <w:sz w:val="20"/>
                <w:szCs w:val="20"/>
              </w:rPr>
            </w:pPr>
          </w:p>
        </w:tc>
      </w:tr>
      <w:tr w:rsidR="00BB68E1" w14:paraId="42A1282C" w14:textId="77777777">
        <w:tc>
          <w:tcPr>
            <w:tcW w:w="0" w:type="auto"/>
            <w:shd w:val="clear" w:color="auto" w:fill="auto"/>
            <w:tcMar>
              <w:top w:w="40" w:type="dxa"/>
              <w:left w:w="40" w:type="dxa"/>
              <w:bottom w:w="40" w:type="dxa"/>
              <w:right w:w="40" w:type="dxa"/>
            </w:tcMar>
            <w:vAlign w:val="bottom"/>
          </w:tcPr>
          <w:p w14:paraId="42A1282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82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282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2834" w14:textId="77777777">
        <w:tc>
          <w:tcPr>
            <w:tcW w:w="0" w:type="auto"/>
            <w:shd w:val="clear" w:color="auto" w:fill="auto"/>
            <w:tcMar>
              <w:top w:w="40" w:type="dxa"/>
              <w:left w:w="40" w:type="dxa"/>
              <w:bottom w:w="40" w:type="dxa"/>
              <w:right w:w="40" w:type="dxa"/>
            </w:tcMar>
            <w:vAlign w:val="bottom"/>
          </w:tcPr>
          <w:p w14:paraId="42A1282D"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282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82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283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831"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283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83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283C" w14:textId="77777777">
        <w:tc>
          <w:tcPr>
            <w:tcW w:w="0" w:type="auto"/>
            <w:shd w:val="clear" w:color="auto" w:fill="auto"/>
            <w:tcMar>
              <w:top w:w="40" w:type="dxa"/>
              <w:left w:w="40" w:type="dxa"/>
              <w:bottom w:w="40" w:type="dxa"/>
              <w:right w:w="40" w:type="dxa"/>
            </w:tcMar>
            <w:vAlign w:val="center"/>
          </w:tcPr>
          <w:p w14:paraId="42A12835"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Cash flows from operating activities:</w:t>
            </w:r>
          </w:p>
        </w:tc>
        <w:tc>
          <w:tcPr>
            <w:tcW w:w="0" w:type="auto"/>
            <w:shd w:val="clear" w:color="auto" w:fill="auto"/>
            <w:tcMar>
              <w:top w:w="40" w:type="dxa"/>
              <w:left w:w="40" w:type="dxa"/>
              <w:bottom w:w="40" w:type="dxa"/>
              <w:right w:w="40" w:type="dxa"/>
            </w:tcMar>
            <w:vAlign w:val="bottom"/>
          </w:tcPr>
          <w:p w14:paraId="42A1283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42A1283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83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83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83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8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84A" w14:textId="77777777">
        <w:tc>
          <w:tcPr>
            <w:tcW w:w="0" w:type="auto"/>
            <w:shd w:val="clear" w:color="auto" w:fill="CCEEFF"/>
            <w:tcMar>
              <w:top w:w="40" w:type="dxa"/>
              <w:left w:w="560" w:type="dxa"/>
              <w:bottom w:w="40" w:type="dxa"/>
              <w:right w:w="40" w:type="dxa"/>
            </w:tcMar>
            <w:vAlign w:val="center"/>
          </w:tcPr>
          <w:p w14:paraId="42A1283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lastRenderedPageBreak/>
              <w:t>Consolidated net income</w:t>
            </w:r>
          </w:p>
        </w:tc>
        <w:tc>
          <w:tcPr>
            <w:tcW w:w="0" w:type="auto"/>
            <w:shd w:val="clear" w:color="auto" w:fill="CCEEFF"/>
            <w:tcMar>
              <w:top w:w="40" w:type="dxa"/>
              <w:left w:w="40" w:type="dxa"/>
              <w:bottom w:w="40" w:type="dxa"/>
              <w:right w:w="40" w:type="dxa"/>
            </w:tcMar>
            <w:vAlign w:val="bottom"/>
          </w:tcPr>
          <w:p w14:paraId="42A1283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83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84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15,201</w:t>
            </w:r>
          </w:p>
        </w:tc>
        <w:tc>
          <w:tcPr>
            <w:tcW w:w="0" w:type="auto"/>
            <w:shd w:val="clear" w:color="auto" w:fill="CCEEFF"/>
            <w:vAlign w:val="bottom"/>
          </w:tcPr>
          <w:p w14:paraId="42A1284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84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84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84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7,179</w:t>
            </w:r>
          </w:p>
        </w:tc>
        <w:tc>
          <w:tcPr>
            <w:tcW w:w="0" w:type="auto"/>
            <w:shd w:val="clear" w:color="auto" w:fill="CCEEFF"/>
            <w:vAlign w:val="bottom"/>
          </w:tcPr>
          <w:p w14:paraId="42A1284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84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84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84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10,523</w:t>
            </w:r>
          </w:p>
        </w:tc>
        <w:tc>
          <w:tcPr>
            <w:tcW w:w="0" w:type="auto"/>
            <w:shd w:val="clear" w:color="auto" w:fill="CCEEFF"/>
            <w:vAlign w:val="bottom"/>
          </w:tcPr>
          <w:p w14:paraId="42A12849" w14:textId="77777777" w:rsidR="00BB68E1" w:rsidRDefault="00BB68E1">
            <w:pPr>
              <w:textAlignment w:val="bottom"/>
              <w:rPr>
                <w:rFonts w:ascii="Times New Roman" w:hAnsi="Times New Roman"/>
                <w:sz w:val="20"/>
                <w:szCs w:val="20"/>
              </w:rPr>
            </w:pPr>
          </w:p>
        </w:tc>
      </w:tr>
      <w:tr w:rsidR="00BB68E1" w14:paraId="42A12852" w14:textId="77777777">
        <w:tc>
          <w:tcPr>
            <w:tcW w:w="0" w:type="auto"/>
            <w:shd w:val="clear" w:color="auto" w:fill="auto"/>
            <w:tcMar>
              <w:top w:w="40" w:type="dxa"/>
              <w:left w:w="560" w:type="dxa"/>
              <w:bottom w:w="40" w:type="dxa"/>
              <w:right w:w="40" w:type="dxa"/>
            </w:tcMar>
            <w:vAlign w:val="center"/>
          </w:tcPr>
          <w:p w14:paraId="42A1284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Adjustments to reconcile consolidated net income to net cash provided by operating activities:</w:t>
            </w:r>
          </w:p>
        </w:tc>
        <w:tc>
          <w:tcPr>
            <w:tcW w:w="0" w:type="auto"/>
            <w:shd w:val="clear" w:color="auto" w:fill="auto"/>
            <w:tcMar>
              <w:top w:w="40" w:type="dxa"/>
              <w:left w:w="40" w:type="dxa"/>
              <w:bottom w:w="40" w:type="dxa"/>
              <w:right w:w="40" w:type="dxa"/>
            </w:tcMar>
            <w:vAlign w:val="bottom"/>
          </w:tcPr>
          <w:p w14:paraId="42A1284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8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84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84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85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85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85D" w14:textId="77777777">
        <w:tc>
          <w:tcPr>
            <w:tcW w:w="0" w:type="auto"/>
            <w:shd w:val="clear" w:color="auto" w:fill="CCEEFF"/>
            <w:tcMar>
              <w:top w:w="40" w:type="dxa"/>
              <w:left w:w="1040" w:type="dxa"/>
              <w:bottom w:w="40" w:type="dxa"/>
              <w:right w:w="40" w:type="dxa"/>
            </w:tcMar>
            <w:vAlign w:val="center"/>
          </w:tcPr>
          <w:p w14:paraId="42A1285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Depreciation and amortization</w:t>
            </w:r>
          </w:p>
        </w:tc>
        <w:tc>
          <w:tcPr>
            <w:tcW w:w="0" w:type="auto"/>
            <w:shd w:val="clear" w:color="auto" w:fill="CCEEFF"/>
            <w:tcMar>
              <w:top w:w="40" w:type="dxa"/>
              <w:left w:w="40" w:type="dxa"/>
              <w:bottom w:w="40" w:type="dxa"/>
              <w:right w:w="40" w:type="dxa"/>
            </w:tcMar>
            <w:vAlign w:val="bottom"/>
          </w:tcPr>
          <w:p w14:paraId="42A128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5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10,987</w:t>
            </w:r>
          </w:p>
        </w:tc>
        <w:tc>
          <w:tcPr>
            <w:tcW w:w="0" w:type="auto"/>
            <w:shd w:val="clear" w:color="auto" w:fill="CCEEFF"/>
            <w:vAlign w:val="bottom"/>
          </w:tcPr>
          <w:p w14:paraId="42A1285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85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5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10,678</w:t>
            </w:r>
          </w:p>
        </w:tc>
        <w:tc>
          <w:tcPr>
            <w:tcW w:w="0" w:type="auto"/>
            <w:shd w:val="clear" w:color="auto" w:fill="CCEEFF"/>
            <w:vAlign w:val="bottom"/>
          </w:tcPr>
          <w:p w14:paraId="42A1285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85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5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10,529</w:t>
            </w:r>
          </w:p>
        </w:tc>
        <w:tc>
          <w:tcPr>
            <w:tcW w:w="0" w:type="auto"/>
            <w:shd w:val="clear" w:color="auto" w:fill="CCEEFF"/>
            <w:vAlign w:val="bottom"/>
          </w:tcPr>
          <w:p w14:paraId="42A1285C" w14:textId="77777777" w:rsidR="00BB68E1" w:rsidRDefault="00BB68E1">
            <w:pPr>
              <w:textAlignment w:val="bottom"/>
              <w:rPr>
                <w:rFonts w:ascii="Times New Roman" w:hAnsi="Times New Roman"/>
                <w:sz w:val="20"/>
                <w:szCs w:val="20"/>
              </w:rPr>
            </w:pPr>
          </w:p>
        </w:tc>
      </w:tr>
      <w:tr w:rsidR="00BB68E1" w14:paraId="42A12868" w14:textId="77777777">
        <w:tc>
          <w:tcPr>
            <w:tcW w:w="0" w:type="auto"/>
            <w:shd w:val="clear" w:color="auto" w:fill="auto"/>
            <w:tcMar>
              <w:top w:w="40" w:type="dxa"/>
              <w:left w:w="1040" w:type="dxa"/>
              <w:bottom w:w="40" w:type="dxa"/>
              <w:right w:w="40" w:type="dxa"/>
            </w:tcMar>
            <w:vAlign w:val="center"/>
          </w:tcPr>
          <w:p w14:paraId="42A1285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Unrealized (gains) and losses</w:t>
            </w:r>
          </w:p>
        </w:tc>
        <w:tc>
          <w:tcPr>
            <w:tcW w:w="0" w:type="auto"/>
            <w:shd w:val="clear" w:color="auto" w:fill="auto"/>
            <w:tcMar>
              <w:top w:w="40" w:type="dxa"/>
              <w:left w:w="40" w:type="dxa"/>
              <w:bottom w:w="40" w:type="dxa"/>
              <w:right w:w="40" w:type="dxa"/>
            </w:tcMar>
            <w:vAlign w:val="bottom"/>
          </w:tcPr>
          <w:p w14:paraId="42A1285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86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(1,886</w:t>
            </w:r>
          </w:p>
        </w:tc>
        <w:tc>
          <w:tcPr>
            <w:tcW w:w="0" w:type="auto"/>
            <w:shd w:val="clear" w:color="auto" w:fill="auto"/>
            <w:tcMar>
              <w:top w:w="40" w:type="dxa"/>
              <w:bottom w:w="40" w:type="dxa"/>
              <w:right w:w="40" w:type="dxa"/>
            </w:tcMar>
            <w:vAlign w:val="center"/>
          </w:tcPr>
          <w:p w14:paraId="42A1286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86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86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3,516</w:t>
            </w:r>
          </w:p>
        </w:tc>
        <w:tc>
          <w:tcPr>
            <w:tcW w:w="0" w:type="auto"/>
            <w:shd w:val="clear" w:color="auto" w:fill="auto"/>
            <w:vAlign w:val="bottom"/>
          </w:tcPr>
          <w:p w14:paraId="42A1286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86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86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867" w14:textId="77777777" w:rsidR="00BB68E1" w:rsidRDefault="00BB68E1">
            <w:pPr>
              <w:textAlignment w:val="bottom"/>
              <w:rPr>
                <w:rFonts w:ascii="Times New Roman" w:hAnsi="Times New Roman"/>
                <w:sz w:val="20"/>
                <w:szCs w:val="20"/>
              </w:rPr>
            </w:pPr>
          </w:p>
        </w:tc>
      </w:tr>
      <w:tr w:rsidR="00BB68E1" w14:paraId="42A12873" w14:textId="77777777">
        <w:tc>
          <w:tcPr>
            <w:tcW w:w="0" w:type="auto"/>
            <w:shd w:val="clear" w:color="auto" w:fill="CCEEFF"/>
            <w:tcMar>
              <w:top w:w="40" w:type="dxa"/>
              <w:left w:w="1040" w:type="dxa"/>
              <w:bottom w:w="40" w:type="dxa"/>
              <w:right w:w="40" w:type="dxa"/>
            </w:tcMar>
            <w:vAlign w:val="center"/>
          </w:tcPr>
          <w:p w14:paraId="42A1286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(Gains) and losses for disposal of business operations</w:t>
            </w:r>
          </w:p>
        </w:tc>
        <w:tc>
          <w:tcPr>
            <w:tcW w:w="0" w:type="auto"/>
            <w:shd w:val="clear" w:color="auto" w:fill="CCEEFF"/>
            <w:tcMar>
              <w:top w:w="40" w:type="dxa"/>
              <w:left w:w="40" w:type="dxa"/>
              <w:bottom w:w="40" w:type="dxa"/>
              <w:right w:w="40" w:type="dxa"/>
            </w:tcMar>
            <w:vAlign w:val="bottom"/>
          </w:tcPr>
          <w:p w14:paraId="42A1286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6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shd w:val="clear" w:color="auto" w:fill="CCEEFF"/>
            <w:vAlign w:val="bottom"/>
          </w:tcPr>
          <w:p w14:paraId="42A1286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86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6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4,850</w:t>
            </w:r>
          </w:p>
        </w:tc>
        <w:tc>
          <w:tcPr>
            <w:tcW w:w="0" w:type="auto"/>
            <w:shd w:val="clear" w:color="auto" w:fill="CCEEFF"/>
            <w:vAlign w:val="bottom"/>
          </w:tcPr>
          <w:p w14:paraId="42A1286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87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7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872" w14:textId="77777777" w:rsidR="00BB68E1" w:rsidRDefault="00BB68E1">
            <w:pPr>
              <w:textAlignment w:val="bottom"/>
              <w:rPr>
                <w:rFonts w:ascii="Times New Roman" w:hAnsi="Times New Roman"/>
                <w:sz w:val="20"/>
                <w:szCs w:val="20"/>
              </w:rPr>
            </w:pPr>
          </w:p>
        </w:tc>
      </w:tr>
      <w:tr w:rsidR="00BB68E1" w14:paraId="42A1287E" w14:textId="77777777">
        <w:tc>
          <w:tcPr>
            <w:tcW w:w="0" w:type="auto"/>
            <w:shd w:val="clear" w:color="auto" w:fill="auto"/>
            <w:tcMar>
              <w:top w:w="40" w:type="dxa"/>
              <w:left w:w="1040" w:type="dxa"/>
              <w:bottom w:w="40" w:type="dxa"/>
              <w:right w:w="40" w:type="dxa"/>
            </w:tcMar>
            <w:vAlign w:val="center"/>
          </w:tcPr>
          <w:p w14:paraId="42A1287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Asda pension contribution</w:t>
            </w:r>
          </w:p>
        </w:tc>
        <w:tc>
          <w:tcPr>
            <w:tcW w:w="0" w:type="auto"/>
            <w:shd w:val="clear" w:color="auto" w:fill="auto"/>
            <w:tcMar>
              <w:top w:w="40" w:type="dxa"/>
              <w:left w:w="40" w:type="dxa"/>
              <w:bottom w:w="40" w:type="dxa"/>
              <w:right w:w="40" w:type="dxa"/>
            </w:tcMar>
            <w:vAlign w:val="bottom"/>
          </w:tcPr>
          <w:p w14:paraId="42A1287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87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(1,036</w:t>
            </w:r>
          </w:p>
        </w:tc>
        <w:tc>
          <w:tcPr>
            <w:tcW w:w="0" w:type="auto"/>
            <w:shd w:val="clear" w:color="auto" w:fill="auto"/>
            <w:tcMar>
              <w:top w:w="40" w:type="dxa"/>
              <w:bottom w:w="40" w:type="dxa"/>
              <w:right w:w="40" w:type="dxa"/>
            </w:tcMar>
            <w:vAlign w:val="center"/>
          </w:tcPr>
          <w:p w14:paraId="42A1287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87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87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87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87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87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87D" w14:textId="77777777" w:rsidR="00BB68E1" w:rsidRDefault="00BB68E1">
            <w:pPr>
              <w:textAlignment w:val="bottom"/>
              <w:rPr>
                <w:rFonts w:ascii="Times New Roman" w:hAnsi="Times New Roman"/>
                <w:sz w:val="20"/>
                <w:szCs w:val="20"/>
              </w:rPr>
            </w:pPr>
          </w:p>
        </w:tc>
      </w:tr>
      <w:tr w:rsidR="00BB68E1" w14:paraId="42A12889" w14:textId="77777777">
        <w:tc>
          <w:tcPr>
            <w:tcW w:w="0" w:type="auto"/>
            <w:shd w:val="clear" w:color="auto" w:fill="CCEEFF"/>
            <w:tcMar>
              <w:top w:w="40" w:type="dxa"/>
              <w:left w:w="1040" w:type="dxa"/>
              <w:bottom w:w="40" w:type="dxa"/>
              <w:right w:w="40" w:type="dxa"/>
            </w:tcMar>
            <w:vAlign w:val="center"/>
          </w:tcPr>
          <w:p w14:paraId="42A1287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Deferred income taxes</w:t>
            </w:r>
          </w:p>
        </w:tc>
        <w:tc>
          <w:tcPr>
            <w:tcW w:w="0" w:type="auto"/>
            <w:shd w:val="clear" w:color="auto" w:fill="CCEEFF"/>
            <w:tcMar>
              <w:top w:w="40" w:type="dxa"/>
              <w:left w:w="40" w:type="dxa"/>
              <w:bottom w:w="40" w:type="dxa"/>
              <w:right w:w="40" w:type="dxa"/>
            </w:tcMar>
            <w:vAlign w:val="bottom"/>
          </w:tcPr>
          <w:p w14:paraId="42A1288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8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320</w:t>
            </w:r>
          </w:p>
        </w:tc>
        <w:tc>
          <w:tcPr>
            <w:tcW w:w="0" w:type="auto"/>
            <w:shd w:val="clear" w:color="auto" w:fill="CCEEFF"/>
            <w:vAlign w:val="bottom"/>
          </w:tcPr>
          <w:p w14:paraId="42A1288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88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8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(499</w:t>
            </w:r>
          </w:p>
        </w:tc>
        <w:tc>
          <w:tcPr>
            <w:tcW w:w="0" w:type="auto"/>
            <w:shd w:val="clear" w:color="auto" w:fill="CCEEFF"/>
            <w:tcMar>
              <w:top w:w="40" w:type="dxa"/>
              <w:bottom w:w="40" w:type="dxa"/>
              <w:right w:w="40" w:type="dxa"/>
            </w:tcMar>
            <w:vAlign w:val="center"/>
          </w:tcPr>
          <w:p w14:paraId="42A1288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8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8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(304</w:t>
            </w:r>
          </w:p>
        </w:tc>
        <w:tc>
          <w:tcPr>
            <w:tcW w:w="0" w:type="auto"/>
            <w:shd w:val="clear" w:color="auto" w:fill="CCEEFF"/>
            <w:tcMar>
              <w:top w:w="40" w:type="dxa"/>
              <w:bottom w:w="40" w:type="dxa"/>
              <w:right w:w="40" w:type="dxa"/>
            </w:tcMar>
            <w:vAlign w:val="center"/>
          </w:tcPr>
          <w:p w14:paraId="42A1288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894" w14:textId="77777777">
        <w:tc>
          <w:tcPr>
            <w:tcW w:w="0" w:type="auto"/>
            <w:shd w:val="clear" w:color="auto" w:fill="auto"/>
            <w:tcMar>
              <w:top w:w="40" w:type="dxa"/>
              <w:left w:w="1040" w:type="dxa"/>
              <w:bottom w:w="40" w:type="dxa"/>
              <w:right w:w="40" w:type="dxa"/>
            </w:tcMar>
            <w:vAlign w:val="center"/>
          </w:tcPr>
          <w:p w14:paraId="42A1288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Loss on extinguishment of debt</w:t>
            </w:r>
          </w:p>
        </w:tc>
        <w:tc>
          <w:tcPr>
            <w:tcW w:w="0" w:type="auto"/>
            <w:shd w:val="clear" w:color="auto" w:fill="auto"/>
            <w:tcMar>
              <w:top w:w="40" w:type="dxa"/>
              <w:left w:w="40" w:type="dxa"/>
              <w:bottom w:w="40" w:type="dxa"/>
              <w:right w:w="40" w:type="dxa"/>
            </w:tcMar>
            <w:vAlign w:val="bottom"/>
          </w:tcPr>
          <w:p w14:paraId="42A1288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88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88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88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88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89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89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89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3,136</w:t>
            </w:r>
          </w:p>
        </w:tc>
        <w:tc>
          <w:tcPr>
            <w:tcW w:w="0" w:type="auto"/>
            <w:shd w:val="clear" w:color="auto" w:fill="auto"/>
            <w:vAlign w:val="bottom"/>
          </w:tcPr>
          <w:p w14:paraId="42A12893" w14:textId="77777777" w:rsidR="00BB68E1" w:rsidRDefault="00BB68E1">
            <w:pPr>
              <w:textAlignment w:val="bottom"/>
              <w:rPr>
                <w:rFonts w:ascii="Times New Roman" w:hAnsi="Times New Roman"/>
                <w:sz w:val="20"/>
                <w:szCs w:val="20"/>
              </w:rPr>
            </w:pPr>
          </w:p>
        </w:tc>
      </w:tr>
      <w:tr w:rsidR="00BB68E1" w14:paraId="42A1289F" w14:textId="77777777">
        <w:tc>
          <w:tcPr>
            <w:tcW w:w="0" w:type="auto"/>
            <w:shd w:val="clear" w:color="auto" w:fill="CCEEFF"/>
            <w:tcMar>
              <w:top w:w="40" w:type="dxa"/>
              <w:left w:w="1040" w:type="dxa"/>
              <w:bottom w:w="40" w:type="dxa"/>
              <w:right w:w="40" w:type="dxa"/>
            </w:tcMar>
            <w:vAlign w:val="center"/>
          </w:tcPr>
          <w:p w14:paraId="42A1289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Other operating </w:t>
            </w:r>
            <w:r>
              <w:rPr>
                <w:rFonts w:ascii="Times New Roman" w:eastAsia="宋体" w:hAnsi="Times New Roman"/>
                <w:sz w:val="16"/>
                <w:szCs w:val="16"/>
              </w:rPr>
              <w:t>activities</w:t>
            </w:r>
          </w:p>
        </w:tc>
        <w:tc>
          <w:tcPr>
            <w:tcW w:w="0" w:type="auto"/>
            <w:shd w:val="clear" w:color="auto" w:fill="CCEEFF"/>
            <w:tcMar>
              <w:top w:w="40" w:type="dxa"/>
              <w:left w:w="40" w:type="dxa"/>
              <w:bottom w:w="40" w:type="dxa"/>
              <w:right w:w="40" w:type="dxa"/>
            </w:tcMar>
            <w:vAlign w:val="bottom"/>
          </w:tcPr>
          <w:p w14:paraId="42A1289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9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1,981</w:t>
            </w:r>
          </w:p>
        </w:tc>
        <w:tc>
          <w:tcPr>
            <w:tcW w:w="0" w:type="auto"/>
            <w:shd w:val="clear" w:color="auto" w:fill="CCEEFF"/>
            <w:vAlign w:val="bottom"/>
          </w:tcPr>
          <w:p w14:paraId="42A1289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89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9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1,734</w:t>
            </w:r>
          </w:p>
        </w:tc>
        <w:tc>
          <w:tcPr>
            <w:tcW w:w="0" w:type="auto"/>
            <w:shd w:val="clear" w:color="auto" w:fill="CCEEFF"/>
            <w:vAlign w:val="bottom"/>
          </w:tcPr>
          <w:p w14:paraId="42A1289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89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9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1,210</w:t>
            </w:r>
          </w:p>
        </w:tc>
        <w:tc>
          <w:tcPr>
            <w:tcW w:w="0" w:type="auto"/>
            <w:shd w:val="clear" w:color="auto" w:fill="CCEEFF"/>
            <w:vAlign w:val="bottom"/>
          </w:tcPr>
          <w:p w14:paraId="42A1289E" w14:textId="77777777" w:rsidR="00BB68E1" w:rsidRDefault="00BB68E1">
            <w:pPr>
              <w:textAlignment w:val="bottom"/>
              <w:rPr>
                <w:rFonts w:ascii="Times New Roman" w:hAnsi="Times New Roman"/>
                <w:sz w:val="20"/>
                <w:szCs w:val="20"/>
              </w:rPr>
            </w:pPr>
          </w:p>
        </w:tc>
      </w:tr>
      <w:tr w:rsidR="00BB68E1" w14:paraId="42A128A7" w14:textId="77777777">
        <w:tc>
          <w:tcPr>
            <w:tcW w:w="0" w:type="auto"/>
            <w:shd w:val="clear" w:color="auto" w:fill="auto"/>
            <w:tcMar>
              <w:top w:w="40" w:type="dxa"/>
              <w:left w:w="1040" w:type="dxa"/>
              <w:bottom w:w="40" w:type="dxa"/>
              <w:right w:w="40" w:type="dxa"/>
            </w:tcMar>
            <w:vAlign w:val="center"/>
          </w:tcPr>
          <w:p w14:paraId="42A128A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Changes in certain assets and liabilities, net of effects of acquisitions:</w:t>
            </w:r>
          </w:p>
        </w:tc>
        <w:tc>
          <w:tcPr>
            <w:tcW w:w="0" w:type="auto"/>
            <w:shd w:val="clear" w:color="auto" w:fill="auto"/>
            <w:tcMar>
              <w:top w:w="40" w:type="dxa"/>
              <w:left w:w="40" w:type="dxa"/>
              <w:bottom w:w="40" w:type="dxa"/>
              <w:right w:w="40" w:type="dxa"/>
            </w:tcMar>
            <w:vAlign w:val="bottom"/>
          </w:tcPr>
          <w:p w14:paraId="42A128A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8A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8A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8A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8A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8A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8B2" w14:textId="77777777">
        <w:tc>
          <w:tcPr>
            <w:tcW w:w="0" w:type="auto"/>
            <w:shd w:val="clear" w:color="auto" w:fill="CCEEFF"/>
            <w:tcMar>
              <w:top w:w="40" w:type="dxa"/>
              <w:left w:w="1680" w:type="dxa"/>
              <w:bottom w:w="40" w:type="dxa"/>
              <w:right w:w="40" w:type="dxa"/>
            </w:tcMar>
            <w:vAlign w:val="center"/>
          </w:tcPr>
          <w:p w14:paraId="42A128A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Receivables, net</w:t>
            </w:r>
          </w:p>
        </w:tc>
        <w:tc>
          <w:tcPr>
            <w:tcW w:w="0" w:type="auto"/>
            <w:shd w:val="clear" w:color="auto" w:fill="CCEEFF"/>
            <w:tcMar>
              <w:top w:w="40" w:type="dxa"/>
              <w:left w:w="40" w:type="dxa"/>
              <w:bottom w:w="40" w:type="dxa"/>
              <w:right w:w="40" w:type="dxa"/>
            </w:tcMar>
            <w:vAlign w:val="bottom"/>
          </w:tcPr>
          <w:p w14:paraId="42A128A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A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154</w:t>
            </w:r>
          </w:p>
        </w:tc>
        <w:tc>
          <w:tcPr>
            <w:tcW w:w="0" w:type="auto"/>
            <w:shd w:val="clear" w:color="auto" w:fill="CCEEFF"/>
            <w:vAlign w:val="bottom"/>
          </w:tcPr>
          <w:p w14:paraId="42A128A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8A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A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(368</w:t>
            </w:r>
          </w:p>
        </w:tc>
        <w:tc>
          <w:tcPr>
            <w:tcW w:w="0" w:type="auto"/>
            <w:shd w:val="clear" w:color="auto" w:fill="CCEEFF"/>
            <w:tcMar>
              <w:top w:w="40" w:type="dxa"/>
              <w:bottom w:w="40" w:type="dxa"/>
              <w:right w:w="40" w:type="dxa"/>
            </w:tcMar>
            <w:vAlign w:val="center"/>
          </w:tcPr>
          <w:p w14:paraId="42A128A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8A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B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(1,074</w:t>
            </w:r>
          </w:p>
        </w:tc>
        <w:tc>
          <w:tcPr>
            <w:tcW w:w="0" w:type="auto"/>
            <w:shd w:val="clear" w:color="auto" w:fill="CCEEFF"/>
            <w:tcMar>
              <w:top w:w="40" w:type="dxa"/>
              <w:bottom w:w="40" w:type="dxa"/>
              <w:right w:w="40" w:type="dxa"/>
            </w:tcMar>
            <w:vAlign w:val="center"/>
          </w:tcPr>
          <w:p w14:paraId="42A128B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8BD" w14:textId="77777777">
        <w:tc>
          <w:tcPr>
            <w:tcW w:w="0" w:type="auto"/>
            <w:shd w:val="clear" w:color="auto" w:fill="auto"/>
            <w:tcMar>
              <w:top w:w="40" w:type="dxa"/>
              <w:left w:w="1680" w:type="dxa"/>
              <w:bottom w:w="40" w:type="dxa"/>
              <w:right w:w="40" w:type="dxa"/>
            </w:tcMar>
            <w:vAlign w:val="center"/>
          </w:tcPr>
          <w:p w14:paraId="42A128B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Inventories</w:t>
            </w:r>
          </w:p>
        </w:tc>
        <w:tc>
          <w:tcPr>
            <w:tcW w:w="0" w:type="auto"/>
            <w:shd w:val="clear" w:color="auto" w:fill="auto"/>
            <w:tcMar>
              <w:top w:w="40" w:type="dxa"/>
              <w:left w:w="40" w:type="dxa"/>
              <w:bottom w:w="40" w:type="dxa"/>
              <w:right w:w="40" w:type="dxa"/>
            </w:tcMar>
            <w:vAlign w:val="bottom"/>
          </w:tcPr>
          <w:p w14:paraId="42A128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8B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(300</w:t>
            </w:r>
          </w:p>
        </w:tc>
        <w:tc>
          <w:tcPr>
            <w:tcW w:w="0" w:type="auto"/>
            <w:shd w:val="clear" w:color="auto" w:fill="auto"/>
            <w:tcMar>
              <w:top w:w="40" w:type="dxa"/>
              <w:bottom w:w="40" w:type="dxa"/>
              <w:right w:w="40" w:type="dxa"/>
            </w:tcMar>
            <w:vAlign w:val="center"/>
          </w:tcPr>
          <w:p w14:paraId="42A128B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8B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8B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(1,311</w:t>
            </w:r>
          </w:p>
        </w:tc>
        <w:tc>
          <w:tcPr>
            <w:tcW w:w="0" w:type="auto"/>
            <w:shd w:val="clear" w:color="auto" w:fill="auto"/>
            <w:tcMar>
              <w:top w:w="40" w:type="dxa"/>
              <w:bottom w:w="40" w:type="dxa"/>
              <w:right w:w="40" w:type="dxa"/>
            </w:tcMar>
            <w:vAlign w:val="center"/>
          </w:tcPr>
          <w:p w14:paraId="42A128B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8B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8B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(140</w:t>
            </w:r>
          </w:p>
        </w:tc>
        <w:tc>
          <w:tcPr>
            <w:tcW w:w="0" w:type="auto"/>
            <w:shd w:val="clear" w:color="auto" w:fill="auto"/>
            <w:tcMar>
              <w:top w:w="40" w:type="dxa"/>
              <w:bottom w:w="40" w:type="dxa"/>
              <w:right w:w="40" w:type="dxa"/>
            </w:tcMar>
            <w:vAlign w:val="center"/>
          </w:tcPr>
          <w:p w14:paraId="42A128B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8C8" w14:textId="77777777">
        <w:tc>
          <w:tcPr>
            <w:tcW w:w="0" w:type="auto"/>
            <w:shd w:val="clear" w:color="auto" w:fill="CCEEFF"/>
            <w:tcMar>
              <w:top w:w="40" w:type="dxa"/>
              <w:left w:w="1680" w:type="dxa"/>
              <w:bottom w:w="40" w:type="dxa"/>
              <w:right w:w="40" w:type="dxa"/>
            </w:tcMar>
            <w:vAlign w:val="center"/>
          </w:tcPr>
          <w:p w14:paraId="42A128B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Accounts payable</w:t>
            </w:r>
          </w:p>
        </w:tc>
        <w:tc>
          <w:tcPr>
            <w:tcW w:w="0" w:type="auto"/>
            <w:shd w:val="clear" w:color="auto" w:fill="CCEEFF"/>
            <w:tcMar>
              <w:top w:w="40" w:type="dxa"/>
              <w:left w:w="40" w:type="dxa"/>
              <w:bottom w:w="40" w:type="dxa"/>
              <w:right w:w="40" w:type="dxa"/>
            </w:tcMar>
            <w:vAlign w:val="bottom"/>
          </w:tcPr>
          <w:p w14:paraId="42A128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C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(274</w:t>
            </w:r>
          </w:p>
        </w:tc>
        <w:tc>
          <w:tcPr>
            <w:tcW w:w="0" w:type="auto"/>
            <w:shd w:val="clear" w:color="auto" w:fill="CCEEFF"/>
            <w:tcMar>
              <w:top w:w="40" w:type="dxa"/>
              <w:bottom w:w="40" w:type="dxa"/>
              <w:right w:w="40" w:type="dxa"/>
            </w:tcMar>
            <w:vAlign w:val="center"/>
          </w:tcPr>
          <w:p w14:paraId="42A128C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8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C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1,831</w:t>
            </w:r>
          </w:p>
        </w:tc>
        <w:tc>
          <w:tcPr>
            <w:tcW w:w="0" w:type="auto"/>
            <w:shd w:val="clear" w:color="auto" w:fill="CCEEFF"/>
            <w:vAlign w:val="bottom"/>
          </w:tcPr>
          <w:p w14:paraId="42A128C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8C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C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4,086</w:t>
            </w:r>
          </w:p>
        </w:tc>
        <w:tc>
          <w:tcPr>
            <w:tcW w:w="0" w:type="auto"/>
            <w:shd w:val="clear" w:color="auto" w:fill="CCEEFF"/>
            <w:vAlign w:val="bottom"/>
          </w:tcPr>
          <w:p w14:paraId="42A128C7" w14:textId="77777777" w:rsidR="00BB68E1" w:rsidRDefault="00BB68E1">
            <w:pPr>
              <w:textAlignment w:val="bottom"/>
              <w:rPr>
                <w:rFonts w:ascii="Times New Roman" w:hAnsi="Times New Roman"/>
                <w:sz w:val="20"/>
                <w:szCs w:val="20"/>
              </w:rPr>
            </w:pPr>
          </w:p>
        </w:tc>
      </w:tr>
      <w:tr w:rsidR="00BB68E1" w14:paraId="42A128D3" w14:textId="77777777">
        <w:tc>
          <w:tcPr>
            <w:tcW w:w="0" w:type="auto"/>
            <w:shd w:val="clear" w:color="auto" w:fill="auto"/>
            <w:tcMar>
              <w:top w:w="40" w:type="dxa"/>
              <w:left w:w="1680" w:type="dxa"/>
              <w:bottom w:w="40" w:type="dxa"/>
              <w:right w:w="40" w:type="dxa"/>
            </w:tcMar>
            <w:vAlign w:val="center"/>
          </w:tcPr>
          <w:p w14:paraId="42A128C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Accrued liabilities</w:t>
            </w:r>
          </w:p>
        </w:tc>
        <w:tc>
          <w:tcPr>
            <w:tcW w:w="0" w:type="auto"/>
            <w:shd w:val="clear" w:color="auto" w:fill="auto"/>
            <w:tcMar>
              <w:top w:w="40" w:type="dxa"/>
              <w:left w:w="40" w:type="dxa"/>
              <w:bottom w:w="40" w:type="dxa"/>
              <w:right w:w="40" w:type="dxa"/>
            </w:tcMar>
            <w:vAlign w:val="bottom"/>
          </w:tcPr>
          <w:p w14:paraId="42A128C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8C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186</w:t>
            </w:r>
          </w:p>
        </w:tc>
        <w:tc>
          <w:tcPr>
            <w:tcW w:w="0" w:type="auto"/>
            <w:shd w:val="clear" w:color="auto" w:fill="auto"/>
            <w:vAlign w:val="bottom"/>
          </w:tcPr>
          <w:p w14:paraId="42A128C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8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8C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183</w:t>
            </w:r>
          </w:p>
        </w:tc>
        <w:tc>
          <w:tcPr>
            <w:tcW w:w="0" w:type="auto"/>
            <w:shd w:val="clear" w:color="auto" w:fill="auto"/>
            <w:vAlign w:val="bottom"/>
          </w:tcPr>
          <w:p w14:paraId="42A128C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8D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8D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928</w:t>
            </w:r>
          </w:p>
        </w:tc>
        <w:tc>
          <w:tcPr>
            <w:tcW w:w="0" w:type="auto"/>
            <w:shd w:val="clear" w:color="auto" w:fill="auto"/>
            <w:vAlign w:val="bottom"/>
          </w:tcPr>
          <w:p w14:paraId="42A128D2" w14:textId="77777777" w:rsidR="00BB68E1" w:rsidRDefault="00BB68E1">
            <w:pPr>
              <w:textAlignment w:val="bottom"/>
              <w:rPr>
                <w:rFonts w:ascii="Times New Roman" w:hAnsi="Times New Roman"/>
                <w:sz w:val="20"/>
                <w:szCs w:val="20"/>
              </w:rPr>
            </w:pPr>
          </w:p>
        </w:tc>
      </w:tr>
      <w:tr w:rsidR="00BB68E1" w14:paraId="42A128DE" w14:textId="77777777">
        <w:tc>
          <w:tcPr>
            <w:tcW w:w="0" w:type="auto"/>
            <w:shd w:val="clear" w:color="auto" w:fill="CCEEFF"/>
            <w:tcMar>
              <w:top w:w="40" w:type="dxa"/>
              <w:left w:w="1680" w:type="dxa"/>
              <w:bottom w:w="40" w:type="dxa"/>
              <w:right w:w="40" w:type="dxa"/>
            </w:tcMar>
            <w:vAlign w:val="center"/>
          </w:tcPr>
          <w:p w14:paraId="42A128D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Accrued income taxes</w:t>
            </w:r>
          </w:p>
        </w:tc>
        <w:tc>
          <w:tcPr>
            <w:tcW w:w="0" w:type="auto"/>
            <w:shd w:val="clear" w:color="auto" w:fill="CCEEFF"/>
            <w:tcMar>
              <w:top w:w="40" w:type="dxa"/>
              <w:left w:w="40" w:type="dxa"/>
              <w:bottom w:w="40" w:type="dxa"/>
              <w:right w:w="40" w:type="dxa"/>
            </w:tcMar>
            <w:vAlign w:val="bottom"/>
          </w:tcPr>
          <w:p w14:paraId="42A128D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D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(93</w:t>
            </w:r>
          </w:p>
        </w:tc>
        <w:tc>
          <w:tcPr>
            <w:tcW w:w="0" w:type="auto"/>
            <w:shd w:val="clear" w:color="auto" w:fill="CCEEFF"/>
            <w:tcMar>
              <w:top w:w="40" w:type="dxa"/>
              <w:bottom w:w="40" w:type="dxa"/>
              <w:right w:w="40" w:type="dxa"/>
            </w:tcMar>
            <w:vAlign w:val="center"/>
          </w:tcPr>
          <w:p w14:paraId="42A128D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8D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D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w:t>
            </w:r>
          </w:p>
        </w:tc>
        <w:tc>
          <w:tcPr>
            <w:tcW w:w="0" w:type="auto"/>
            <w:shd w:val="clear" w:color="auto" w:fill="CCEEFF"/>
            <w:tcMar>
              <w:top w:w="40" w:type="dxa"/>
              <w:bottom w:w="40" w:type="dxa"/>
              <w:right w:w="40" w:type="dxa"/>
            </w:tcMar>
            <w:vAlign w:val="center"/>
          </w:tcPr>
          <w:p w14:paraId="42A128D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8D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D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(557</w:t>
            </w:r>
          </w:p>
        </w:tc>
        <w:tc>
          <w:tcPr>
            <w:tcW w:w="0" w:type="auto"/>
            <w:shd w:val="clear" w:color="auto" w:fill="CCEEFF"/>
            <w:tcMar>
              <w:top w:w="40" w:type="dxa"/>
              <w:bottom w:w="40" w:type="dxa"/>
              <w:right w:w="40" w:type="dxa"/>
            </w:tcMar>
            <w:vAlign w:val="center"/>
          </w:tcPr>
          <w:p w14:paraId="42A128D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8E9" w14:textId="77777777">
        <w:tc>
          <w:tcPr>
            <w:tcW w:w="0" w:type="auto"/>
            <w:shd w:val="clear" w:color="auto" w:fill="auto"/>
            <w:tcMar>
              <w:top w:w="40" w:type="dxa"/>
              <w:left w:w="40" w:type="dxa"/>
              <w:bottom w:w="40" w:type="dxa"/>
              <w:right w:w="40" w:type="dxa"/>
            </w:tcMar>
            <w:vAlign w:val="center"/>
          </w:tcPr>
          <w:p w14:paraId="42A128D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cash provided by operating activities</w:t>
            </w:r>
          </w:p>
        </w:tc>
        <w:tc>
          <w:tcPr>
            <w:tcW w:w="0" w:type="auto"/>
            <w:shd w:val="clear" w:color="auto" w:fill="auto"/>
            <w:tcMar>
              <w:top w:w="40" w:type="dxa"/>
              <w:left w:w="40" w:type="dxa"/>
              <w:bottom w:w="40" w:type="dxa"/>
              <w:right w:w="40" w:type="dxa"/>
            </w:tcMar>
            <w:vAlign w:val="bottom"/>
          </w:tcPr>
          <w:p w14:paraId="42A128E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42A128E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25,255</w:t>
            </w:r>
          </w:p>
        </w:tc>
        <w:tc>
          <w:tcPr>
            <w:tcW w:w="0" w:type="auto"/>
            <w:tcBorders>
              <w:top w:val="single" w:sz="8" w:space="0" w:color="000000"/>
            </w:tcBorders>
            <w:shd w:val="clear" w:color="auto" w:fill="auto"/>
            <w:vAlign w:val="bottom"/>
          </w:tcPr>
          <w:p w14:paraId="42A128E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8E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42A128E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27,753</w:t>
            </w:r>
          </w:p>
        </w:tc>
        <w:tc>
          <w:tcPr>
            <w:tcW w:w="0" w:type="auto"/>
            <w:tcBorders>
              <w:top w:val="single" w:sz="8" w:space="0" w:color="000000"/>
            </w:tcBorders>
            <w:shd w:val="clear" w:color="auto" w:fill="auto"/>
            <w:vAlign w:val="bottom"/>
          </w:tcPr>
          <w:p w14:paraId="42A128E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8E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42A128E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28,337</w:t>
            </w:r>
          </w:p>
        </w:tc>
        <w:tc>
          <w:tcPr>
            <w:tcW w:w="0" w:type="auto"/>
            <w:tcBorders>
              <w:top w:val="single" w:sz="8" w:space="0" w:color="000000"/>
            </w:tcBorders>
            <w:shd w:val="clear" w:color="auto" w:fill="auto"/>
            <w:vAlign w:val="bottom"/>
          </w:tcPr>
          <w:p w14:paraId="42A128E8" w14:textId="77777777" w:rsidR="00BB68E1" w:rsidRDefault="00BB68E1">
            <w:pPr>
              <w:textAlignment w:val="bottom"/>
              <w:rPr>
                <w:rFonts w:ascii="Times New Roman" w:hAnsi="Times New Roman"/>
                <w:sz w:val="20"/>
                <w:szCs w:val="20"/>
              </w:rPr>
            </w:pPr>
          </w:p>
        </w:tc>
      </w:tr>
      <w:tr w:rsidR="00BB68E1" w14:paraId="42A128F1" w14:textId="77777777">
        <w:tc>
          <w:tcPr>
            <w:tcW w:w="0" w:type="auto"/>
            <w:shd w:val="clear" w:color="auto" w:fill="CCEEFF"/>
            <w:tcMar>
              <w:top w:w="40" w:type="dxa"/>
              <w:left w:w="40" w:type="dxa"/>
              <w:bottom w:w="40" w:type="dxa"/>
              <w:right w:w="40" w:type="dxa"/>
            </w:tcMar>
            <w:vAlign w:val="bottom"/>
          </w:tcPr>
          <w:p w14:paraId="42A128E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8E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8E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8E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8E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8E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8F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8F9" w14:textId="77777777">
        <w:tc>
          <w:tcPr>
            <w:tcW w:w="0" w:type="auto"/>
            <w:shd w:val="clear" w:color="auto" w:fill="auto"/>
            <w:tcMar>
              <w:top w:w="40" w:type="dxa"/>
              <w:left w:w="40" w:type="dxa"/>
              <w:bottom w:w="40" w:type="dxa"/>
              <w:right w:w="40" w:type="dxa"/>
            </w:tcMar>
            <w:vAlign w:val="center"/>
          </w:tcPr>
          <w:p w14:paraId="42A128F2"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Cash flows from investing activities:</w:t>
            </w:r>
          </w:p>
        </w:tc>
        <w:tc>
          <w:tcPr>
            <w:tcW w:w="0" w:type="auto"/>
            <w:shd w:val="clear" w:color="auto" w:fill="auto"/>
            <w:tcMar>
              <w:top w:w="40" w:type="dxa"/>
              <w:left w:w="40" w:type="dxa"/>
              <w:bottom w:w="40" w:type="dxa"/>
              <w:right w:w="40" w:type="dxa"/>
            </w:tcMar>
            <w:vAlign w:val="bottom"/>
          </w:tcPr>
          <w:p w14:paraId="42A128F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8F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8F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8F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8F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8F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904" w14:textId="77777777">
        <w:tc>
          <w:tcPr>
            <w:tcW w:w="0" w:type="auto"/>
            <w:shd w:val="clear" w:color="auto" w:fill="CCEEFF"/>
            <w:tcMar>
              <w:top w:w="40" w:type="dxa"/>
              <w:left w:w="560" w:type="dxa"/>
              <w:bottom w:w="40" w:type="dxa"/>
              <w:right w:w="40" w:type="dxa"/>
            </w:tcMar>
            <w:vAlign w:val="center"/>
          </w:tcPr>
          <w:p w14:paraId="42A128F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Payments for </w:t>
            </w:r>
            <w:r>
              <w:rPr>
                <w:rFonts w:ascii="Times New Roman" w:eastAsia="宋体" w:hAnsi="Times New Roman"/>
                <w:sz w:val="16"/>
                <w:szCs w:val="16"/>
              </w:rPr>
              <w:t>property and equipment</w:t>
            </w:r>
          </w:p>
        </w:tc>
        <w:tc>
          <w:tcPr>
            <w:tcW w:w="0" w:type="auto"/>
            <w:shd w:val="clear" w:color="auto" w:fill="CCEEFF"/>
            <w:tcMar>
              <w:top w:w="40" w:type="dxa"/>
              <w:left w:w="40" w:type="dxa"/>
              <w:bottom w:w="40" w:type="dxa"/>
              <w:right w:w="40" w:type="dxa"/>
            </w:tcMar>
            <w:vAlign w:val="bottom"/>
          </w:tcPr>
          <w:p w14:paraId="42A128F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F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(10,705</w:t>
            </w:r>
          </w:p>
        </w:tc>
        <w:tc>
          <w:tcPr>
            <w:tcW w:w="0" w:type="auto"/>
            <w:shd w:val="clear" w:color="auto" w:fill="CCEEFF"/>
            <w:tcMar>
              <w:top w:w="40" w:type="dxa"/>
              <w:bottom w:w="40" w:type="dxa"/>
              <w:right w:w="40" w:type="dxa"/>
            </w:tcMar>
            <w:vAlign w:val="center"/>
          </w:tcPr>
          <w:p w14:paraId="42A128F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8F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8F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(10,344</w:t>
            </w:r>
          </w:p>
        </w:tc>
        <w:tc>
          <w:tcPr>
            <w:tcW w:w="0" w:type="auto"/>
            <w:shd w:val="clear" w:color="auto" w:fill="CCEEFF"/>
            <w:tcMar>
              <w:top w:w="40" w:type="dxa"/>
              <w:bottom w:w="40" w:type="dxa"/>
              <w:right w:w="40" w:type="dxa"/>
            </w:tcMar>
            <w:vAlign w:val="center"/>
          </w:tcPr>
          <w:p w14:paraId="42A1290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90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90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(10,051</w:t>
            </w:r>
          </w:p>
        </w:tc>
        <w:tc>
          <w:tcPr>
            <w:tcW w:w="0" w:type="auto"/>
            <w:shd w:val="clear" w:color="auto" w:fill="CCEEFF"/>
            <w:tcMar>
              <w:top w:w="40" w:type="dxa"/>
              <w:bottom w:w="40" w:type="dxa"/>
              <w:right w:w="40" w:type="dxa"/>
            </w:tcMar>
            <w:vAlign w:val="center"/>
          </w:tcPr>
          <w:p w14:paraId="42A1290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90F" w14:textId="77777777">
        <w:tc>
          <w:tcPr>
            <w:tcW w:w="0" w:type="auto"/>
            <w:shd w:val="clear" w:color="auto" w:fill="auto"/>
            <w:tcMar>
              <w:top w:w="40" w:type="dxa"/>
              <w:left w:w="560" w:type="dxa"/>
              <w:bottom w:w="40" w:type="dxa"/>
              <w:right w:w="40" w:type="dxa"/>
            </w:tcMar>
            <w:vAlign w:val="center"/>
          </w:tcPr>
          <w:p w14:paraId="42A1290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Proceeds from the disposal of property and equipment</w:t>
            </w:r>
          </w:p>
        </w:tc>
        <w:tc>
          <w:tcPr>
            <w:tcW w:w="0" w:type="auto"/>
            <w:shd w:val="clear" w:color="auto" w:fill="auto"/>
            <w:tcMar>
              <w:top w:w="40" w:type="dxa"/>
              <w:left w:w="40" w:type="dxa"/>
              <w:bottom w:w="40" w:type="dxa"/>
              <w:right w:w="40" w:type="dxa"/>
            </w:tcMar>
            <w:vAlign w:val="bottom"/>
          </w:tcPr>
          <w:p w14:paraId="42A1290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0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321</w:t>
            </w:r>
          </w:p>
        </w:tc>
        <w:tc>
          <w:tcPr>
            <w:tcW w:w="0" w:type="auto"/>
            <w:shd w:val="clear" w:color="auto" w:fill="auto"/>
            <w:vAlign w:val="bottom"/>
          </w:tcPr>
          <w:p w14:paraId="42A1290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90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0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519</w:t>
            </w:r>
          </w:p>
        </w:tc>
        <w:tc>
          <w:tcPr>
            <w:tcW w:w="0" w:type="auto"/>
            <w:shd w:val="clear" w:color="auto" w:fill="auto"/>
            <w:vAlign w:val="bottom"/>
          </w:tcPr>
          <w:p w14:paraId="42A1290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90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0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378</w:t>
            </w:r>
          </w:p>
        </w:tc>
        <w:tc>
          <w:tcPr>
            <w:tcW w:w="0" w:type="auto"/>
            <w:shd w:val="clear" w:color="auto" w:fill="auto"/>
            <w:vAlign w:val="bottom"/>
          </w:tcPr>
          <w:p w14:paraId="42A1290E" w14:textId="77777777" w:rsidR="00BB68E1" w:rsidRDefault="00BB68E1">
            <w:pPr>
              <w:textAlignment w:val="bottom"/>
              <w:rPr>
                <w:rFonts w:ascii="Times New Roman" w:hAnsi="Times New Roman"/>
                <w:sz w:val="20"/>
                <w:szCs w:val="20"/>
              </w:rPr>
            </w:pPr>
          </w:p>
        </w:tc>
      </w:tr>
      <w:tr w:rsidR="00BB68E1" w14:paraId="42A1291A" w14:textId="77777777">
        <w:tc>
          <w:tcPr>
            <w:tcW w:w="0" w:type="auto"/>
            <w:shd w:val="clear" w:color="auto" w:fill="CCEEFF"/>
            <w:tcMar>
              <w:top w:w="40" w:type="dxa"/>
              <w:left w:w="560" w:type="dxa"/>
              <w:bottom w:w="40" w:type="dxa"/>
              <w:right w:w="40" w:type="dxa"/>
            </w:tcMar>
            <w:vAlign w:val="center"/>
          </w:tcPr>
          <w:p w14:paraId="42A1291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Proceeds from the disposal of certain operations</w:t>
            </w:r>
          </w:p>
        </w:tc>
        <w:tc>
          <w:tcPr>
            <w:tcW w:w="0" w:type="auto"/>
            <w:shd w:val="clear" w:color="auto" w:fill="CCEEFF"/>
            <w:tcMar>
              <w:top w:w="40" w:type="dxa"/>
              <w:left w:w="40" w:type="dxa"/>
              <w:bottom w:w="40" w:type="dxa"/>
              <w:right w:w="40" w:type="dxa"/>
            </w:tcMar>
            <w:vAlign w:val="bottom"/>
          </w:tcPr>
          <w:p w14:paraId="42A1291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91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833</w:t>
            </w:r>
          </w:p>
        </w:tc>
        <w:tc>
          <w:tcPr>
            <w:tcW w:w="0" w:type="auto"/>
            <w:shd w:val="clear" w:color="auto" w:fill="CCEEFF"/>
            <w:vAlign w:val="bottom"/>
          </w:tcPr>
          <w:p w14:paraId="42A1291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91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91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876</w:t>
            </w:r>
          </w:p>
        </w:tc>
        <w:tc>
          <w:tcPr>
            <w:tcW w:w="0" w:type="auto"/>
            <w:shd w:val="clear" w:color="auto" w:fill="CCEEFF"/>
            <w:vAlign w:val="bottom"/>
          </w:tcPr>
          <w:p w14:paraId="42A1291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91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91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1,046</w:t>
            </w:r>
          </w:p>
        </w:tc>
        <w:tc>
          <w:tcPr>
            <w:tcW w:w="0" w:type="auto"/>
            <w:shd w:val="clear" w:color="auto" w:fill="CCEEFF"/>
            <w:vAlign w:val="bottom"/>
          </w:tcPr>
          <w:p w14:paraId="42A12919" w14:textId="77777777" w:rsidR="00BB68E1" w:rsidRDefault="00BB68E1">
            <w:pPr>
              <w:textAlignment w:val="bottom"/>
              <w:rPr>
                <w:rFonts w:ascii="Times New Roman" w:hAnsi="Times New Roman"/>
                <w:sz w:val="20"/>
                <w:szCs w:val="20"/>
              </w:rPr>
            </w:pPr>
          </w:p>
        </w:tc>
      </w:tr>
      <w:tr w:rsidR="00BB68E1" w14:paraId="42A12925" w14:textId="77777777">
        <w:tc>
          <w:tcPr>
            <w:tcW w:w="0" w:type="auto"/>
            <w:shd w:val="clear" w:color="auto" w:fill="auto"/>
            <w:tcMar>
              <w:top w:w="40" w:type="dxa"/>
              <w:left w:w="560" w:type="dxa"/>
              <w:bottom w:w="40" w:type="dxa"/>
              <w:right w:w="40" w:type="dxa"/>
            </w:tcMar>
            <w:vAlign w:val="center"/>
          </w:tcPr>
          <w:p w14:paraId="42A1291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Payments for business acquisitions, net of </w:t>
            </w:r>
            <w:r>
              <w:rPr>
                <w:rFonts w:ascii="Times New Roman" w:eastAsia="宋体" w:hAnsi="Times New Roman"/>
                <w:sz w:val="16"/>
                <w:szCs w:val="16"/>
              </w:rPr>
              <w:t>cash acquired</w:t>
            </w:r>
          </w:p>
        </w:tc>
        <w:tc>
          <w:tcPr>
            <w:tcW w:w="0" w:type="auto"/>
            <w:shd w:val="clear" w:color="auto" w:fill="auto"/>
            <w:tcMar>
              <w:top w:w="40" w:type="dxa"/>
              <w:left w:w="40" w:type="dxa"/>
              <w:bottom w:w="40" w:type="dxa"/>
              <w:right w:w="40" w:type="dxa"/>
            </w:tcMar>
            <w:vAlign w:val="bottom"/>
          </w:tcPr>
          <w:p w14:paraId="42A1291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1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(56</w:t>
            </w:r>
          </w:p>
        </w:tc>
        <w:tc>
          <w:tcPr>
            <w:tcW w:w="0" w:type="auto"/>
            <w:shd w:val="clear" w:color="auto" w:fill="auto"/>
            <w:tcMar>
              <w:top w:w="40" w:type="dxa"/>
              <w:bottom w:w="40" w:type="dxa"/>
              <w:right w:w="40" w:type="dxa"/>
            </w:tcMar>
            <w:vAlign w:val="center"/>
          </w:tcPr>
          <w:p w14:paraId="42A1291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91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2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(14,656</w:t>
            </w:r>
          </w:p>
        </w:tc>
        <w:tc>
          <w:tcPr>
            <w:tcW w:w="0" w:type="auto"/>
            <w:shd w:val="clear" w:color="auto" w:fill="auto"/>
            <w:tcMar>
              <w:top w:w="40" w:type="dxa"/>
              <w:bottom w:w="40" w:type="dxa"/>
              <w:right w:w="40" w:type="dxa"/>
            </w:tcMar>
            <w:vAlign w:val="center"/>
          </w:tcPr>
          <w:p w14:paraId="42A1292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92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2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(375</w:t>
            </w:r>
          </w:p>
        </w:tc>
        <w:tc>
          <w:tcPr>
            <w:tcW w:w="0" w:type="auto"/>
            <w:shd w:val="clear" w:color="auto" w:fill="auto"/>
            <w:tcMar>
              <w:top w:w="40" w:type="dxa"/>
              <w:bottom w:w="40" w:type="dxa"/>
              <w:right w:w="40" w:type="dxa"/>
            </w:tcMar>
            <w:vAlign w:val="center"/>
          </w:tcPr>
          <w:p w14:paraId="42A1292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930" w14:textId="77777777">
        <w:tc>
          <w:tcPr>
            <w:tcW w:w="0" w:type="auto"/>
            <w:shd w:val="clear" w:color="auto" w:fill="CCEEFF"/>
            <w:tcMar>
              <w:top w:w="40" w:type="dxa"/>
              <w:left w:w="560" w:type="dxa"/>
              <w:bottom w:w="40" w:type="dxa"/>
              <w:right w:w="40" w:type="dxa"/>
            </w:tcMar>
            <w:vAlign w:val="center"/>
          </w:tcPr>
          <w:p w14:paraId="42A1292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 investing activities</w:t>
            </w:r>
          </w:p>
        </w:tc>
        <w:tc>
          <w:tcPr>
            <w:tcW w:w="0" w:type="auto"/>
            <w:shd w:val="clear" w:color="auto" w:fill="CCEEFF"/>
            <w:tcMar>
              <w:top w:w="40" w:type="dxa"/>
              <w:left w:w="40" w:type="dxa"/>
              <w:bottom w:w="40" w:type="dxa"/>
              <w:right w:w="40" w:type="dxa"/>
            </w:tcMar>
            <w:vAlign w:val="bottom"/>
          </w:tcPr>
          <w:p w14:paraId="42A1292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92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479</w:t>
            </w:r>
          </w:p>
        </w:tc>
        <w:tc>
          <w:tcPr>
            <w:tcW w:w="0" w:type="auto"/>
            <w:tcBorders>
              <w:bottom w:val="single" w:sz="8" w:space="0" w:color="000000"/>
            </w:tcBorders>
            <w:shd w:val="clear" w:color="auto" w:fill="CCEEFF"/>
            <w:vAlign w:val="bottom"/>
          </w:tcPr>
          <w:p w14:paraId="42A1292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92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92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(431</w:t>
            </w:r>
          </w:p>
        </w:tc>
        <w:tc>
          <w:tcPr>
            <w:tcW w:w="0" w:type="auto"/>
            <w:tcBorders>
              <w:bottom w:val="single" w:sz="8" w:space="0" w:color="000000"/>
            </w:tcBorders>
            <w:shd w:val="clear" w:color="auto" w:fill="CCEEFF"/>
            <w:tcMar>
              <w:top w:w="40" w:type="dxa"/>
              <w:bottom w:w="40" w:type="dxa"/>
              <w:right w:w="40" w:type="dxa"/>
            </w:tcMar>
            <w:vAlign w:val="center"/>
          </w:tcPr>
          <w:p w14:paraId="42A1292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92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92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(77</w:t>
            </w:r>
          </w:p>
        </w:tc>
        <w:tc>
          <w:tcPr>
            <w:tcW w:w="0" w:type="auto"/>
            <w:tcBorders>
              <w:bottom w:val="single" w:sz="8" w:space="0" w:color="000000"/>
            </w:tcBorders>
            <w:shd w:val="clear" w:color="auto" w:fill="CCEEFF"/>
            <w:tcMar>
              <w:top w:w="40" w:type="dxa"/>
              <w:bottom w:w="40" w:type="dxa"/>
              <w:right w:w="40" w:type="dxa"/>
            </w:tcMar>
            <w:vAlign w:val="center"/>
          </w:tcPr>
          <w:p w14:paraId="42A1292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93B" w14:textId="77777777">
        <w:tc>
          <w:tcPr>
            <w:tcW w:w="0" w:type="auto"/>
            <w:shd w:val="clear" w:color="auto" w:fill="auto"/>
            <w:tcMar>
              <w:top w:w="40" w:type="dxa"/>
              <w:left w:w="40" w:type="dxa"/>
              <w:bottom w:w="40" w:type="dxa"/>
              <w:right w:w="40" w:type="dxa"/>
            </w:tcMar>
            <w:vAlign w:val="center"/>
          </w:tcPr>
          <w:p w14:paraId="42A1293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cash used in investing activities</w:t>
            </w:r>
          </w:p>
        </w:tc>
        <w:tc>
          <w:tcPr>
            <w:tcW w:w="0" w:type="auto"/>
            <w:shd w:val="clear" w:color="auto" w:fill="auto"/>
            <w:tcMar>
              <w:top w:w="40" w:type="dxa"/>
              <w:left w:w="40" w:type="dxa"/>
              <w:bottom w:w="40" w:type="dxa"/>
              <w:right w:w="40" w:type="dxa"/>
            </w:tcMar>
            <w:vAlign w:val="bottom"/>
          </w:tcPr>
          <w:p w14:paraId="42A1293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3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(9,128</w:t>
            </w:r>
          </w:p>
        </w:tc>
        <w:tc>
          <w:tcPr>
            <w:tcW w:w="0" w:type="auto"/>
            <w:shd w:val="clear" w:color="auto" w:fill="auto"/>
            <w:tcMar>
              <w:top w:w="40" w:type="dxa"/>
              <w:bottom w:w="40" w:type="dxa"/>
              <w:right w:w="40" w:type="dxa"/>
            </w:tcMar>
            <w:vAlign w:val="center"/>
          </w:tcPr>
          <w:p w14:paraId="42A1293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93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3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(24,036</w:t>
            </w:r>
          </w:p>
        </w:tc>
        <w:tc>
          <w:tcPr>
            <w:tcW w:w="0" w:type="auto"/>
            <w:shd w:val="clear" w:color="auto" w:fill="auto"/>
            <w:tcMar>
              <w:top w:w="40" w:type="dxa"/>
              <w:bottom w:w="40" w:type="dxa"/>
              <w:right w:w="40" w:type="dxa"/>
            </w:tcMar>
            <w:vAlign w:val="center"/>
          </w:tcPr>
          <w:p w14:paraId="42A1293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93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3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(9,079</w:t>
            </w:r>
          </w:p>
        </w:tc>
        <w:tc>
          <w:tcPr>
            <w:tcW w:w="0" w:type="auto"/>
            <w:shd w:val="clear" w:color="auto" w:fill="auto"/>
            <w:tcMar>
              <w:top w:w="40" w:type="dxa"/>
              <w:bottom w:w="40" w:type="dxa"/>
              <w:right w:w="40" w:type="dxa"/>
            </w:tcMar>
            <w:vAlign w:val="center"/>
          </w:tcPr>
          <w:p w14:paraId="42A1293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943" w14:textId="77777777">
        <w:tc>
          <w:tcPr>
            <w:tcW w:w="0" w:type="auto"/>
            <w:shd w:val="clear" w:color="auto" w:fill="CCEEFF"/>
            <w:tcMar>
              <w:top w:w="40" w:type="dxa"/>
              <w:left w:w="40" w:type="dxa"/>
              <w:bottom w:w="40" w:type="dxa"/>
              <w:right w:w="40" w:type="dxa"/>
            </w:tcMar>
            <w:vAlign w:val="bottom"/>
          </w:tcPr>
          <w:p w14:paraId="42A129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93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93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93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94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94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94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94B" w14:textId="77777777">
        <w:tc>
          <w:tcPr>
            <w:tcW w:w="0" w:type="auto"/>
            <w:shd w:val="clear" w:color="auto" w:fill="auto"/>
            <w:tcMar>
              <w:top w:w="40" w:type="dxa"/>
              <w:left w:w="40" w:type="dxa"/>
              <w:bottom w:w="40" w:type="dxa"/>
              <w:right w:w="40" w:type="dxa"/>
            </w:tcMar>
            <w:vAlign w:val="center"/>
          </w:tcPr>
          <w:p w14:paraId="42A12944"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Cash flows from financing activities:</w:t>
            </w:r>
          </w:p>
        </w:tc>
        <w:tc>
          <w:tcPr>
            <w:tcW w:w="0" w:type="auto"/>
            <w:shd w:val="clear" w:color="auto" w:fill="auto"/>
            <w:tcMar>
              <w:top w:w="40" w:type="dxa"/>
              <w:left w:w="40" w:type="dxa"/>
              <w:bottom w:w="40" w:type="dxa"/>
              <w:right w:w="40" w:type="dxa"/>
            </w:tcMar>
            <w:vAlign w:val="bottom"/>
          </w:tcPr>
          <w:p w14:paraId="42A1294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94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94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94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94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94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956" w14:textId="77777777">
        <w:tc>
          <w:tcPr>
            <w:tcW w:w="0" w:type="auto"/>
            <w:shd w:val="clear" w:color="auto" w:fill="CCEEFF"/>
            <w:tcMar>
              <w:top w:w="40" w:type="dxa"/>
              <w:left w:w="560" w:type="dxa"/>
              <w:bottom w:w="40" w:type="dxa"/>
              <w:right w:w="40" w:type="dxa"/>
            </w:tcMar>
            <w:vAlign w:val="center"/>
          </w:tcPr>
          <w:p w14:paraId="42A1294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Net change in </w:t>
            </w:r>
            <w:r>
              <w:rPr>
                <w:rFonts w:ascii="Times New Roman" w:eastAsia="宋体" w:hAnsi="Times New Roman"/>
                <w:sz w:val="16"/>
                <w:szCs w:val="16"/>
              </w:rPr>
              <w:t>short-term borrowings</w:t>
            </w:r>
          </w:p>
        </w:tc>
        <w:tc>
          <w:tcPr>
            <w:tcW w:w="0" w:type="auto"/>
            <w:shd w:val="clear" w:color="auto" w:fill="CCEEFF"/>
            <w:tcMar>
              <w:top w:w="40" w:type="dxa"/>
              <w:left w:w="40" w:type="dxa"/>
              <w:bottom w:w="40" w:type="dxa"/>
              <w:right w:w="40" w:type="dxa"/>
            </w:tcMar>
            <w:vAlign w:val="bottom"/>
          </w:tcPr>
          <w:p w14:paraId="42A129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94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(4,656</w:t>
            </w:r>
          </w:p>
        </w:tc>
        <w:tc>
          <w:tcPr>
            <w:tcW w:w="0" w:type="auto"/>
            <w:shd w:val="clear" w:color="auto" w:fill="CCEEFF"/>
            <w:tcMar>
              <w:top w:w="40" w:type="dxa"/>
              <w:bottom w:w="40" w:type="dxa"/>
              <w:right w:w="40" w:type="dxa"/>
            </w:tcMar>
            <w:vAlign w:val="center"/>
          </w:tcPr>
          <w:p w14:paraId="42A1294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95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95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(53</w:t>
            </w:r>
          </w:p>
        </w:tc>
        <w:tc>
          <w:tcPr>
            <w:tcW w:w="0" w:type="auto"/>
            <w:shd w:val="clear" w:color="auto" w:fill="CCEEFF"/>
            <w:tcMar>
              <w:top w:w="40" w:type="dxa"/>
              <w:bottom w:w="40" w:type="dxa"/>
              <w:right w:w="40" w:type="dxa"/>
            </w:tcMar>
            <w:vAlign w:val="center"/>
          </w:tcPr>
          <w:p w14:paraId="42A1295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95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95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4,148</w:t>
            </w:r>
          </w:p>
        </w:tc>
        <w:tc>
          <w:tcPr>
            <w:tcW w:w="0" w:type="auto"/>
            <w:shd w:val="clear" w:color="auto" w:fill="CCEEFF"/>
            <w:vAlign w:val="bottom"/>
          </w:tcPr>
          <w:p w14:paraId="42A12955" w14:textId="77777777" w:rsidR="00BB68E1" w:rsidRDefault="00BB68E1">
            <w:pPr>
              <w:textAlignment w:val="bottom"/>
              <w:rPr>
                <w:rFonts w:ascii="Times New Roman" w:hAnsi="Times New Roman"/>
                <w:sz w:val="20"/>
                <w:szCs w:val="20"/>
              </w:rPr>
            </w:pPr>
          </w:p>
        </w:tc>
      </w:tr>
      <w:tr w:rsidR="00BB68E1" w14:paraId="42A12961" w14:textId="77777777">
        <w:tc>
          <w:tcPr>
            <w:tcW w:w="0" w:type="auto"/>
            <w:shd w:val="clear" w:color="auto" w:fill="auto"/>
            <w:tcMar>
              <w:top w:w="40" w:type="dxa"/>
              <w:left w:w="560" w:type="dxa"/>
              <w:bottom w:w="40" w:type="dxa"/>
              <w:right w:w="40" w:type="dxa"/>
            </w:tcMar>
            <w:vAlign w:val="center"/>
          </w:tcPr>
          <w:p w14:paraId="42A1295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Proceeds from issuance of long-term debt</w:t>
            </w:r>
          </w:p>
        </w:tc>
        <w:tc>
          <w:tcPr>
            <w:tcW w:w="0" w:type="auto"/>
            <w:shd w:val="clear" w:color="auto" w:fill="auto"/>
            <w:tcMar>
              <w:top w:w="40" w:type="dxa"/>
              <w:left w:w="40" w:type="dxa"/>
              <w:bottom w:w="40" w:type="dxa"/>
              <w:right w:w="40" w:type="dxa"/>
            </w:tcMar>
            <w:vAlign w:val="bottom"/>
          </w:tcPr>
          <w:p w14:paraId="42A1295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5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5,492</w:t>
            </w:r>
          </w:p>
        </w:tc>
        <w:tc>
          <w:tcPr>
            <w:tcW w:w="0" w:type="auto"/>
            <w:shd w:val="clear" w:color="auto" w:fill="auto"/>
            <w:vAlign w:val="bottom"/>
          </w:tcPr>
          <w:p w14:paraId="42A1295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95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5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15,872</w:t>
            </w:r>
          </w:p>
        </w:tc>
        <w:tc>
          <w:tcPr>
            <w:tcW w:w="0" w:type="auto"/>
            <w:shd w:val="clear" w:color="auto" w:fill="auto"/>
            <w:vAlign w:val="bottom"/>
          </w:tcPr>
          <w:p w14:paraId="42A1295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95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5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7,476</w:t>
            </w:r>
          </w:p>
        </w:tc>
        <w:tc>
          <w:tcPr>
            <w:tcW w:w="0" w:type="auto"/>
            <w:shd w:val="clear" w:color="auto" w:fill="auto"/>
            <w:vAlign w:val="bottom"/>
          </w:tcPr>
          <w:p w14:paraId="42A12960" w14:textId="77777777" w:rsidR="00BB68E1" w:rsidRDefault="00BB68E1">
            <w:pPr>
              <w:textAlignment w:val="bottom"/>
              <w:rPr>
                <w:rFonts w:ascii="Times New Roman" w:hAnsi="Times New Roman"/>
                <w:sz w:val="20"/>
                <w:szCs w:val="20"/>
              </w:rPr>
            </w:pPr>
          </w:p>
        </w:tc>
      </w:tr>
      <w:tr w:rsidR="00BB68E1" w14:paraId="42A1296C" w14:textId="77777777">
        <w:tc>
          <w:tcPr>
            <w:tcW w:w="0" w:type="auto"/>
            <w:shd w:val="clear" w:color="auto" w:fill="CCEEFF"/>
            <w:tcMar>
              <w:top w:w="40" w:type="dxa"/>
              <w:left w:w="560" w:type="dxa"/>
              <w:bottom w:w="40" w:type="dxa"/>
              <w:right w:w="40" w:type="dxa"/>
            </w:tcMar>
            <w:vAlign w:val="center"/>
          </w:tcPr>
          <w:p w14:paraId="42A1296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Repayments of long-term debt</w:t>
            </w:r>
          </w:p>
        </w:tc>
        <w:tc>
          <w:tcPr>
            <w:tcW w:w="0" w:type="auto"/>
            <w:shd w:val="clear" w:color="auto" w:fill="CCEEFF"/>
            <w:tcMar>
              <w:top w:w="40" w:type="dxa"/>
              <w:left w:w="40" w:type="dxa"/>
              <w:bottom w:w="40" w:type="dxa"/>
              <w:right w:w="40" w:type="dxa"/>
            </w:tcMar>
            <w:vAlign w:val="bottom"/>
          </w:tcPr>
          <w:p w14:paraId="42A1296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96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(1,907</w:t>
            </w:r>
          </w:p>
        </w:tc>
        <w:tc>
          <w:tcPr>
            <w:tcW w:w="0" w:type="auto"/>
            <w:shd w:val="clear" w:color="auto" w:fill="CCEEFF"/>
            <w:tcMar>
              <w:top w:w="40" w:type="dxa"/>
              <w:bottom w:w="40" w:type="dxa"/>
              <w:right w:w="40" w:type="dxa"/>
            </w:tcMar>
            <w:vAlign w:val="center"/>
          </w:tcPr>
          <w:p w14:paraId="42A1296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96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96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(3,784</w:t>
            </w:r>
          </w:p>
        </w:tc>
        <w:tc>
          <w:tcPr>
            <w:tcW w:w="0" w:type="auto"/>
            <w:shd w:val="clear" w:color="auto" w:fill="CCEEFF"/>
            <w:tcMar>
              <w:top w:w="40" w:type="dxa"/>
              <w:bottom w:w="40" w:type="dxa"/>
              <w:right w:w="40" w:type="dxa"/>
            </w:tcMar>
            <w:vAlign w:val="center"/>
          </w:tcPr>
          <w:p w14:paraId="42A1296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96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96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(13,061</w:t>
            </w:r>
          </w:p>
        </w:tc>
        <w:tc>
          <w:tcPr>
            <w:tcW w:w="0" w:type="auto"/>
            <w:shd w:val="clear" w:color="auto" w:fill="CCEEFF"/>
            <w:tcMar>
              <w:top w:w="40" w:type="dxa"/>
              <w:bottom w:w="40" w:type="dxa"/>
              <w:right w:w="40" w:type="dxa"/>
            </w:tcMar>
            <w:vAlign w:val="center"/>
          </w:tcPr>
          <w:p w14:paraId="42A1296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977" w14:textId="77777777">
        <w:tc>
          <w:tcPr>
            <w:tcW w:w="0" w:type="auto"/>
            <w:shd w:val="clear" w:color="auto" w:fill="auto"/>
            <w:tcMar>
              <w:top w:w="40" w:type="dxa"/>
              <w:left w:w="560" w:type="dxa"/>
              <w:bottom w:w="40" w:type="dxa"/>
              <w:right w:w="40" w:type="dxa"/>
            </w:tcMar>
            <w:vAlign w:val="center"/>
          </w:tcPr>
          <w:p w14:paraId="42A1296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Premiums paid to extinguish debt</w:t>
            </w:r>
          </w:p>
        </w:tc>
        <w:tc>
          <w:tcPr>
            <w:tcW w:w="0" w:type="auto"/>
            <w:shd w:val="clear" w:color="auto" w:fill="auto"/>
            <w:tcMar>
              <w:top w:w="40" w:type="dxa"/>
              <w:left w:w="40" w:type="dxa"/>
              <w:bottom w:w="40" w:type="dxa"/>
              <w:right w:w="40" w:type="dxa"/>
            </w:tcMar>
            <w:vAlign w:val="bottom"/>
          </w:tcPr>
          <w:p w14:paraId="42A129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6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97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97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7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97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97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7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(3,059</w:t>
            </w:r>
          </w:p>
        </w:tc>
        <w:tc>
          <w:tcPr>
            <w:tcW w:w="0" w:type="auto"/>
            <w:shd w:val="clear" w:color="auto" w:fill="auto"/>
            <w:tcMar>
              <w:top w:w="40" w:type="dxa"/>
              <w:bottom w:w="40" w:type="dxa"/>
              <w:right w:w="40" w:type="dxa"/>
            </w:tcMar>
            <w:vAlign w:val="center"/>
          </w:tcPr>
          <w:p w14:paraId="42A1297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982" w14:textId="77777777">
        <w:tc>
          <w:tcPr>
            <w:tcW w:w="0" w:type="auto"/>
            <w:shd w:val="clear" w:color="auto" w:fill="CCEEFF"/>
            <w:tcMar>
              <w:top w:w="40" w:type="dxa"/>
              <w:left w:w="560" w:type="dxa"/>
              <w:bottom w:w="40" w:type="dxa"/>
              <w:right w:w="40" w:type="dxa"/>
            </w:tcMar>
            <w:vAlign w:val="center"/>
          </w:tcPr>
          <w:p w14:paraId="42A1297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Dividends paid</w:t>
            </w:r>
          </w:p>
        </w:tc>
        <w:tc>
          <w:tcPr>
            <w:tcW w:w="0" w:type="auto"/>
            <w:shd w:val="clear" w:color="auto" w:fill="CCEEFF"/>
            <w:tcMar>
              <w:top w:w="40" w:type="dxa"/>
              <w:left w:w="40" w:type="dxa"/>
              <w:bottom w:w="40" w:type="dxa"/>
              <w:right w:w="40" w:type="dxa"/>
            </w:tcMar>
            <w:vAlign w:val="bottom"/>
          </w:tcPr>
          <w:p w14:paraId="42A1297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97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(6,048</w:t>
            </w:r>
          </w:p>
        </w:tc>
        <w:tc>
          <w:tcPr>
            <w:tcW w:w="0" w:type="auto"/>
            <w:shd w:val="clear" w:color="auto" w:fill="CCEEFF"/>
            <w:tcMar>
              <w:top w:w="40" w:type="dxa"/>
              <w:bottom w:w="40" w:type="dxa"/>
              <w:right w:w="40" w:type="dxa"/>
            </w:tcMar>
            <w:vAlign w:val="center"/>
          </w:tcPr>
          <w:p w14:paraId="42A1297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9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97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(6,102</w:t>
            </w:r>
          </w:p>
        </w:tc>
        <w:tc>
          <w:tcPr>
            <w:tcW w:w="0" w:type="auto"/>
            <w:shd w:val="clear" w:color="auto" w:fill="CCEEFF"/>
            <w:tcMar>
              <w:top w:w="40" w:type="dxa"/>
              <w:bottom w:w="40" w:type="dxa"/>
              <w:right w:w="40" w:type="dxa"/>
            </w:tcMar>
            <w:vAlign w:val="center"/>
          </w:tcPr>
          <w:p w14:paraId="42A1297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97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98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(6,124</w:t>
            </w:r>
          </w:p>
        </w:tc>
        <w:tc>
          <w:tcPr>
            <w:tcW w:w="0" w:type="auto"/>
            <w:shd w:val="clear" w:color="auto" w:fill="CCEEFF"/>
            <w:tcMar>
              <w:top w:w="40" w:type="dxa"/>
              <w:bottom w:w="40" w:type="dxa"/>
              <w:right w:w="40" w:type="dxa"/>
            </w:tcMar>
            <w:vAlign w:val="center"/>
          </w:tcPr>
          <w:p w14:paraId="42A1298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98D" w14:textId="77777777">
        <w:tc>
          <w:tcPr>
            <w:tcW w:w="0" w:type="auto"/>
            <w:shd w:val="clear" w:color="auto" w:fill="auto"/>
            <w:tcMar>
              <w:top w:w="40" w:type="dxa"/>
              <w:left w:w="560" w:type="dxa"/>
              <w:bottom w:w="40" w:type="dxa"/>
              <w:right w:w="40" w:type="dxa"/>
            </w:tcMar>
            <w:vAlign w:val="center"/>
          </w:tcPr>
          <w:p w14:paraId="42A1298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Purchase of Company stock</w:t>
            </w:r>
          </w:p>
        </w:tc>
        <w:tc>
          <w:tcPr>
            <w:tcW w:w="0" w:type="auto"/>
            <w:shd w:val="clear" w:color="auto" w:fill="auto"/>
            <w:tcMar>
              <w:top w:w="40" w:type="dxa"/>
              <w:left w:w="40" w:type="dxa"/>
              <w:bottom w:w="40" w:type="dxa"/>
              <w:right w:w="40" w:type="dxa"/>
            </w:tcMar>
            <w:vAlign w:val="bottom"/>
          </w:tcPr>
          <w:p w14:paraId="42A129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8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(5,717</w:t>
            </w:r>
          </w:p>
        </w:tc>
        <w:tc>
          <w:tcPr>
            <w:tcW w:w="0" w:type="auto"/>
            <w:shd w:val="clear" w:color="auto" w:fill="auto"/>
            <w:tcMar>
              <w:top w:w="40" w:type="dxa"/>
              <w:bottom w:w="40" w:type="dxa"/>
              <w:right w:w="40" w:type="dxa"/>
            </w:tcMar>
            <w:vAlign w:val="center"/>
          </w:tcPr>
          <w:p w14:paraId="42A1298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9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8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(7,410</w:t>
            </w:r>
          </w:p>
        </w:tc>
        <w:tc>
          <w:tcPr>
            <w:tcW w:w="0" w:type="auto"/>
            <w:shd w:val="clear" w:color="auto" w:fill="auto"/>
            <w:tcMar>
              <w:top w:w="40" w:type="dxa"/>
              <w:bottom w:w="40" w:type="dxa"/>
              <w:right w:w="40" w:type="dxa"/>
            </w:tcMar>
            <w:vAlign w:val="center"/>
          </w:tcPr>
          <w:p w14:paraId="42A1298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98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8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(8,296</w:t>
            </w:r>
          </w:p>
        </w:tc>
        <w:tc>
          <w:tcPr>
            <w:tcW w:w="0" w:type="auto"/>
            <w:shd w:val="clear" w:color="auto" w:fill="auto"/>
            <w:tcMar>
              <w:top w:w="40" w:type="dxa"/>
              <w:bottom w:w="40" w:type="dxa"/>
              <w:right w:w="40" w:type="dxa"/>
            </w:tcMar>
            <w:vAlign w:val="center"/>
          </w:tcPr>
          <w:p w14:paraId="42A1298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998" w14:textId="77777777">
        <w:tc>
          <w:tcPr>
            <w:tcW w:w="0" w:type="auto"/>
            <w:shd w:val="clear" w:color="auto" w:fill="CCEEFF"/>
            <w:tcMar>
              <w:top w:w="40" w:type="dxa"/>
              <w:left w:w="560" w:type="dxa"/>
              <w:bottom w:w="40" w:type="dxa"/>
              <w:right w:w="40" w:type="dxa"/>
            </w:tcMar>
            <w:vAlign w:val="center"/>
          </w:tcPr>
          <w:p w14:paraId="42A1298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Dividends paid to noncontrolling interest</w:t>
            </w:r>
          </w:p>
        </w:tc>
        <w:tc>
          <w:tcPr>
            <w:tcW w:w="0" w:type="auto"/>
            <w:shd w:val="clear" w:color="auto" w:fill="CCEEFF"/>
            <w:tcMar>
              <w:top w:w="40" w:type="dxa"/>
              <w:left w:w="40" w:type="dxa"/>
              <w:bottom w:w="40" w:type="dxa"/>
              <w:right w:w="40" w:type="dxa"/>
            </w:tcMar>
            <w:vAlign w:val="bottom"/>
          </w:tcPr>
          <w:p w14:paraId="42A1298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99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(555</w:t>
            </w:r>
          </w:p>
        </w:tc>
        <w:tc>
          <w:tcPr>
            <w:tcW w:w="0" w:type="auto"/>
            <w:shd w:val="clear" w:color="auto" w:fill="CCEEFF"/>
            <w:tcMar>
              <w:top w:w="40" w:type="dxa"/>
              <w:bottom w:w="40" w:type="dxa"/>
              <w:right w:w="40" w:type="dxa"/>
            </w:tcMar>
            <w:vAlign w:val="center"/>
          </w:tcPr>
          <w:p w14:paraId="42A1299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99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99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(431</w:t>
            </w:r>
          </w:p>
        </w:tc>
        <w:tc>
          <w:tcPr>
            <w:tcW w:w="0" w:type="auto"/>
            <w:shd w:val="clear" w:color="auto" w:fill="CCEEFF"/>
            <w:tcMar>
              <w:top w:w="40" w:type="dxa"/>
              <w:bottom w:w="40" w:type="dxa"/>
              <w:right w:w="40" w:type="dxa"/>
            </w:tcMar>
            <w:vAlign w:val="center"/>
          </w:tcPr>
          <w:p w14:paraId="42A1299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99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99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(690</w:t>
            </w:r>
          </w:p>
        </w:tc>
        <w:tc>
          <w:tcPr>
            <w:tcW w:w="0" w:type="auto"/>
            <w:shd w:val="clear" w:color="auto" w:fill="CCEEFF"/>
            <w:tcMar>
              <w:top w:w="40" w:type="dxa"/>
              <w:bottom w:w="40" w:type="dxa"/>
              <w:right w:w="40" w:type="dxa"/>
            </w:tcMar>
            <w:vAlign w:val="center"/>
          </w:tcPr>
          <w:p w14:paraId="42A1299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9A3" w14:textId="77777777">
        <w:tc>
          <w:tcPr>
            <w:tcW w:w="0" w:type="auto"/>
            <w:shd w:val="clear" w:color="auto" w:fill="auto"/>
            <w:tcMar>
              <w:top w:w="40" w:type="dxa"/>
              <w:left w:w="560" w:type="dxa"/>
              <w:bottom w:w="40" w:type="dxa"/>
              <w:right w:w="40" w:type="dxa"/>
            </w:tcMar>
            <w:vAlign w:val="center"/>
          </w:tcPr>
          <w:p w14:paraId="42A1299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Purchase of noncontrolling interest</w:t>
            </w:r>
          </w:p>
        </w:tc>
        <w:tc>
          <w:tcPr>
            <w:tcW w:w="0" w:type="auto"/>
            <w:shd w:val="clear" w:color="auto" w:fill="auto"/>
            <w:tcMar>
              <w:top w:w="40" w:type="dxa"/>
              <w:left w:w="40" w:type="dxa"/>
              <w:bottom w:w="40" w:type="dxa"/>
              <w:right w:w="40" w:type="dxa"/>
            </w:tcMar>
            <w:vAlign w:val="bottom"/>
          </w:tcPr>
          <w:p w14:paraId="42A1299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9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99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99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9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99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9A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A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w:t>
            </w:r>
          </w:p>
        </w:tc>
        <w:tc>
          <w:tcPr>
            <w:tcW w:w="0" w:type="auto"/>
            <w:shd w:val="clear" w:color="auto" w:fill="auto"/>
            <w:tcMar>
              <w:top w:w="40" w:type="dxa"/>
              <w:bottom w:w="40" w:type="dxa"/>
              <w:right w:w="40" w:type="dxa"/>
            </w:tcMar>
            <w:vAlign w:val="center"/>
          </w:tcPr>
          <w:p w14:paraId="42A129A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9AE" w14:textId="77777777">
        <w:tc>
          <w:tcPr>
            <w:tcW w:w="0" w:type="auto"/>
            <w:shd w:val="clear" w:color="auto" w:fill="CCEEFF"/>
            <w:tcMar>
              <w:top w:w="40" w:type="dxa"/>
              <w:left w:w="560" w:type="dxa"/>
              <w:bottom w:w="40" w:type="dxa"/>
              <w:right w:w="40" w:type="dxa"/>
            </w:tcMar>
            <w:vAlign w:val="center"/>
          </w:tcPr>
          <w:p w14:paraId="42A129A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Other </w:t>
            </w:r>
            <w:r>
              <w:rPr>
                <w:rFonts w:ascii="Times New Roman" w:eastAsia="宋体" w:hAnsi="Times New Roman"/>
                <w:sz w:val="16"/>
                <w:szCs w:val="16"/>
              </w:rPr>
              <w:t>financing activities</w:t>
            </w:r>
          </w:p>
        </w:tc>
        <w:tc>
          <w:tcPr>
            <w:tcW w:w="0" w:type="auto"/>
            <w:shd w:val="clear" w:color="auto" w:fill="CCEEFF"/>
            <w:tcMar>
              <w:top w:w="40" w:type="dxa"/>
              <w:left w:w="40" w:type="dxa"/>
              <w:bottom w:w="40" w:type="dxa"/>
              <w:right w:w="40" w:type="dxa"/>
            </w:tcMar>
            <w:vAlign w:val="bottom"/>
          </w:tcPr>
          <w:p w14:paraId="42A129A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9A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(908</w:t>
            </w:r>
          </w:p>
        </w:tc>
        <w:tc>
          <w:tcPr>
            <w:tcW w:w="0" w:type="auto"/>
            <w:tcBorders>
              <w:bottom w:val="single" w:sz="8" w:space="0" w:color="000000"/>
            </w:tcBorders>
            <w:shd w:val="clear" w:color="auto" w:fill="CCEEFF"/>
            <w:tcMar>
              <w:top w:w="40" w:type="dxa"/>
              <w:bottom w:w="40" w:type="dxa"/>
              <w:right w:w="40" w:type="dxa"/>
            </w:tcMar>
            <w:vAlign w:val="center"/>
          </w:tcPr>
          <w:p w14:paraId="42A129A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9A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9A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(629</w:t>
            </w:r>
          </w:p>
        </w:tc>
        <w:tc>
          <w:tcPr>
            <w:tcW w:w="0" w:type="auto"/>
            <w:tcBorders>
              <w:bottom w:val="single" w:sz="8" w:space="0" w:color="000000"/>
            </w:tcBorders>
            <w:shd w:val="clear" w:color="auto" w:fill="CCEEFF"/>
            <w:tcMar>
              <w:top w:w="40" w:type="dxa"/>
              <w:bottom w:w="40" w:type="dxa"/>
              <w:right w:w="40" w:type="dxa"/>
            </w:tcMar>
            <w:vAlign w:val="center"/>
          </w:tcPr>
          <w:p w14:paraId="42A129A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9A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9A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(261</w:t>
            </w:r>
          </w:p>
        </w:tc>
        <w:tc>
          <w:tcPr>
            <w:tcW w:w="0" w:type="auto"/>
            <w:tcBorders>
              <w:bottom w:val="single" w:sz="8" w:space="0" w:color="000000"/>
            </w:tcBorders>
            <w:shd w:val="clear" w:color="auto" w:fill="CCEEFF"/>
            <w:tcMar>
              <w:top w:w="40" w:type="dxa"/>
              <w:bottom w:w="40" w:type="dxa"/>
              <w:right w:w="40" w:type="dxa"/>
            </w:tcMar>
            <w:vAlign w:val="center"/>
          </w:tcPr>
          <w:p w14:paraId="42A129A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9B9" w14:textId="77777777">
        <w:tc>
          <w:tcPr>
            <w:tcW w:w="0" w:type="auto"/>
            <w:shd w:val="clear" w:color="auto" w:fill="auto"/>
            <w:tcMar>
              <w:top w:w="40" w:type="dxa"/>
              <w:left w:w="40" w:type="dxa"/>
              <w:bottom w:w="40" w:type="dxa"/>
              <w:right w:w="40" w:type="dxa"/>
            </w:tcMar>
            <w:vAlign w:val="center"/>
          </w:tcPr>
          <w:p w14:paraId="42A129A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cash used in financing activities</w:t>
            </w:r>
          </w:p>
        </w:tc>
        <w:tc>
          <w:tcPr>
            <w:tcW w:w="0" w:type="auto"/>
            <w:shd w:val="clear" w:color="auto" w:fill="auto"/>
            <w:tcMar>
              <w:top w:w="40" w:type="dxa"/>
              <w:left w:w="40" w:type="dxa"/>
              <w:bottom w:w="40" w:type="dxa"/>
              <w:right w:w="40" w:type="dxa"/>
            </w:tcMar>
            <w:vAlign w:val="bottom"/>
          </w:tcPr>
          <w:p w14:paraId="42A129B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B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(14,299</w:t>
            </w:r>
          </w:p>
        </w:tc>
        <w:tc>
          <w:tcPr>
            <w:tcW w:w="0" w:type="auto"/>
            <w:shd w:val="clear" w:color="auto" w:fill="auto"/>
            <w:tcMar>
              <w:top w:w="40" w:type="dxa"/>
              <w:bottom w:w="40" w:type="dxa"/>
              <w:right w:w="40" w:type="dxa"/>
            </w:tcMar>
            <w:vAlign w:val="center"/>
          </w:tcPr>
          <w:p w14:paraId="42A129B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9B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B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(2,537</w:t>
            </w:r>
          </w:p>
        </w:tc>
        <w:tc>
          <w:tcPr>
            <w:tcW w:w="0" w:type="auto"/>
            <w:shd w:val="clear" w:color="auto" w:fill="auto"/>
            <w:tcMar>
              <w:top w:w="40" w:type="dxa"/>
              <w:bottom w:w="40" w:type="dxa"/>
              <w:right w:w="40" w:type="dxa"/>
            </w:tcMar>
            <w:vAlign w:val="center"/>
          </w:tcPr>
          <w:p w14:paraId="42A129B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9B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B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(19,875</w:t>
            </w:r>
          </w:p>
        </w:tc>
        <w:tc>
          <w:tcPr>
            <w:tcW w:w="0" w:type="auto"/>
            <w:shd w:val="clear" w:color="auto" w:fill="auto"/>
            <w:tcMar>
              <w:top w:w="40" w:type="dxa"/>
              <w:bottom w:w="40" w:type="dxa"/>
              <w:right w:w="40" w:type="dxa"/>
            </w:tcMar>
            <w:vAlign w:val="center"/>
          </w:tcPr>
          <w:p w14:paraId="42A129B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9C1" w14:textId="77777777">
        <w:tc>
          <w:tcPr>
            <w:tcW w:w="0" w:type="auto"/>
            <w:shd w:val="clear" w:color="auto" w:fill="CCEEFF"/>
            <w:tcMar>
              <w:top w:w="40" w:type="dxa"/>
              <w:left w:w="40" w:type="dxa"/>
              <w:bottom w:w="40" w:type="dxa"/>
              <w:right w:w="40" w:type="dxa"/>
            </w:tcMar>
            <w:vAlign w:val="bottom"/>
          </w:tcPr>
          <w:p w14:paraId="42A129B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9B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9B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9B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9B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9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9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9CC" w14:textId="77777777">
        <w:tc>
          <w:tcPr>
            <w:tcW w:w="0" w:type="auto"/>
            <w:shd w:val="clear" w:color="auto" w:fill="auto"/>
            <w:tcMar>
              <w:top w:w="40" w:type="dxa"/>
              <w:left w:w="40" w:type="dxa"/>
              <w:bottom w:w="40" w:type="dxa"/>
              <w:right w:w="40" w:type="dxa"/>
            </w:tcMar>
            <w:vAlign w:val="center"/>
          </w:tcPr>
          <w:p w14:paraId="42A129C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Effect of exchange rates on cash, cash equivalents and restricted cash</w:t>
            </w:r>
          </w:p>
        </w:tc>
        <w:tc>
          <w:tcPr>
            <w:tcW w:w="0" w:type="auto"/>
            <w:shd w:val="clear" w:color="auto" w:fill="auto"/>
            <w:tcMar>
              <w:top w:w="40" w:type="dxa"/>
              <w:left w:w="40" w:type="dxa"/>
              <w:bottom w:w="40" w:type="dxa"/>
              <w:right w:w="40" w:type="dxa"/>
            </w:tcMar>
            <w:vAlign w:val="bottom"/>
          </w:tcPr>
          <w:p w14:paraId="42A129C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9C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(69</w:t>
            </w:r>
          </w:p>
        </w:tc>
        <w:tc>
          <w:tcPr>
            <w:tcW w:w="0" w:type="auto"/>
            <w:tcBorders>
              <w:bottom w:val="single" w:sz="8" w:space="0" w:color="000000"/>
            </w:tcBorders>
            <w:shd w:val="clear" w:color="auto" w:fill="auto"/>
            <w:tcMar>
              <w:top w:w="40" w:type="dxa"/>
              <w:bottom w:w="40" w:type="dxa"/>
              <w:right w:w="40" w:type="dxa"/>
            </w:tcMar>
            <w:vAlign w:val="center"/>
          </w:tcPr>
          <w:p w14:paraId="42A129C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9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9C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(438</w:t>
            </w:r>
          </w:p>
        </w:tc>
        <w:tc>
          <w:tcPr>
            <w:tcW w:w="0" w:type="auto"/>
            <w:tcBorders>
              <w:bottom w:val="single" w:sz="8" w:space="0" w:color="000000"/>
            </w:tcBorders>
            <w:shd w:val="clear" w:color="auto" w:fill="auto"/>
            <w:tcMar>
              <w:top w:w="40" w:type="dxa"/>
              <w:bottom w:w="40" w:type="dxa"/>
              <w:right w:w="40" w:type="dxa"/>
            </w:tcMar>
            <w:vAlign w:val="center"/>
          </w:tcPr>
          <w:p w14:paraId="42A129C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9C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9C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487</w:t>
            </w:r>
          </w:p>
        </w:tc>
        <w:tc>
          <w:tcPr>
            <w:tcW w:w="0" w:type="auto"/>
            <w:tcBorders>
              <w:bottom w:val="single" w:sz="8" w:space="0" w:color="000000"/>
            </w:tcBorders>
            <w:shd w:val="clear" w:color="auto" w:fill="auto"/>
            <w:vAlign w:val="bottom"/>
          </w:tcPr>
          <w:p w14:paraId="42A129CB" w14:textId="77777777" w:rsidR="00BB68E1" w:rsidRDefault="00BB68E1">
            <w:pPr>
              <w:textAlignment w:val="bottom"/>
              <w:rPr>
                <w:rFonts w:ascii="Times New Roman" w:hAnsi="Times New Roman"/>
                <w:sz w:val="20"/>
                <w:szCs w:val="20"/>
              </w:rPr>
            </w:pPr>
          </w:p>
        </w:tc>
      </w:tr>
      <w:tr w:rsidR="00BB68E1" w14:paraId="42A129D4" w14:textId="77777777">
        <w:tc>
          <w:tcPr>
            <w:tcW w:w="0" w:type="auto"/>
            <w:shd w:val="clear" w:color="auto" w:fill="CCEEFF"/>
            <w:tcMar>
              <w:top w:w="40" w:type="dxa"/>
              <w:left w:w="40" w:type="dxa"/>
              <w:bottom w:w="40" w:type="dxa"/>
              <w:right w:w="40" w:type="dxa"/>
            </w:tcMar>
            <w:vAlign w:val="bottom"/>
          </w:tcPr>
          <w:p w14:paraId="42A129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9C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9C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9D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9D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9D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9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9DF" w14:textId="77777777">
        <w:tc>
          <w:tcPr>
            <w:tcW w:w="0" w:type="auto"/>
            <w:shd w:val="clear" w:color="auto" w:fill="auto"/>
            <w:tcMar>
              <w:top w:w="40" w:type="dxa"/>
              <w:left w:w="40" w:type="dxa"/>
              <w:bottom w:w="40" w:type="dxa"/>
              <w:right w:w="40" w:type="dxa"/>
            </w:tcMar>
            <w:vAlign w:val="center"/>
          </w:tcPr>
          <w:p w14:paraId="42A129D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Net </w:t>
            </w:r>
            <w:r>
              <w:rPr>
                <w:rFonts w:ascii="Times New Roman" w:eastAsia="宋体" w:hAnsi="Times New Roman"/>
                <w:sz w:val="16"/>
                <w:szCs w:val="16"/>
              </w:rPr>
              <w:t>increase (decrease) in cash, cash equivalents and restricted cash</w:t>
            </w:r>
          </w:p>
        </w:tc>
        <w:tc>
          <w:tcPr>
            <w:tcW w:w="0" w:type="auto"/>
            <w:shd w:val="clear" w:color="auto" w:fill="auto"/>
            <w:tcMar>
              <w:top w:w="40" w:type="dxa"/>
              <w:left w:w="40" w:type="dxa"/>
              <w:bottom w:w="40" w:type="dxa"/>
              <w:right w:w="40" w:type="dxa"/>
            </w:tcMar>
            <w:vAlign w:val="bottom"/>
          </w:tcPr>
          <w:p w14:paraId="42A129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D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1,759</w:t>
            </w:r>
          </w:p>
        </w:tc>
        <w:tc>
          <w:tcPr>
            <w:tcW w:w="0" w:type="auto"/>
            <w:shd w:val="clear" w:color="auto" w:fill="auto"/>
            <w:vAlign w:val="bottom"/>
          </w:tcPr>
          <w:p w14:paraId="42A129D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9D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D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742</w:t>
            </w:r>
          </w:p>
        </w:tc>
        <w:tc>
          <w:tcPr>
            <w:tcW w:w="0" w:type="auto"/>
            <w:shd w:val="clear" w:color="auto" w:fill="auto"/>
            <w:vAlign w:val="bottom"/>
          </w:tcPr>
          <w:p w14:paraId="42A129D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9D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9D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(130</w:t>
            </w:r>
          </w:p>
        </w:tc>
        <w:tc>
          <w:tcPr>
            <w:tcW w:w="0" w:type="auto"/>
            <w:shd w:val="clear" w:color="auto" w:fill="auto"/>
            <w:tcMar>
              <w:top w:w="40" w:type="dxa"/>
              <w:bottom w:w="40" w:type="dxa"/>
              <w:right w:w="40" w:type="dxa"/>
            </w:tcMar>
            <w:vAlign w:val="center"/>
          </w:tcPr>
          <w:p w14:paraId="42A129D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9EA" w14:textId="77777777">
        <w:tc>
          <w:tcPr>
            <w:tcW w:w="0" w:type="auto"/>
            <w:shd w:val="clear" w:color="auto" w:fill="CCEEFF"/>
            <w:tcMar>
              <w:top w:w="40" w:type="dxa"/>
              <w:left w:w="40" w:type="dxa"/>
              <w:bottom w:w="40" w:type="dxa"/>
              <w:right w:w="40" w:type="dxa"/>
            </w:tcMar>
            <w:vAlign w:val="center"/>
          </w:tcPr>
          <w:p w14:paraId="42A129E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Cash, cash equivalents and restricted cash at beginning of year</w:t>
            </w:r>
          </w:p>
        </w:tc>
        <w:tc>
          <w:tcPr>
            <w:tcW w:w="0" w:type="auto"/>
            <w:shd w:val="clear" w:color="auto" w:fill="CCEEFF"/>
            <w:tcMar>
              <w:top w:w="40" w:type="dxa"/>
              <w:left w:w="40" w:type="dxa"/>
              <w:bottom w:w="40" w:type="dxa"/>
              <w:right w:w="40" w:type="dxa"/>
            </w:tcMar>
            <w:vAlign w:val="bottom"/>
          </w:tcPr>
          <w:p w14:paraId="42A129E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9E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7,756</w:t>
            </w:r>
          </w:p>
        </w:tc>
        <w:tc>
          <w:tcPr>
            <w:tcW w:w="0" w:type="auto"/>
            <w:tcBorders>
              <w:bottom w:val="single" w:sz="8" w:space="0" w:color="000000"/>
            </w:tcBorders>
            <w:shd w:val="clear" w:color="auto" w:fill="CCEEFF"/>
            <w:vAlign w:val="bottom"/>
          </w:tcPr>
          <w:p w14:paraId="42A129E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9E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9E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7,014</w:t>
            </w:r>
          </w:p>
        </w:tc>
        <w:tc>
          <w:tcPr>
            <w:tcW w:w="0" w:type="auto"/>
            <w:tcBorders>
              <w:bottom w:val="single" w:sz="8" w:space="0" w:color="000000"/>
            </w:tcBorders>
            <w:shd w:val="clear" w:color="auto" w:fill="CCEEFF"/>
            <w:vAlign w:val="bottom"/>
          </w:tcPr>
          <w:p w14:paraId="42A129E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9E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9E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7,144</w:t>
            </w:r>
          </w:p>
        </w:tc>
        <w:tc>
          <w:tcPr>
            <w:tcW w:w="0" w:type="auto"/>
            <w:tcBorders>
              <w:bottom w:val="single" w:sz="8" w:space="0" w:color="000000"/>
            </w:tcBorders>
            <w:shd w:val="clear" w:color="auto" w:fill="CCEEFF"/>
            <w:vAlign w:val="bottom"/>
          </w:tcPr>
          <w:p w14:paraId="42A129E9" w14:textId="77777777" w:rsidR="00BB68E1" w:rsidRDefault="00BB68E1">
            <w:pPr>
              <w:textAlignment w:val="bottom"/>
              <w:rPr>
                <w:rFonts w:ascii="Times New Roman" w:hAnsi="Times New Roman"/>
                <w:sz w:val="20"/>
                <w:szCs w:val="20"/>
              </w:rPr>
            </w:pPr>
          </w:p>
        </w:tc>
      </w:tr>
      <w:tr w:rsidR="00BB68E1" w14:paraId="42A129F8" w14:textId="77777777">
        <w:tc>
          <w:tcPr>
            <w:tcW w:w="0" w:type="auto"/>
            <w:shd w:val="clear" w:color="auto" w:fill="auto"/>
            <w:tcMar>
              <w:top w:w="40" w:type="dxa"/>
              <w:left w:w="40" w:type="dxa"/>
              <w:bottom w:w="40" w:type="dxa"/>
              <w:right w:w="40" w:type="dxa"/>
            </w:tcMar>
            <w:vAlign w:val="center"/>
          </w:tcPr>
          <w:p w14:paraId="42A129E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Cash, cash equivalents and restricted cash at end of year</w:t>
            </w:r>
          </w:p>
        </w:tc>
        <w:tc>
          <w:tcPr>
            <w:tcW w:w="0" w:type="auto"/>
            <w:shd w:val="clear" w:color="auto" w:fill="auto"/>
            <w:tcMar>
              <w:top w:w="40" w:type="dxa"/>
              <w:left w:w="40" w:type="dxa"/>
              <w:bottom w:w="40" w:type="dxa"/>
              <w:right w:w="40" w:type="dxa"/>
            </w:tcMar>
            <w:vAlign w:val="bottom"/>
          </w:tcPr>
          <w:p w14:paraId="42A129E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29E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2A129E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9,515</w:t>
            </w:r>
          </w:p>
        </w:tc>
        <w:tc>
          <w:tcPr>
            <w:tcW w:w="0" w:type="auto"/>
            <w:tcBorders>
              <w:bottom w:val="double" w:sz="6" w:space="0" w:color="000000"/>
            </w:tcBorders>
            <w:shd w:val="clear" w:color="auto" w:fill="auto"/>
            <w:vAlign w:val="bottom"/>
          </w:tcPr>
          <w:p w14:paraId="42A129E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9F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29F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2A129F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7,756</w:t>
            </w:r>
          </w:p>
        </w:tc>
        <w:tc>
          <w:tcPr>
            <w:tcW w:w="0" w:type="auto"/>
            <w:tcBorders>
              <w:bottom w:val="double" w:sz="6" w:space="0" w:color="000000"/>
            </w:tcBorders>
            <w:shd w:val="clear" w:color="auto" w:fill="auto"/>
            <w:vAlign w:val="bottom"/>
          </w:tcPr>
          <w:p w14:paraId="42A129F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9F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29F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2A129F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7,014</w:t>
            </w:r>
          </w:p>
        </w:tc>
        <w:tc>
          <w:tcPr>
            <w:tcW w:w="0" w:type="auto"/>
            <w:tcBorders>
              <w:bottom w:val="double" w:sz="6" w:space="0" w:color="000000"/>
            </w:tcBorders>
            <w:shd w:val="clear" w:color="auto" w:fill="auto"/>
            <w:vAlign w:val="bottom"/>
          </w:tcPr>
          <w:p w14:paraId="42A129F7" w14:textId="77777777" w:rsidR="00BB68E1" w:rsidRDefault="00BB68E1">
            <w:pPr>
              <w:textAlignment w:val="bottom"/>
              <w:rPr>
                <w:rFonts w:ascii="Times New Roman" w:hAnsi="Times New Roman"/>
                <w:sz w:val="20"/>
                <w:szCs w:val="20"/>
              </w:rPr>
            </w:pPr>
          </w:p>
        </w:tc>
      </w:tr>
      <w:tr w:rsidR="00BB68E1" w14:paraId="42A12A00" w14:textId="77777777">
        <w:tc>
          <w:tcPr>
            <w:tcW w:w="0" w:type="auto"/>
            <w:shd w:val="clear" w:color="auto" w:fill="CCEEFF"/>
            <w:tcMar>
              <w:top w:w="40" w:type="dxa"/>
              <w:left w:w="40" w:type="dxa"/>
              <w:bottom w:w="40" w:type="dxa"/>
              <w:right w:w="40" w:type="dxa"/>
            </w:tcMar>
            <w:vAlign w:val="bottom"/>
          </w:tcPr>
          <w:p w14:paraId="42A129F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9F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9F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9F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9F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9F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9F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A08" w14:textId="77777777">
        <w:tc>
          <w:tcPr>
            <w:tcW w:w="0" w:type="auto"/>
            <w:shd w:val="clear" w:color="auto" w:fill="auto"/>
            <w:tcMar>
              <w:top w:w="40" w:type="dxa"/>
              <w:left w:w="40" w:type="dxa"/>
              <w:bottom w:w="40" w:type="dxa"/>
              <w:right w:w="40" w:type="dxa"/>
            </w:tcMar>
            <w:vAlign w:val="center"/>
          </w:tcPr>
          <w:p w14:paraId="42A12A01"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Supplemental disclosure of cash flow information:</w:t>
            </w:r>
          </w:p>
        </w:tc>
        <w:tc>
          <w:tcPr>
            <w:tcW w:w="0" w:type="auto"/>
            <w:shd w:val="clear" w:color="auto" w:fill="auto"/>
            <w:tcMar>
              <w:top w:w="40" w:type="dxa"/>
              <w:left w:w="40" w:type="dxa"/>
              <w:bottom w:w="40" w:type="dxa"/>
              <w:right w:w="40" w:type="dxa"/>
            </w:tcMar>
            <w:vAlign w:val="bottom"/>
          </w:tcPr>
          <w:p w14:paraId="42A12A0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A0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A0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A0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A0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A0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A16" w14:textId="77777777">
        <w:tc>
          <w:tcPr>
            <w:tcW w:w="0" w:type="auto"/>
            <w:shd w:val="clear" w:color="auto" w:fill="CCEEFF"/>
            <w:tcMar>
              <w:top w:w="40" w:type="dxa"/>
              <w:left w:w="40" w:type="dxa"/>
              <w:bottom w:w="40" w:type="dxa"/>
              <w:right w:w="40" w:type="dxa"/>
            </w:tcMar>
            <w:vAlign w:val="center"/>
          </w:tcPr>
          <w:p w14:paraId="42A12A0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lastRenderedPageBreak/>
              <w:t>Income taxes paid</w:t>
            </w:r>
          </w:p>
        </w:tc>
        <w:tc>
          <w:tcPr>
            <w:tcW w:w="0" w:type="auto"/>
            <w:shd w:val="clear" w:color="auto" w:fill="CCEEFF"/>
            <w:tcMar>
              <w:top w:w="40" w:type="dxa"/>
              <w:left w:w="40" w:type="dxa"/>
              <w:bottom w:w="40" w:type="dxa"/>
              <w:right w:w="40" w:type="dxa"/>
            </w:tcMar>
            <w:vAlign w:val="bottom"/>
          </w:tcPr>
          <w:p w14:paraId="42A12A0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A0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A0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3,616</w:t>
            </w:r>
          </w:p>
        </w:tc>
        <w:tc>
          <w:tcPr>
            <w:tcW w:w="0" w:type="auto"/>
            <w:shd w:val="clear" w:color="auto" w:fill="CCEEFF"/>
            <w:vAlign w:val="bottom"/>
          </w:tcPr>
          <w:p w14:paraId="42A12A0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A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A0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A1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3,982</w:t>
            </w:r>
          </w:p>
        </w:tc>
        <w:tc>
          <w:tcPr>
            <w:tcW w:w="0" w:type="auto"/>
            <w:shd w:val="clear" w:color="auto" w:fill="CCEEFF"/>
            <w:vAlign w:val="bottom"/>
          </w:tcPr>
          <w:p w14:paraId="42A12A1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A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A1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A1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6,179</w:t>
            </w:r>
          </w:p>
        </w:tc>
        <w:tc>
          <w:tcPr>
            <w:tcW w:w="0" w:type="auto"/>
            <w:shd w:val="clear" w:color="auto" w:fill="CCEEFF"/>
            <w:vAlign w:val="bottom"/>
          </w:tcPr>
          <w:p w14:paraId="42A12A15" w14:textId="77777777" w:rsidR="00BB68E1" w:rsidRDefault="00BB68E1">
            <w:pPr>
              <w:textAlignment w:val="bottom"/>
              <w:rPr>
                <w:rFonts w:ascii="Times New Roman" w:hAnsi="Times New Roman"/>
                <w:sz w:val="20"/>
                <w:szCs w:val="20"/>
              </w:rPr>
            </w:pPr>
          </w:p>
        </w:tc>
      </w:tr>
      <w:tr w:rsidR="00BB68E1" w14:paraId="42A12A21" w14:textId="77777777">
        <w:tc>
          <w:tcPr>
            <w:tcW w:w="0" w:type="auto"/>
            <w:shd w:val="clear" w:color="auto" w:fill="auto"/>
            <w:tcMar>
              <w:top w:w="40" w:type="dxa"/>
              <w:left w:w="40" w:type="dxa"/>
              <w:bottom w:w="40" w:type="dxa"/>
              <w:right w:w="40" w:type="dxa"/>
            </w:tcMar>
            <w:vAlign w:val="center"/>
          </w:tcPr>
          <w:p w14:paraId="42A12A1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Interest paid </w:t>
            </w:r>
          </w:p>
        </w:tc>
        <w:tc>
          <w:tcPr>
            <w:tcW w:w="0" w:type="auto"/>
            <w:shd w:val="clear" w:color="auto" w:fill="auto"/>
            <w:tcMar>
              <w:top w:w="40" w:type="dxa"/>
              <w:left w:w="40" w:type="dxa"/>
              <w:bottom w:w="40" w:type="dxa"/>
              <w:right w:w="40" w:type="dxa"/>
            </w:tcMar>
            <w:vAlign w:val="bottom"/>
          </w:tcPr>
          <w:p w14:paraId="42A12A1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A1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2,464</w:t>
            </w:r>
          </w:p>
        </w:tc>
        <w:tc>
          <w:tcPr>
            <w:tcW w:w="0" w:type="auto"/>
            <w:shd w:val="clear" w:color="auto" w:fill="auto"/>
            <w:vAlign w:val="bottom"/>
          </w:tcPr>
          <w:p w14:paraId="42A12A1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A1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A1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2,348</w:t>
            </w:r>
          </w:p>
        </w:tc>
        <w:tc>
          <w:tcPr>
            <w:tcW w:w="0" w:type="auto"/>
            <w:shd w:val="clear" w:color="auto" w:fill="auto"/>
            <w:vAlign w:val="bottom"/>
          </w:tcPr>
          <w:p w14:paraId="42A12A1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A1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A1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2,450</w:t>
            </w:r>
          </w:p>
        </w:tc>
        <w:tc>
          <w:tcPr>
            <w:tcW w:w="0" w:type="auto"/>
            <w:shd w:val="clear" w:color="auto" w:fill="auto"/>
            <w:vAlign w:val="bottom"/>
          </w:tcPr>
          <w:p w14:paraId="42A12A20" w14:textId="77777777" w:rsidR="00BB68E1" w:rsidRDefault="00BB68E1">
            <w:pPr>
              <w:textAlignment w:val="bottom"/>
              <w:rPr>
                <w:rFonts w:ascii="Times New Roman" w:hAnsi="Times New Roman"/>
                <w:sz w:val="20"/>
                <w:szCs w:val="20"/>
              </w:rPr>
            </w:pPr>
          </w:p>
        </w:tc>
      </w:tr>
    </w:tbl>
    <w:p w14:paraId="42A12A22" w14:textId="77777777" w:rsidR="00BB68E1" w:rsidRDefault="005D2D5E">
      <w:pPr>
        <w:spacing w:line="288" w:lineRule="auto"/>
        <w:rPr>
          <w:rFonts w:ascii="Times New Roman" w:hAnsi="Times New Roman"/>
          <w:sz w:val="16"/>
          <w:szCs w:val="16"/>
        </w:rPr>
      </w:pPr>
      <w:r>
        <w:rPr>
          <w:rFonts w:ascii="Times New Roman" w:eastAsia="宋体" w:hAnsi="Times New Roman"/>
          <w:i/>
          <w:iCs/>
          <w:sz w:val="16"/>
          <w:szCs w:val="16"/>
        </w:rPr>
        <w:t xml:space="preserve">See accompanying notes. </w:t>
      </w:r>
    </w:p>
    <w:p w14:paraId="42A12A23" w14:textId="77777777" w:rsidR="00BB68E1" w:rsidRDefault="00BB68E1">
      <w:pPr>
        <w:rPr>
          <w:rFonts w:ascii="Times New Roman" w:hAnsi="Times New Roman"/>
          <w:sz w:val="20"/>
          <w:szCs w:val="20"/>
        </w:rPr>
      </w:pPr>
    </w:p>
    <w:p w14:paraId="42A12A24"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54</w:t>
      </w:r>
    </w:p>
    <w:p w14:paraId="42A12A25" w14:textId="77777777" w:rsidR="00BB68E1" w:rsidRDefault="00BB68E1">
      <w:pPr>
        <w:spacing w:line="288" w:lineRule="auto"/>
        <w:jc w:val="center"/>
        <w:rPr>
          <w:rFonts w:ascii="Times New Roman" w:hAnsi="Times New Roman"/>
          <w:sz w:val="20"/>
          <w:szCs w:val="20"/>
        </w:rPr>
      </w:pPr>
    </w:p>
    <w:p w14:paraId="42A12A26" w14:textId="77777777" w:rsidR="00BB68E1" w:rsidRDefault="005D2D5E">
      <w:r>
        <w:rPr>
          <w:rFonts w:ascii="Times New Roman" w:hAnsi="Times New Roman"/>
          <w:sz w:val="20"/>
          <w:szCs w:val="20"/>
        </w:rPr>
        <w:pict w14:anchorId="42A142AD">
          <v:rect id="_x0000_i1078" style="width:415.3pt;height:1.5pt" o:hralign="center" o:hrstd="t" o:hr="t" fillcolor="#a0a0a0" stroked="f"/>
        </w:pict>
      </w:r>
    </w:p>
    <w:p w14:paraId="42A12A27" w14:textId="77777777" w:rsidR="00BB68E1" w:rsidRDefault="00BB68E1">
      <w:pPr>
        <w:spacing w:line="288" w:lineRule="auto"/>
        <w:rPr>
          <w:rFonts w:ascii="Times New Roman" w:hAnsi="Times New Roman"/>
          <w:sz w:val="20"/>
          <w:szCs w:val="20"/>
        </w:rPr>
      </w:pPr>
    </w:p>
    <w:p w14:paraId="42A12A28" w14:textId="77777777" w:rsidR="00BB68E1" w:rsidRDefault="00BB68E1">
      <w:pPr>
        <w:rPr>
          <w:rFonts w:ascii="Times New Roman" w:hAnsi="Times New Roman"/>
          <w:sz w:val="20"/>
          <w:szCs w:val="20"/>
        </w:rPr>
      </w:pPr>
    </w:p>
    <w:p w14:paraId="42A12A29"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42A12A2A"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rPr>
        <w:t xml:space="preserve">Notes to </w:t>
      </w:r>
      <w:r>
        <w:rPr>
          <w:rFonts w:ascii="Times New Roman" w:eastAsia="宋体" w:hAnsi="Times New Roman"/>
          <w:b/>
          <w:bCs/>
          <w:sz w:val="20"/>
          <w:szCs w:val="20"/>
        </w:rPr>
        <w:t>Consolidated Financial Statements</w:t>
      </w:r>
    </w:p>
    <w:p w14:paraId="42A12A2B"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Note 1. Summary of Significant Accounting Policies</w:t>
      </w:r>
    </w:p>
    <w:p w14:paraId="42A12A2C"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General</w:t>
      </w:r>
    </w:p>
    <w:p w14:paraId="42A12A2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Walmart Inc. ("Walmart" or the "Company") helps people around the world save money and live better – anytime and anywhere – by providing the opportunity to shop in</w:t>
      </w:r>
      <w:r>
        <w:rPr>
          <w:rFonts w:ascii="Times New Roman" w:eastAsia="宋体" w:hAnsi="Times New Roman"/>
          <w:sz w:val="20"/>
          <w:szCs w:val="20"/>
        </w:rPr>
        <w:t xml:space="preserve"> retail stores and through eCommerce. Through innovation, the Company is striving to continuously improve a customer-centric experience that seamlessly integrates eCommerce and retail stores in an omni-channel offering that saves time for its customers. Ea</w:t>
      </w:r>
      <w:r>
        <w:rPr>
          <w:rFonts w:ascii="Times New Roman" w:eastAsia="宋体" w:hAnsi="Times New Roman"/>
          <w:sz w:val="20"/>
          <w:szCs w:val="20"/>
        </w:rPr>
        <w:t xml:space="preserve">ch week, the Company serves over 265 million customers who visit approximately 11,500 stores and numerous eCommerce websites under 56 banners in 27 countries. </w:t>
      </w:r>
    </w:p>
    <w:p w14:paraId="42A12A2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Company's operations comprise three reportable segments: Walmart U.S., Walmart International</w:t>
      </w:r>
      <w:r>
        <w:rPr>
          <w:rFonts w:ascii="Times New Roman" w:eastAsia="宋体" w:hAnsi="Times New Roman"/>
          <w:sz w:val="20"/>
          <w:szCs w:val="20"/>
        </w:rPr>
        <w:t xml:space="preserve"> and Sam's Club.</w:t>
      </w:r>
    </w:p>
    <w:p w14:paraId="42A12A2F"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Principles of Consolidation</w:t>
      </w:r>
    </w:p>
    <w:p w14:paraId="42A12A3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Consolidated Financial Statements include the accounts of Walmart and its subsidiaries as of and for the fiscal years ended January 31, 2020 ("fiscal 2020"), January 31, 2019 ("fiscal 2019") and </w:t>
      </w:r>
      <w:r>
        <w:rPr>
          <w:rFonts w:ascii="Times New Roman" w:eastAsia="宋体" w:hAnsi="Times New Roman"/>
          <w:sz w:val="20"/>
          <w:szCs w:val="20"/>
        </w:rPr>
        <w:t xml:space="preserve">January 31, 2018 ("fiscal 2018"). Intercompany accounts and transactions have been eliminated in consolidation. The Company consolidates variable interest entities where it has been determined that the Company is the primary beneficiary of those entities' </w:t>
      </w:r>
      <w:r>
        <w:rPr>
          <w:rFonts w:ascii="Times New Roman" w:eastAsia="宋体" w:hAnsi="Times New Roman"/>
          <w:sz w:val="20"/>
          <w:szCs w:val="20"/>
        </w:rPr>
        <w:t>operations. Investments for which the Company exercises significant influence but does not have control are accounted for under the equity method. These variable interest entities and equity method investments are immaterial to the Company's Consolidated F</w:t>
      </w:r>
      <w:r>
        <w:rPr>
          <w:rFonts w:ascii="Times New Roman" w:eastAsia="宋体" w:hAnsi="Times New Roman"/>
          <w:sz w:val="20"/>
          <w:szCs w:val="20"/>
        </w:rPr>
        <w:t>inancial Statements.</w:t>
      </w:r>
    </w:p>
    <w:p w14:paraId="42A12A3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Company's Consolidated Financial Statements are based on a fiscal year ending on January 31 for the United States ("U.S.") and Canadian operations. The Company consolidates all other operations generally using a one-month lag and b</w:t>
      </w:r>
      <w:r>
        <w:rPr>
          <w:rFonts w:ascii="Times New Roman" w:eastAsia="宋体" w:hAnsi="Times New Roman"/>
          <w:sz w:val="20"/>
          <w:szCs w:val="20"/>
        </w:rPr>
        <w:t>ased on a calendar year. There were no significant intervening events during the month of January 2020 related to the operations consolidated using a lag that materially affected the Consolidated Financial Statements.</w:t>
      </w:r>
    </w:p>
    <w:p w14:paraId="42A12A32"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Use of Estimates</w:t>
      </w:r>
    </w:p>
    <w:p w14:paraId="42A12A3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Consolidated Fina</w:t>
      </w:r>
      <w:r>
        <w:rPr>
          <w:rFonts w:ascii="Times New Roman" w:eastAsia="宋体" w:hAnsi="Times New Roman"/>
          <w:sz w:val="20"/>
          <w:szCs w:val="20"/>
        </w:rPr>
        <w:t>ncial Statements have been prepared in conformity with U.S. generally accepted accounting principles. Those principles require management to make estimates and assumptions that affect the reported amounts of assets and liabilities. Management's estimates a</w:t>
      </w:r>
      <w:r>
        <w:rPr>
          <w:rFonts w:ascii="Times New Roman" w:eastAsia="宋体" w:hAnsi="Times New Roman"/>
          <w:sz w:val="20"/>
          <w:szCs w:val="20"/>
        </w:rPr>
        <w:t>nd assumptions also affect the disclosure of contingent assets and liabilities at the date of the financial statements and the reported amounts of revenues and expenses during the reporting period. Actual results may differ from those estimates.</w:t>
      </w:r>
    </w:p>
    <w:p w14:paraId="42A12A34"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Cash and C</w:t>
      </w:r>
      <w:r>
        <w:rPr>
          <w:rFonts w:ascii="Times New Roman" w:eastAsia="宋体" w:hAnsi="Times New Roman"/>
          <w:b/>
          <w:bCs/>
          <w:i/>
          <w:iCs/>
          <w:sz w:val="20"/>
          <w:szCs w:val="20"/>
        </w:rPr>
        <w:t>ash Equivalents</w:t>
      </w:r>
    </w:p>
    <w:p w14:paraId="42A12A35" w14:textId="77777777" w:rsidR="00BB68E1" w:rsidRDefault="005D2D5E">
      <w:pPr>
        <w:spacing w:line="288" w:lineRule="auto"/>
        <w:jc w:val="both"/>
        <w:rPr>
          <w:rFonts w:ascii="Times New Roman" w:hAnsi="Times New Roman"/>
          <w:sz w:val="20"/>
          <w:szCs w:val="20"/>
        </w:rPr>
      </w:pPr>
      <w:r>
        <w:rPr>
          <w:rFonts w:ascii="Times New Roman" w:eastAsia="宋体" w:hAnsi="Times New Roman"/>
          <w:sz w:val="20"/>
          <w:szCs w:val="20"/>
        </w:rPr>
        <w:t>The Company considers investments with a maturity when purchased of three months or less to be cash equivalents. All credit card, debit card and electronic transfer transactions that process in less than seven days are classified as cash an</w:t>
      </w:r>
      <w:r>
        <w:rPr>
          <w:rFonts w:ascii="Times New Roman" w:eastAsia="宋体" w:hAnsi="Times New Roman"/>
          <w:sz w:val="20"/>
          <w:szCs w:val="20"/>
        </w:rPr>
        <w:t xml:space="preserve">d cash equivalents. The amounts due from banks for these transactions classified as cash and cash equivalents totaled $1.7 billion and $1.4 billion as of January 31, 2020 and 2019, respectively. </w:t>
      </w:r>
    </w:p>
    <w:p w14:paraId="42A12A3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Company's cash balances are held in various locations ar</w:t>
      </w:r>
      <w:r>
        <w:rPr>
          <w:rFonts w:ascii="Times New Roman" w:eastAsia="宋体" w:hAnsi="Times New Roman"/>
          <w:sz w:val="20"/>
          <w:szCs w:val="20"/>
        </w:rPr>
        <w:t xml:space="preserve">ound the world. Most of the Company's $9.5 billion and $7.7 billion of cash and cash equivalents as of January 31, 2020 and January 31, 2019 </w:t>
      </w:r>
      <w:r>
        <w:rPr>
          <w:rFonts w:ascii="Times New Roman" w:eastAsia="宋体" w:hAnsi="Times New Roman"/>
          <w:sz w:val="20"/>
          <w:szCs w:val="20"/>
        </w:rPr>
        <w:lastRenderedPageBreak/>
        <w:t xml:space="preserve">were held outside of the U.S. Cash and cash equivalents held outside of the U.S. are generally utilized to support </w:t>
      </w:r>
      <w:r>
        <w:rPr>
          <w:rFonts w:ascii="Times New Roman" w:eastAsia="宋体" w:hAnsi="Times New Roman"/>
          <w:sz w:val="20"/>
          <w:szCs w:val="20"/>
        </w:rPr>
        <w:t>liquidity needs in the Company's non-U.S. operations.</w:t>
      </w:r>
    </w:p>
    <w:p w14:paraId="42A12A3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Company uses intercompany financing arrangements in an effort to ensure cash can be made available in the country in which it is needed with the minimum cost possible. </w:t>
      </w:r>
    </w:p>
    <w:p w14:paraId="42A12A3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As of January 31, 2020 and 20</w:t>
      </w:r>
      <w:r>
        <w:rPr>
          <w:rFonts w:ascii="Times New Roman" w:eastAsia="宋体" w:hAnsi="Times New Roman"/>
          <w:sz w:val="20"/>
          <w:szCs w:val="20"/>
        </w:rPr>
        <w:t xml:space="preserve">19, cash and cash equivalents of approximately $2.3 billion and $2.8 billion, respectively, may not be freely transferable to the U.S. due to local laws or other restrictions. Of the $2.3 billion as of January 31, 2020, approximately $0.6 billion can only </w:t>
      </w:r>
      <w:r>
        <w:rPr>
          <w:rFonts w:ascii="Times New Roman" w:eastAsia="宋体" w:hAnsi="Times New Roman"/>
          <w:sz w:val="20"/>
          <w:szCs w:val="20"/>
        </w:rPr>
        <w:t>be accessed through dividends or intercompany financing arrangements subject to approval of Flipkart Private Limited ("Flipkart") minority shareholders; however, this cash is expected to be utilized to fund the operations of Flipkart.</w:t>
      </w:r>
    </w:p>
    <w:p w14:paraId="42A12A39"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Receivables</w:t>
      </w:r>
    </w:p>
    <w:p w14:paraId="42A12A3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Receivabl</w:t>
      </w:r>
      <w:r>
        <w:rPr>
          <w:rFonts w:ascii="Times New Roman" w:eastAsia="宋体" w:hAnsi="Times New Roman"/>
          <w:sz w:val="20"/>
          <w:szCs w:val="20"/>
        </w:rPr>
        <w:t>es are stated at their carrying values, net of a reserve for doubtful accounts, and are primarily due from the following: customers, which also includes insurance companies resulting from pharmacy sales, banks for customer credit, debit cards and electroni</w:t>
      </w:r>
      <w:r>
        <w:rPr>
          <w:rFonts w:ascii="Times New Roman" w:eastAsia="宋体" w:hAnsi="Times New Roman"/>
          <w:sz w:val="20"/>
          <w:szCs w:val="20"/>
        </w:rPr>
        <w:t>c transfer transactions that take in excess of seven days to process; suppliers for marketing or incentive programs; governments for income taxes; and real estate transactions. As of January 31, 2020 and January 31, 2019, receivables from transactions with</w:t>
      </w:r>
      <w:r>
        <w:rPr>
          <w:rFonts w:ascii="Times New Roman" w:eastAsia="宋体" w:hAnsi="Times New Roman"/>
          <w:sz w:val="20"/>
          <w:szCs w:val="20"/>
        </w:rPr>
        <w:t xml:space="preserve"> customers, net were $2.9 billion and $2.5 billion, respectively.</w:t>
      </w:r>
    </w:p>
    <w:p w14:paraId="42A12A3B" w14:textId="77777777" w:rsidR="00BB68E1" w:rsidRDefault="00BB68E1">
      <w:pPr>
        <w:rPr>
          <w:rFonts w:ascii="Times New Roman" w:hAnsi="Times New Roman"/>
          <w:sz w:val="20"/>
          <w:szCs w:val="20"/>
        </w:rPr>
      </w:pPr>
    </w:p>
    <w:p w14:paraId="42A12A3C"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55</w:t>
      </w:r>
    </w:p>
    <w:p w14:paraId="42A12A3D" w14:textId="77777777" w:rsidR="00BB68E1" w:rsidRDefault="00BB68E1">
      <w:pPr>
        <w:spacing w:line="288" w:lineRule="auto"/>
        <w:jc w:val="center"/>
        <w:rPr>
          <w:rFonts w:ascii="Times New Roman" w:hAnsi="Times New Roman"/>
          <w:sz w:val="20"/>
          <w:szCs w:val="20"/>
        </w:rPr>
      </w:pPr>
    </w:p>
    <w:p w14:paraId="42A12A3E" w14:textId="77777777" w:rsidR="00BB68E1" w:rsidRDefault="005D2D5E">
      <w:r>
        <w:rPr>
          <w:rFonts w:ascii="Times New Roman" w:hAnsi="Times New Roman"/>
          <w:sz w:val="20"/>
          <w:szCs w:val="20"/>
        </w:rPr>
        <w:pict w14:anchorId="42A142AE">
          <v:rect id="_x0000_i1079" style="width:415.3pt;height:1.5pt" o:hralign="center" o:hrstd="t" o:hr="t" fillcolor="#a0a0a0" stroked="f"/>
        </w:pict>
      </w:r>
    </w:p>
    <w:p w14:paraId="42A12A3F" w14:textId="77777777" w:rsidR="00BB68E1" w:rsidRDefault="00BB68E1">
      <w:pPr>
        <w:spacing w:line="288" w:lineRule="auto"/>
        <w:rPr>
          <w:rFonts w:ascii="Times New Roman" w:hAnsi="Times New Roman"/>
          <w:sz w:val="20"/>
          <w:szCs w:val="20"/>
        </w:rPr>
      </w:pPr>
    </w:p>
    <w:p w14:paraId="42A12A40" w14:textId="77777777" w:rsidR="00BB68E1" w:rsidRDefault="00BB68E1">
      <w:pPr>
        <w:rPr>
          <w:rFonts w:ascii="Times New Roman" w:hAnsi="Times New Roman"/>
          <w:sz w:val="20"/>
          <w:szCs w:val="20"/>
        </w:rPr>
      </w:pPr>
    </w:p>
    <w:p w14:paraId="42A12A41"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Inventories</w:t>
      </w:r>
    </w:p>
    <w:p w14:paraId="42A12A4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values inventories at the lower of cost or market as determined primarily by the retail inventory method of accounting, using the last-in, first-out ("LIFO")</w:t>
      </w:r>
      <w:r>
        <w:rPr>
          <w:rFonts w:ascii="Times New Roman" w:eastAsia="宋体" w:hAnsi="Times New Roman"/>
          <w:sz w:val="20"/>
          <w:szCs w:val="20"/>
        </w:rPr>
        <w:t xml:space="preserve"> method for the Walmart U.S. segment's inventories. The inventory for the Walmart International segment is valued primarily by the retail inventory method of accounting, using the first-in, first-out ("FIFO") method. The retail inventory method of accounti</w:t>
      </w:r>
      <w:r>
        <w:rPr>
          <w:rFonts w:ascii="Times New Roman" w:eastAsia="宋体" w:hAnsi="Times New Roman"/>
          <w:sz w:val="20"/>
          <w:szCs w:val="20"/>
        </w:rPr>
        <w:t xml:space="preserve">ng results in inventory being valued at the lower of cost or market, since permanent markdowns are immediately recorded as a reduction of the retail value of inventory. The inventory at the Sam's Club segment is valued using the weighted-average cost LIFO </w:t>
      </w:r>
      <w:r>
        <w:rPr>
          <w:rFonts w:ascii="Times New Roman" w:eastAsia="宋体" w:hAnsi="Times New Roman"/>
          <w:sz w:val="20"/>
          <w:szCs w:val="20"/>
        </w:rPr>
        <w:t>method. As of January 31, 2020 and January 31, 2019, the Company's inventories valued at LIFO approximated those inventories as if they were valued at FIFO.</w:t>
      </w:r>
    </w:p>
    <w:p w14:paraId="42A12A43"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Assets Held for Sale</w:t>
      </w:r>
    </w:p>
    <w:p w14:paraId="42A12A4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Assets held for sale represent components and businesses that meet accounting </w:t>
      </w:r>
      <w:r>
        <w:rPr>
          <w:rFonts w:ascii="Times New Roman" w:eastAsia="宋体" w:hAnsi="Times New Roman"/>
          <w:sz w:val="20"/>
          <w:szCs w:val="20"/>
        </w:rPr>
        <w:t xml:space="preserve">requirements to be classified as held for sale and are presented as single asset and liability amounts in the Company's financial statements with a valuation allowance, if necessary, to recognize the net carrying amount at the lower of cost or fair value, </w:t>
      </w:r>
      <w:r>
        <w:rPr>
          <w:rFonts w:ascii="Times New Roman" w:eastAsia="宋体" w:hAnsi="Times New Roman"/>
          <w:sz w:val="20"/>
          <w:szCs w:val="20"/>
        </w:rPr>
        <w:t xml:space="preserve">less costs to sell.  The Company reviews all businesses and assets held for sale each reporting period to determine whether the existing carrying amounts are fully recoverable in comparison to estimated fair values.  As of January 31, 2020 and January 31, </w:t>
      </w:r>
      <w:r>
        <w:rPr>
          <w:rFonts w:ascii="Times New Roman" w:eastAsia="宋体" w:hAnsi="Times New Roman"/>
          <w:sz w:val="20"/>
          <w:szCs w:val="20"/>
        </w:rPr>
        <w:t>2019, immaterial amounts for assets and liabilities held for sale were classified in prepaid expenses and other and accrued liabilities, respectively, in the Consolidated Balance Sheets.</w:t>
      </w:r>
    </w:p>
    <w:p w14:paraId="42A12A45"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Property and Equipment</w:t>
      </w:r>
    </w:p>
    <w:p w14:paraId="42A12A4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Property and equipment are initially </w:t>
      </w:r>
      <w:r>
        <w:rPr>
          <w:rFonts w:ascii="Times New Roman" w:eastAsia="宋体" w:hAnsi="Times New Roman"/>
          <w:sz w:val="20"/>
          <w:szCs w:val="20"/>
        </w:rPr>
        <w:t>recorded at cost. Gains or losses on disposition are recognized as earned or incurred. Costs of major improvements are capitalized, while costs of normal repairs and maintenance are expensed as incurred. The following table summarizes the Company's propert</w:t>
      </w:r>
      <w:r>
        <w:rPr>
          <w:rFonts w:ascii="Times New Roman" w:eastAsia="宋体" w:hAnsi="Times New Roman"/>
          <w:sz w:val="20"/>
          <w:szCs w:val="20"/>
        </w:rPr>
        <w:t>y and equipment balances and includes the estimated useful lives that are generally used to depreciate the assets on a straight-line basis:</w:t>
      </w:r>
    </w:p>
    <w:tbl>
      <w:tblPr>
        <w:tblW w:w="4971" w:type="pct"/>
        <w:jc w:val="center"/>
        <w:tblCellMar>
          <w:left w:w="0" w:type="dxa"/>
          <w:right w:w="0" w:type="dxa"/>
        </w:tblCellMar>
        <w:tblLook w:val="04A0" w:firstRow="1" w:lastRow="0" w:firstColumn="1" w:lastColumn="0" w:noHBand="0" w:noVBand="1"/>
      </w:tblPr>
      <w:tblGrid>
        <w:gridCol w:w="4069"/>
        <w:gridCol w:w="130"/>
        <w:gridCol w:w="1674"/>
        <w:gridCol w:w="130"/>
        <w:gridCol w:w="120"/>
        <w:gridCol w:w="848"/>
        <w:gridCol w:w="94"/>
        <w:gridCol w:w="130"/>
        <w:gridCol w:w="120"/>
        <w:gridCol w:w="849"/>
        <w:gridCol w:w="94"/>
      </w:tblGrid>
      <w:tr w:rsidR="00BB68E1" w14:paraId="42A12A48" w14:textId="77777777">
        <w:trPr>
          <w:jc w:val="center"/>
        </w:trPr>
        <w:tc>
          <w:tcPr>
            <w:tcW w:w="0" w:type="auto"/>
            <w:gridSpan w:val="11"/>
            <w:shd w:val="clear" w:color="auto" w:fill="auto"/>
            <w:vAlign w:val="center"/>
          </w:tcPr>
          <w:p w14:paraId="42A12A47" w14:textId="77777777" w:rsidR="00BB68E1" w:rsidRDefault="00BB68E1">
            <w:pPr>
              <w:rPr>
                <w:rFonts w:ascii="Times New Roman" w:hAnsi="Times New Roman"/>
                <w:sz w:val="20"/>
                <w:szCs w:val="20"/>
              </w:rPr>
            </w:pPr>
          </w:p>
        </w:tc>
      </w:tr>
      <w:tr w:rsidR="00BB68E1" w14:paraId="42A12A54" w14:textId="77777777">
        <w:trPr>
          <w:jc w:val="center"/>
        </w:trPr>
        <w:tc>
          <w:tcPr>
            <w:tcW w:w="2500" w:type="pct"/>
            <w:shd w:val="clear" w:color="auto" w:fill="auto"/>
            <w:vAlign w:val="center"/>
          </w:tcPr>
          <w:p w14:paraId="42A12A49" w14:textId="77777777" w:rsidR="00BB68E1" w:rsidRDefault="00BB68E1">
            <w:pPr>
              <w:rPr>
                <w:rFonts w:ascii="Times New Roman" w:hAnsi="Times New Roman"/>
                <w:sz w:val="20"/>
                <w:szCs w:val="20"/>
              </w:rPr>
            </w:pPr>
          </w:p>
        </w:tc>
        <w:tc>
          <w:tcPr>
            <w:tcW w:w="50" w:type="pct"/>
            <w:shd w:val="clear" w:color="auto" w:fill="auto"/>
            <w:vAlign w:val="center"/>
          </w:tcPr>
          <w:p w14:paraId="42A12A4A" w14:textId="77777777" w:rsidR="00BB68E1" w:rsidRDefault="00BB68E1">
            <w:pPr>
              <w:rPr>
                <w:rFonts w:ascii="Times New Roman" w:hAnsi="Times New Roman"/>
                <w:sz w:val="20"/>
                <w:szCs w:val="20"/>
              </w:rPr>
            </w:pPr>
          </w:p>
        </w:tc>
        <w:tc>
          <w:tcPr>
            <w:tcW w:w="1050" w:type="pct"/>
            <w:shd w:val="clear" w:color="auto" w:fill="auto"/>
            <w:vAlign w:val="center"/>
          </w:tcPr>
          <w:p w14:paraId="42A12A4B" w14:textId="77777777" w:rsidR="00BB68E1" w:rsidRDefault="00BB68E1">
            <w:pPr>
              <w:rPr>
                <w:rFonts w:ascii="Times New Roman" w:hAnsi="Times New Roman"/>
                <w:sz w:val="20"/>
                <w:szCs w:val="20"/>
              </w:rPr>
            </w:pPr>
          </w:p>
        </w:tc>
        <w:tc>
          <w:tcPr>
            <w:tcW w:w="50" w:type="pct"/>
            <w:shd w:val="clear" w:color="auto" w:fill="auto"/>
            <w:vAlign w:val="center"/>
          </w:tcPr>
          <w:p w14:paraId="42A12A4C" w14:textId="77777777" w:rsidR="00BB68E1" w:rsidRDefault="00BB68E1">
            <w:pPr>
              <w:rPr>
                <w:rFonts w:ascii="Times New Roman" w:hAnsi="Times New Roman"/>
                <w:sz w:val="20"/>
                <w:szCs w:val="20"/>
              </w:rPr>
            </w:pPr>
          </w:p>
        </w:tc>
        <w:tc>
          <w:tcPr>
            <w:tcW w:w="50" w:type="pct"/>
            <w:shd w:val="clear" w:color="auto" w:fill="auto"/>
            <w:vAlign w:val="center"/>
          </w:tcPr>
          <w:p w14:paraId="42A12A4D" w14:textId="77777777" w:rsidR="00BB68E1" w:rsidRDefault="00BB68E1">
            <w:pPr>
              <w:rPr>
                <w:rFonts w:ascii="Times New Roman" w:hAnsi="Times New Roman"/>
                <w:sz w:val="20"/>
                <w:szCs w:val="20"/>
              </w:rPr>
            </w:pPr>
          </w:p>
        </w:tc>
        <w:tc>
          <w:tcPr>
            <w:tcW w:w="550" w:type="pct"/>
            <w:shd w:val="clear" w:color="auto" w:fill="auto"/>
            <w:vAlign w:val="center"/>
          </w:tcPr>
          <w:p w14:paraId="42A12A4E" w14:textId="77777777" w:rsidR="00BB68E1" w:rsidRDefault="00BB68E1">
            <w:pPr>
              <w:rPr>
                <w:rFonts w:ascii="Times New Roman" w:hAnsi="Times New Roman"/>
                <w:sz w:val="20"/>
                <w:szCs w:val="20"/>
              </w:rPr>
            </w:pPr>
          </w:p>
        </w:tc>
        <w:tc>
          <w:tcPr>
            <w:tcW w:w="50" w:type="pct"/>
            <w:shd w:val="clear" w:color="auto" w:fill="auto"/>
            <w:vAlign w:val="center"/>
          </w:tcPr>
          <w:p w14:paraId="42A12A4F" w14:textId="77777777" w:rsidR="00BB68E1" w:rsidRDefault="00BB68E1">
            <w:pPr>
              <w:rPr>
                <w:rFonts w:ascii="Times New Roman" w:hAnsi="Times New Roman"/>
                <w:sz w:val="20"/>
                <w:szCs w:val="20"/>
              </w:rPr>
            </w:pPr>
          </w:p>
        </w:tc>
        <w:tc>
          <w:tcPr>
            <w:tcW w:w="50" w:type="pct"/>
            <w:shd w:val="clear" w:color="auto" w:fill="auto"/>
            <w:vAlign w:val="center"/>
          </w:tcPr>
          <w:p w14:paraId="42A12A50" w14:textId="77777777" w:rsidR="00BB68E1" w:rsidRDefault="00BB68E1">
            <w:pPr>
              <w:rPr>
                <w:rFonts w:ascii="Times New Roman" w:hAnsi="Times New Roman"/>
                <w:sz w:val="20"/>
                <w:szCs w:val="20"/>
              </w:rPr>
            </w:pPr>
          </w:p>
        </w:tc>
        <w:tc>
          <w:tcPr>
            <w:tcW w:w="50" w:type="pct"/>
            <w:shd w:val="clear" w:color="auto" w:fill="auto"/>
            <w:vAlign w:val="center"/>
          </w:tcPr>
          <w:p w14:paraId="42A12A51" w14:textId="77777777" w:rsidR="00BB68E1" w:rsidRDefault="00BB68E1">
            <w:pPr>
              <w:rPr>
                <w:rFonts w:ascii="Times New Roman" w:hAnsi="Times New Roman"/>
                <w:sz w:val="20"/>
                <w:szCs w:val="20"/>
              </w:rPr>
            </w:pPr>
          </w:p>
        </w:tc>
        <w:tc>
          <w:tcPr>
            <w:tcW w:w="550" w:type="pct"/>
            <w:shd w:val="clear" w:color="auto" w:fill="auto"/>
            <w:vAlign w:val="center"/>
          </w:tcPr>
          <w:p w14:paraId="42A12A52" w14:textId="77777777" w:rsidR="00BB68E1" w:rsidRDefault="00BB68E1">
            <w:pPr>
              <w:rPr>
                <w:rFonts w:ascii="Times New Roman" w:hAnsi="Times New Roman"/>
                <w:sz w:val="20"/>
                <w:szCs w:val="20"/>
              </w:rPr>
            </w:pPr>
          </w:p>
        </w:tc>
        <w:tc>
          <w:tcPr>
            <w:tcW w:w="50" w:type="pct"/>
            <w:shd w:val="clear" w:color="auto" w:fill="auto"/>
            <w:vAlign w:val="center"/>
          </w:tcPr>
          <w:p w14:paraId="42A12A53" w14:textId="77777777" w:rsidR="00BB68E1" w:rsidRDefault="00BB68E1">
            <w:pPr>
              <w:rPr>
                <w:rFonts w:ascii="Times New Roman" w:hAnsi="Times New Roman"/>
                <w:sz w:val="20"/>
                <w:szCs w:val="20"/>
              </w:rPr>
            </w:pPr>
          </w:p>
        </w:tc>
      </w:tr>
      <w:tr w:rsidR="00BB68E1" w14:paraId="42A12A5A" w14:textId="77777777">
        <w:trPr>
          <w:jc w:val="center"/>
        </w:trPr>
        <w:tc>
          <w:tcPr>
            <w:tcW w:w="0" w:type="auto"/>
            <w:shd w:val="clear" w:color="auto" w:fill="auto"/>
            <w:tcMar>
              <w:top w:w="40" w:type="dxa"/>
              <w:left w:w="40" w:type="dxa"/>
              <w:bottom w:w="40" w:type="dxa"/>
              <w:right w:w="40" w:type="dxa"/>
            </w:tcMar>
            <w:vAlign w:val="bottom"/>
          </w:tcPr>
          <w:p w14:paraId="42A12A5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right w:w="40" w:type="dxa"/>
            </w:tcMar>
            <w:vAlign w:val="bottom"/>
          </w:tcPr>
          <w:p w14:paraId="42A12A5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A5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A5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2A12A59"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As of January 31,</w:t>
            </w:r>
          </w:p>
        </w:tc>
      </w:tr>
      <w:tr w:rsidR="00BB68E1" w14:paraId="42A12A62" w14:textId="77777777">
        <w:trPr>
          <w:jc w:val="center"/>
        </w:trPr>
        <w:tc>
          <w:tcPr>
            <w:tcW w:w="0" w:type="auto"/>
            <w:shd w:val="clear" w:color="auto" w:fill="auto"/>
            <w:tcMar>
              <w:top w:w="40" w:type="dxa"/>
              <w:left w:w="40" w:type="dxa"/>
              <w:bottom w:w="40" w:type="dxa"/>
              <w:right w:w="40" w:type="dxa"/>
            </w:tcMar>
            <w:vAlign w:val="bottom"/>
          </w:tcPr>
          <w:p w14:paraId="42A12A5B"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2A5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2A5D"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Estimated Useful Lives</w:t>
            </w:r>
          </w:p>
        </w:tc>
        <w:tc>
          <w:tcPr>
            <w:tcW w:w="0" w:type="auto"/>
            <w:shd w:val="clear" w:color="auto" w:fill="auto"/>
            <w:tcMar>
              <w:top w:w="40" w:type="dxa"/>
              <w:left w:w="40" w:type="dxa"/>
              <w:bottom w:w="40" w:type="dxa"/>
              <w:right w:w="40" w:type="dxa"/>
            </w:tcMar>
            <w:vAlign w:val="bottom"/>
          </w:tcPr>
          <w:p w14:paraId="42A12A5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A5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2A6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A61"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BB68E1" w14:paraId="42A12A6E" w14:textId="77777777">
        <w:trPr>
          <w:jc w:val="center"/>
        </w:trPr>
        <w:tc>
          <w:tcPr>
            <w:tcW w:w="0" w:type="auto"/>
            <w:shd w:val="clear" w:color="auto" w:fill="CCEEFF"/>
            <w:tcMar>
              <w:top w:w="40" w:type="dxa"/>
              <w:left w:w="40" w:type="dxa"/>
              <w:bottom w:w="40" w:type="dxa"/>
              <w:right w:w="40" w:type="dxa"/>
            </w:tcMar>
            <w:vAlign w:val="center"/>
          </w:tcPr>
          <w:p w14:paraId="42A12A6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Land</w:t>
            </w:r>
          </w:p>
        </w:tc>
        <w:tc>
          <w:tcPr>
            <w:tcW w:w="0" w:type="auto"/>
            <w:shd w:val="clear" w:color="auto" w:fill="CCEEFF"/>
            <w:tcMar>
              <w:top w:w="40" w:type="dxa"/>
              <w:left w:w="40" w:type="dxa"/>
              <w:bottom w:w="40" w:type="dxa"/>
              <w:right w:w="40" w:type="dxa"/>
            </w:tcMar>
            <w:vAlign w:val="bottom"/>
          </w:tcPr>
          <w:p w14:paraId="42A12A6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42A12A65"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N/A</w:t>
            </w:r>
          </w:p>
        </w:tc>
        <w:tc>
          <w:tcPr>
            <w:tcW w:w="0" w:type="auto"/>
            <w:shd w:val="clear" w:color="auto" w:fill="CCEEFF"/>
            <w:tcMar>
              <w:top w:w="40" w:type="dxa"/>
              <w:left w:w="40" w:type="dxa"/>
              <w:bottom w:w="40" w:type="dxa"/>
              <w:right w:w="40" w:type="dxa"/>
            </w:tcMar>
            <w:vAlign w:val="bottom"/>
          </w:tcPr>
          <w:p w14:paraId="42A12A6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2A6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2A6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24,619</w:t>
            </w:r>
          </w:p>
        </w:tc>
        <w:tc>
          <w:tcPr>
            <w:tcW w:w="0" w:type="auto"/>
            <w:tcBorders>
              <w:top w:val="single" w:sz="8" w:space="0" w:color="000000"/>
            </w:tcBorders>
            <w:shd w:val="clear" w:color="auto" w:fill="CCEEFF"/>
            <w:vAlign w:val="bottom"/>
          </w:tcPr>
          <w:p w14:paraId="42A12A6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A6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A6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A6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24,526</w:t>
            </w:r>
          </w:p>
        </w:tc>
        <w:tc>
          <w:tcPr>
            <w:tcW w:w="0" w:type="auto"/>
            <w:shd w:val="clear" w:color="auto" w:fill="CCEEFF"/>
            <w:vAlign w:val="bottom"/>
          </w:tcPr>
          <w:p w14:paraId="42A12A6D" w14:textId="77777777" w:rsidR="00BB68E1" w:rsidRDefault="00BB68E1">
            <w:pPr>
              <w:textAlignment w:val="bottom"/>
              <w:rPr>
                <w:rFonts w:ascii="Times New Roman" w:hAnsi="Times New Roman"/>
                <w:sz w:val="20"/>
                <w:szCs w:val="20"/>
              </w:rPr>
            </w:pPr>
          </w:p>
        </w:tc>
      </w:tr>
      <w:tr w:rsidR="00BB68E1" w14:paraId="42A12A78" w14:textId="77777777">
        <w:trPr>
          <w:jc w:val="center"/>
        </w:trPr>
        <w:tc>
          <w:tcPr>
            <w:tcW w:w="0" w:type="auto"/>
            <w:shd w:val="clear" w:color="auto" w:fill="auto"/>
            <w:tcMar>
              <w:top w:w="40" w:type="dxa"/>
              <w:left w:w="40" w:type="dxa"/>
              <w:bottom w:w="40" w:type="dxa"/>
              <w:right w:w="40" w:type="dxa"/>
            </w:tcMar>
            <w:vAlign w:val="center"/>
          </w:tcPr>
          <w:p w14:paraId="42A12A6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Buildings and improvements</w:t>
            </w:r>
          </w:p>
        </w:tc>
        <w:tc>
          <w:tcPr>
            <w:tcW w:w="0" w:type="auto"/>
            <w:shd w:val="clear" w:color="auto" w:fill="auto"/>
            <w:tcMar>
              <w:top w:w="40" w:type="dxa"/>
              <w:left w:w="40" w:type="dxa"/>
              <w:bottom w:w="40" w:type="dxa"/>
              <w:right w:w="40" w:type="dxa"/>
            </w:tcMar>
            <w:vAlign w:val="bottom"/>
          </w:tcPr>
          <w:p w14:paraId="42A12A7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2A12A71"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3-40 years</w:t>
            </w:r>
          </w:p>
        </w:tc>
        <w:tc>
          <w:tcPr>
            <w:tcW w:w="0" w:type="auto"/>
            <w:shd w:val="clear" w:color="auto" w:fill="auto"/>
            <w:tcMar>
              <w:top w:w="40" w:type="dxa"/>
              <w:left w:w="40" w:type="dxa"/>
              <w:bottom w:w="40" w:type="dxa"/>
              <w:right w:w="40" w:type="dxa"/>
            </w:tcMar>
            <w:vAlign w:val="bottom"/>
          </w:tcPr>
          <w:p w14:paraId="42A12A7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A7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105,674</w:t>
            </w:r>
          </w:p>
        </w:tc>
        <w:tc>
          <w:tcPr>
            <w:tcW w:w="0" w:type="auto"/>
            <w:shd w:val="clear" w:color="auto" w:fill="auto"/>
            <w:vAlign w:val="bottom"/>
          </w:tcPr>
          <w:p w14:paraId="42A12A7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A7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A7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101,006</w:t>
            </w:r>
          </w:p>
        </w:tc>
        <w:tc>
          <w:tcPr>
            <w:tcW w:w="0" w:type="auto"/>
            <w:shd w:val="clear" w:color="auto" w:fill="auto"/>
            <w:vAlign w:val="bottom"/>
          </w:tcPr>
          <w:p w14:paraId="42A12A77" w14:textId="77777777" w:rsidR="00BB68E1" w:rsidRDefault="00BB68E1">
            <w:pPr>
              <w:textAlignment w:val="bottom"/>
              <w:rPr>
                <w:rFonts w:ascii="Times New Roman" w:hAnsi="Times New Roman"/>
                <w:sz w:val="20"/>
                <w:szCs w:val="20"/>
              </w:rPr>
            </w:pPr>
          </w:p>
        </w:tc>
      </w:tr>
      <w:tr w:rsidR="00BB68E1" w14:paraId="42A12A82" w14:textId="77777777">
        <w:trPr>
          <w:jc w:val="center"/>
        </w:trPr>
        <w:tc>
          <w:tcPr>
            <w:tcW w:w="0" w:type="auto"/>
            <w:shd w:val="clear" w:color="auto" w:fill="CCEEFF"/>
            <w:tcMar>
              <w:top w:w="40" w:type="dxa"/>
              <w:left w:w="40" w:type="dxa"/>
              <w:bottom w:w="40" w:type="dxa"/>
              <w:right w:w="40" w:type="dxa"/>
            </w:tcMar>
            <w:vAlign w:val="center"/>
          </w:tcPr>
          <w:p w14:paraId="42A12A7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Fixtures and equipment</w:t>
            </w:r>
          </w:p>
        </w:tc>
        <w:tc>
          <w:tcPr>
            <w:tcW w:w="0" w:type="auto"/>
            <w:shd w:val="clear" w:color="auto" w:fill="CCEEFF"/>
            <w:tcMar>
              <w:top w:w="40" w:type="dxa"/>
              <w:left w:w="40" w:type="dxa"/>
              <w:bottom w:w="40" w:type="dxa"/>
              <w:right w:w="40" w:type="dxa"/>
            </w:tcMar>
            <w:vAlign w:val="bottom"/>
          </w:tcPr>
          <w:p w14:paraId="42A12A7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42A12A7B"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1-30 years</w:t>
            </w:r>
          </w:p>
        </w:tc>
        <w:tc>
          <w:tcPr>
            <w:tcW w:w="0" w:type="auto"/>
            <w:shd w:val="clear" w:color="auto" w:fill="CCEEFF"/>
            <w:tcMar>
              <w:top w:w="40" w:type="dxa"/>
              <w:left w:w="40" w:type="dxa"/>
              <w:bottom w:w="40" w:type="dxa"/>
              <w:right w:w="40" w:type="dxa"/>
            </w:tcMar>
            <w:vAlign w:val="bottom"/>
          </w:tcPr>
          <w:p w14:paraId="42A12A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A7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58,607</w:t>
            </w:r>
          </w:p>
        </w:tc>
        <w:tc>
          <w:tcPr>
            <w:tcW w:w="0" w:type="auto"/>
            <w:shd w:val="clear" w:color="auto" w:fill="CCEEFF"/>
            <w:vAlign w:val="bottom"/>
          </w:tcPr>
          <w:p w14:paraId="42A12A7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A7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A8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54,488</w:t>
            </w:r>
          </w:p>
        </w:tc>
        <w:tc>
          <w:tcPr>
            <w:tcW w:w="0" w:type="auto"/>
            <w:shd w:val="clear" w:color="auto" w:fill="CCEEFF"/>
            <w:vAlign w:val="bottom"/>
          </w:tcPr>
          <w:p w14:paraId="42A12A81" w14:textId="77777777" w:rsidR="00BB68E1" w:rsidRDefault="00BB68E1">
            <w:pPr>
              <w:textAlignment w:val="bottom"/>
              <w:rPr>
                <w:rFonts w:ascii="Times New Roman" w:hAnsi="Times New Roman"/>
                <w:sz w:val="20"/>
                <w:szCs w:val="20"/>
              </w:rPr>
            </w:pPr>
          </w:p>
        </w:tc>
      </w:tr>
      <w:tr w:rsidR="00BB68E1" w14:paraId="42A12A8C" w14:textId="77777777">
        <w:trPr>
          <w:jc w:val="center"/>
        </w:trPr>
        <w:tc>
          <w:tcPr>
            <w:tcW w:w="0" w:type="auto"/>
            <w:shd w:val="clear" w:color="auto" w:fill="auto"/>
            <w:tcMar>
              <w:top w:w="40" w:type="dxa"/>
              <w:left w:w="40" w:type="dxa"/>
              <w:bottom w:w="40" w:type="dxa"/>
              <w:right w:w="40" w:type="dxa"/>
            </w:tcMar>
            <w:vAlign w:val="center"/>
          </w:tcPr>
          <w:p w14:paraId="42A12A8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Transportation equipment</w:t>
            </w:r>
          </w:p>
        </w:tc>
        <w:tc>
          <w:tcPr>
            <w:tcW w:w="0" w:type="auto"/>
            <w:shd w:val="clear" w:color="auto" w:fill="auto"/>
            <w:tcMar>
              <w:top w:w="40" w:type="dxa"/>
              <w:left w:w="40" w:type="dxa"/>
              <w:bottom w:w="40" w:type="dxa"/>
              <w:right w:w="40" w:type="dxa"/>
            </w:tcMar>
            <w:vAlign w:val="bottom"/>
          </w:tcPr>
          <w:p w14:paraId="42A12A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2A12A85"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3-15 years</w:t>
            </w:r>
          </w:p>
        </w:tc>
        <w:tc>
          <w:tcPr>
            <w:tcW w:w="0" w:type="auto"/>
            <w:shd w:val="clear" w:color="auto" w:fill="auto"/>
            <w:tcMar>
              <w:top w:w="40" w:type="dxa"/>
              <w:left w:w="40" w:type="dxa"/>
              <w:bottom w:w="40" w:type="dxa"/>
              <w:right w:w="40" w:type="dxa"/>
            </w:tcMar>
            <w:vAlign w:val="bottom"/>
          </w:tcPr>
          <w:p w14:paraId="42A12A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A8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2,377</w:t>
            </w:r>
          </w:p>
        </w:tc>
        <w:tc>
          <w:tcPr>
            <w:tcW w:w="0" w:type="auto"/>
            <w:shd w:val="clear" w:color="auto" w:fill="auto"/>
            <w:vAlign w:val="bottom"/>
          </w:tcPr>
          <w:p w14:paraId="42A12A8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A8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A8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2,316</w:t>
            </w:r>
          </w:p>
        </w:tc>
        <w:tc>
          <w:tcPr>
            <w:tcW w:w="0" w:type="auto"/>
            <w:shd w:val="clear" w:color="auto" w:fill="auto"/>
            <w:vAlign w:val="bottom"/>
          </w:tcPr>
          <w:p w14:paraId="42A12A8B" w14:textId="77777777" w:rsidR="00BB68E1" w:rsidRDefault="00BB68E1">
            <w:pPr>
              <w:textAlignment w:val="bottom"/>
              <w:rPr>
                <w:rFonts w:ascii="Times New Roman" w:hAnsi="Times New Roman"/>
                <w:sz w:val="20"/>
                <w:szCs w:val="20"/>
              </w:rPr>
            </w:pPr>
          </w:p>
        </w:tc>
      </w:tr>
      <w:tr w:rsidR="00BB68E1" w14:paraId="42A12A96" w14:textId="77777777">
        <w:trPr>
          <w:jc w:val="center"/>
        </w:trPr>
        <w:tc>
          <w:tcPr>
            <w:tcW w:w="0" w:type="auto"/>
            <w:shd w:val="clear" w:color="auto" w:fill="CCEEFF"/>
            <w:tcMar>
              <w:top w:w="40" w:type="dxa"/>
              <w:left w:w="40" w:type="dxa"/>
              <w:bottom w:w="40" w:type="dxa"/>
              <w:right w:w="40" w:type="dxa"/>
            </w:tcMar>
            <w:vAlign w:val="center"/>
          </w:tcPr>
          <w:p w14:paraId="42A12A8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Construction in progress</w:t>
            </w:r>
          </w:p>
        </w:tc>
        <w:tc>
          <w:tcPr>
            <w:tcW w:w="0" w:type="auto"/>
            <w:shd w:val="clear" w:color="auto" w:fill="CCEEFF"/>
            <w:tcMar>
              <w:top w:w="40" w:type="dxa"/>
              <w:left w:w="40" w:type="dxa"/>
              <w:bottom w:w="40" w:type="dxa"/>
              <w:right w:w="40" w:type="dxa"/>
            </w:tcMar>
            <w:vAlign w:val="bottom"/>
          </w:tcPr>
          <w:p w14:paraId="42A12A8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42A12A8F"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N/A</w:t>
            </w:r>
          </w:p>
        </w:tc>
        <w:tc>
          <w:tcPr>
            <w:tcW w:w="0" w:type="auto"/>
            <w:shd w:val="clear" w:color="auto" w:fill="CCEEFF"/>
            <w:tcMar>
              <w:top w:w="40" w:type="dxa"/>
              <w:left w:w="40" w:type="dxa"/>
              <w:bottom w:w="40" w:type="dxa"/>
              <w:right w:w="40" w:type="dxa"/>
            </w:tcMar>
            <w:vAlign w:val="bottom"/>
          </w:tcPr>
          <w:p w14:paraId="42A12A9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A9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3,751</w:t>
            </w:r>
          </w:p>
        </w:tc>
        <w:tc>
          <w:tcPr>
            <w:tcW w:w="0" w:type="auto"/>
            <w:shd w:val="clear" w:color="auto" w:fill="CCEEFF"/>
            <w:vAlign w:val="bottom"/>
          </w:tcPr>
          <w:p w14:paraId="42A12A9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A9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A9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3,474</w:t>
            </w:r>
          </w:p>
        </w:tc>
        <w:tc>
          <w:tcPr>
            <w:tcW w:w="0" w:type="auto"/>
            <w:shd w:val="clear" w:color="auto" w:fill="CCEEFF"/>
            <w:vAlign w:val="bottom"/>
          </w:tcPr>
          <w:p w14:paraId="42A12A95" w14:textId="77777777" w:rsidR="00BB68E1" w:rsidRDefault="00BB68E1">
            <w:pPr>
              <w:textAlignment w:val="bottom"/>
              <w:rPr>
                <w:rFonts w:ascii="Times New Roman" w:hAnsi="Times New Roman"/>
                <w:sz w:val="20"/>
                <w:szCs w:val="20"/>
              </w:rPr>
            </w:pPr>
          </w:p>
        </w:tc>
      </w:tr>
      <w:tr w:rsidR="00BB68E1" w14:paraId="42A12AA0" w14:textId="77777777">
        <w:trPr>
          <w:jc w:val="center"/>
        </w:trPr>
        <w:tc>
          <w:tcPr>
            <w:tcW w:w="0" w:type="auto"/>
            <w:shd w:val="clear" w:color="auto" w:fill="auto"/>
            <w:tcMar>
              <w:top w:w="40" w:type="dxa"/>
              <w:left w:w="40" w:type="dxa"/>
              <w:bottom w:w="40" w:type="dxa"/>
              <w:right w:w="40" w:type="dxa"/>
            </w:tcMar>
            <w:vAlign w:val="center"/>
          </w:tcPr>
          <w:p w14:paraId="42A12A97"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Property and equipment</w:t>
            </w:r>
          </w:p>
        </w:tc>
        <w:tc>
          <w:tcPr>
            <w:tcW w:w="0" w:type="auto"/>
            <w:shd w:val="clear" w:color="auto" w:fill="auto"/>
            <w:tcMar>
              <w:top w:w="40" w:type="dxa"/>
              <w:left w:w="40" w:type="dxa"/>
              <w:bottom w:w="40" w:type="dxa"/>
              <w:right w:w="40" w:type="dxa"/>
            </w:tcMar>
            <w:vAlign w:val="bottom"/>
          </w:tcPr>
          <w:p w14:paraId="42A12A9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A9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A9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42A12A9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195,028</w:t>
            </w:r>
          </w:p>
        </w:tc>
        <w:tc>
          <w:tcPr>
            <w:tcW w:w="0" w:type="auto"/>
            <w:tcBorders>
              <w:top w:val="single" w:sz="8" w:space="0" w:color="000000"/>
            </w:tcBorders>
            <w:shd w:val="clear" w:color="auto" w:fill="auto"/>
            <w:vAlign w:val="bottom"/>
          </w:tcPr>
          <w:p w14:paraId="42A12A9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A9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42A12A9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185,810</w:t>
            </w:r>
          </w:p>
        </w:tc>
        <w:tc>
          <w:tcPr>
            <w:tcW w:w="0" w:type="auto"/>
            <w:tcBorders>
              <w:top w:val="single" w:sz="8" w:space="0" w:color="000000"/>
            </w:tcBorders>
            <w:shd w:val="clear" w:color="auto" w:fill="auto"/>
            <w:vAlign w:val="bottom"/>
          </w:tcPr>
          <w:p w14:paraId="42A12A9F" w14:textId="77777777" w:rsidR="00BB68E1" w:rsidRDefault="00BB68E1">
            <w:pPr>
              <w:textAlignment w:val="bottom"/>
              <w:rPr>
                <w:rFonts w:ascii="Times New Roman" w:hAnsi="Times New Roman"/>
                <w:sz w:val="20"/>
                <w:szCs w:val="20"/>
              </w:rPr>
            </w:pPr>
          </w:p>
        </w:tc>
      </w:tr>
      <w:tr w:rsidR="00BB68E1" w14:paraId="42A12AAA" w14:textId="77777777">
        <w:trPr>
          <w:jc w:val="center"/>
        </w:trPr>
        <w:tc>
          <w:tcPr>
            <w:tcW w:w="0" w:type="auto"/>
            <w:shd w:val="clear" w:color="auto" w:fill="CCEEFF"/>
            <w:tcMar>
              <w:top w:w="40" w:type="dxa"/>
              <w:left w:w="40" w:type="dxa"/>
              <w:bottom w:w="40" w:type="dxa"/>
              <w:right w:w="40" w:type="dxa"/>
            </w:tcMar>
            <w:vAlign w:val="center"/>
          </w:tcPr>
          <w:p w14:paraId="42A12AA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Accumulated depreciation</w:t>
            </w:r>
          </w:p>
        </w:tc>
        <w:tc>
          <w:tcPr>
            <w:tcW w:w="0" w:type="auto"/>
            <w:shd w:val="clear" w:color="auto" w:fill="CCEEFF"/>
            <w:tcMar>
              <w:top w:w="40" w:type="dxa"/>
              <w:left w:w="40" w:type="dxa"/>
              <w:bottom w:w="40" w:type="dxa"/>
              <w:right w:w="40" w:type="dxa"/>
            </w:tcMar>
            <w:vAlign w:val="bottom"/>
          </w:tcPr>
          <w:p w14:paraId="42A12AA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AA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AA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AA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(89,820</w:t>
            </w:r>
          </w:p>
        </w:tc>
        <w:tc>
          <w:tcPr>
            <w:tcW w:w="0" w:type="auto"/>
            <w:shd w:val="clear" w:color="auto" w:fill="CCEEFF"/>
            <w:tcMar>
              <w:top w:w="40" w:type="dxa"/>
              <w:bottom w:w="40" w:type="dxa"/>
              <w:right w:w="40" w:type="dxa"/>
            </w:tcMar>
            <w:vAlign w:val="center"/>
          </w:tcPr>
          <w:p w14:paraId="42A12AA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AA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AA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(81,493</w:t>
            </w:r>
          </w:p>
        </w:tc>
        <w:tc>
          <w:tcPr>
            <w:tcW w:w="0" w:type="auto"/>
            <w:shd w:val="clear" w:color="auto" w:fill="CCEEFF"/>
            <w:tcMar>
              <w:top w:w="40" w:type="dxa"/>
              <w:bottom w:w="40" w:type="dxa"/>
              <w:right w:w="40" w:type="dxa"/>
            </w:tcMar>
            <w:vAlign w:val="center"/>
          </w:tcPr>
          <w:p w14:paraId="42A12AA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AB6" w14:textId="77777777">
        <w:trPr>
          <w:jc w:val="center"/>
        </w:trPr>
        <w:tc>
          <w:tcPr>
            <w:tcW w:w="0" w:type="auto"/>
            <w:shd w:val="clear" w:color="auto" w:fill="auto"/>
            <w:tcMar>
              <w:top w:w="40" w:type="dxa"/>
              <w:left w:w="40" w:type="dxa"/>
              <w:bottom w:w="40" w:type="dxa"/>
              <w:right w:w="40" w:type="dxa"/>
            </w:tcMar>
            <w:vAlign w:val="center"/>
          </w:tcPr>
          <w:p w14:paraId="42A12AAB"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Property and equipment, net</w:t>
            </w:r>
          </w:p>
        </w:tc>
        <w:tc>
          <w:tcPr>
            <w:tcW w:w="0" w:type="auto"/>
            <w:shd w:val="clear" w:color="auto" w:fill="auto"/>
            <w:tcMar>
              <w:top w:w="40" w:type="dxa"/>
              <w:left w:w="40" w:type="dxa"/>
              <w:bottom w:w="40" w:type="dxa"/>
              <w:right w:w="40" w:type="dxa"/>
            </w:tcMar>
            <w:vAlign w:val="bottom"/>
          </w:tcPr>
          <w:p w14:paraId="42A12AA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AA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AA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2AA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2AB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105,208</w:t>
            </w:r>
          </w:p>
        </w:tc>
        <w:tc>
          <w:tcPr>
            <w:tcW w:w="0" w:type="auto"/>
            <w:tcBorders>
              <w:top w:val="single" w:sz="8" w:space="0" w:color="000000"/>
              <w:bottom w:val="double" w:sz="6" w:space="0" w:color="000000"/>
            </w:tcBorders>
            <w:shd w:val="clear" w:color="auto" w:fill="auto"/>
            <w:vAlign w:val="bottom"/>
          </w:tcPr>
          <w:p w14:paraId="42A12AB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AB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2AB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2AB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104,317</w:t>
            </w:r>
          </w:p>
        </w:tc>
        <w:tc>
          <w:tcPr>
            <w:tcW w:w="0" w:type="auto"/>
            <w:tcBorders>
              <w:top w:val="single" w:sz="8" w:space="0" w:color="000000"/>
              <w:bottom w:val="double" w:sz="6" w:space="0" w:color="000000"/>
            </w:tcBorders>
            <w:shd w:val="clear" w:color="auto" w:fill="auto"/>
            <w:vAlign w:val="bottom"/>
          </w:tcPr>
          <w:p w14:paraId="42A12AB5" w14:textId="77777777" w:rsidR="00BB68E1" w:rsidRDefault="00BB68E1">
            <w:pPr>
              <w:textAlignment w:val="bottom"/>
              <w:rPr>
                <w:rFonts w:ascii="Times New Roman" w:hAnsi="Times New Roman"/>
                <w:sz w:val="20"/>
                <w:szCs w:val="20"/>
              </w:rPr>
            </w:pPr>
          </w:p>
        </w:tc>
      </w:tr>
    </w:tbl>
    <w:p w14:paraId="42A12AB7" w14:textId="77777777" w:rsidR="00BB68E1" w:rsidRDefault="00BB68E1">
      <w:pPr>
        <w:spacing w:line="288" w:lineRule="auto"/>
        <w:jc w:val="center"/>
        <w:rPr>
          <w:rFonts w:ascii="Times New Roman" w:hAnsi="Times New Roman"/>
          <w:sz w:val="20"/>
          <w:szCs w:val="20"/>
        </w:rPr>
      </w:pPr>
    </w:p>
    <w:p w14:paraId="42A12AB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Leasehold improvements are depreciated or amortized over the shorter of the </w:t>
      </w:r>
      <w:r>
        <w:rPr>
          <w:rFonts w:ascii="Times New Roman" w:eastAsia="宋体" w:hAnsi="Times New Roman"/>
          <w:sz w:val="20"/>
          <w:szCs w:val="20"/>
        </w:rPr>
        <w:t>estimated useful life of the asset or the remaining expected lease term. Total depreciation and amortization expense for property and equipment, property under finance leases and financing obligations, property under capital leases and intangible assets fo</w:t>
      </w:r>
      <w:r>
        <w:rPr>
          <w:rFonts w:ascii="Times New Roman" w:eastAsia="宋体" w:hAnsi="Times New Roman"/>
          <w:sz w:val="20"/>
          <w:szCs w:val="20"/>
        </w:rPr>
        <w:t>r fiscal 2020, 2019 and 2018 was $11.0 billion, $10.7 billion and $10.5 billion, respectively.</w:t>
      </w:r>
    </w:p>
    <w:p w14:paraId="42A12AB9"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Leases</w:t>
      </w:r>
    </w:p>
    <w:p w14:paraId="42A12AB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February 2016, the FASB issued ASU 2016-02,</w:t>
      </w:r>
      <w:r>
        <w:rPr>
          <w:rFonts w:ascii="Times New Roman" w:eastAsia="宋体" w:hAnsi="Times New Roman"/>
          <w:i/>
          <w:iCs/>
          <w:sz w:val="20"/>
          <w:szCs w:val="20"/>
        </w:rPr>
        <w:t> Leases (Topic 842)</w:t>
      </w:r>
      <w:r>
        <w:rPr>
          <w:rFonts w:ascii="Times New Roman" w:eastAsia="宋体" w:hAnsi="Times New Roman"/>
          <w:sz w:val="20"/>
          <w:szCs w:val="20"/>
        </w:rPr>
        <w:t>, which requires lease assets and liabilities to be recorded on the balance sheet.  The C</w:t>
      </w:r>
      <w:r>
        <w:rPr>
          <w:rFonts w:ascii="Times New Roman" w:eastAsia="宋体" w:hAnsi="Times New Roman"/>
          <w:sz w:val="20"/>
          <w:szCs w:val="20"/>
        </w:rPr>
        <w:t>ompany adopted this ASU and related amendments as of February 1, 2019 under the modified retrospective approach and elected certain practical expedients permitted under the transition guidance, including to retain the historical lease classification as wel</w:t>
      </w:r>
      <w:r>
        <w:rPr>
          <w:rFonts w:ascii="Times New Roman" w:eastAsia="宋体" w:hAnsi="Times New Roman"/>
          <w:sz w:val="20"/>
          <w:szCs w:val="20"/>
        </w:rPr>
        <w:t>l as relief from reviewing expired or existing contracts to determine if they contain leases.  For leases subject to index or rate adjustments, the most current index or rate adjustments were included in the measurement of operating lease obligations at ad</w:t>
      </w:r>
      <w:r>
        <w:rPr>
          <w:rFonts w:ascii="Times New Roman" w:eastAsia="宋体" w:hAnsi="Times New Roman"/>
          <w:sz w:val="20"/>
          <w:szCs w:val="20"/>
        </w:rPr>
        <w:t>option.</w:t>
      </w:r>
    </w:p>
    <w:p w14:paraId="42A12ABB"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adoption of this ASU and related amendments resulted in a $14.8 billion increase to total assets and a $15.1 billion increase to total liabilities in the first quarter of fiscal 2020. In the first quarter of fiscal 2020, the Company recognized $16.8 bi</w:t>
      </w:r>
      <w:r>
        <w:rPr>
          <w:rFonts w:ascii="Times New Roman" w:eastAsia="宋体" w:hAnsi="Times New Roman"/>
          <w:sz w:val="20"/>
          <w:szCs w:val="20"/>
        </w:rPr>
        <w:t>llion and $17.5 billion of operating lease right-of-use assets and operating lease obligations, respectively, and removed $2.2 billion and $1.7 billion, respectively, of assets and liabilities related to financial obligations connected with the constructio</w:t>
      </w:r>
      <w:r>
        <w:rPr>
          <w:rFonts w:ascii="Times New Roman" w:eastAsia="宋体" w:hAnsi="Times New Roman"/>
          <w:sz w:val="20"/>
          <w:szCs w:val="20"/>
        </w:rPr>
        <w:t>n of leased stores. Several other asset and liability line items in the Company's Consolidated Balance Sheet were also impacted by immaterial amounts. Additionally, the adoption resulted in a cumulative-effect adjustment to retained earnings of approximate</w:t>
      </w:r>
      <w:r>
        <w:rPr>
          <w:rFonts w:ascii="Times New Roman" w:eastAsia="宋体" w:hAnsi="Times New Roman"/>
          <w:sz w:val="20"/>
          <w:szCs w:val="20"/>
        </w:rPr>
        <w:t xml:space="preserve">ly $0.3 billion, net of tax, which primarily consisted of the recognition of impairment. The Company’s Consolidated Statement of Income and Consolidated Statement of Cash Flows were immaterially impacted. Accounting policies as a result of the adoption of </w:t>
      </w:r>
      <w:r>
        <w:rPr>
          <w:rFonts w:ascii="Times New Roman" w:eastAsia="宋体" w:hAnsi="Times New Roman"/>
          <w:sz w:val="20"/>
          <w:szCs w:val="20"/>
        </w:rPr>
        <w:t xml:space="preserve">this ASU are described below.  Refer to </w:t>
      </w:r>
      <w:hyperlink r:id="rId124" w:anchor="s3B2B96A4CCF85D58A2825BAE54892D97" w:history="1">
        <w:r>
          <w:rPr>
            <w:rStyle w:val="a5"/>
            <w:rFonts w:ascii="Times New Roman" w:eastAsia="宋体" w:hAnsi="Times New Roman"/>
            <w:sz w:val="20"/>
            <w:szCs w:val="20"/>
          </w:rPr>
          <w:t>Note 7</w:t>
        </w:r>
      </w:hyperlink>
      <w:r>
        <w:rPr>
          <w:rFonts w:ascii="Times New Roman" w:eastAsia="宋体" w:hAnsi="Times New Roman"/>
          <w:sz w:val="20"/>
          <w:szCs w:val="20"/>
        </w:rPr>
        <w:t> for additional lease disclosures.</w:t>
      </w:r>
    </w:p>
    <w:p w14:paraId="42A12AB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For any new or mod</w:t>
      </w:r>
      <w:r>
        <w:rPr>
          <w:rFonts w:ascii="Times New Roman" w:eastAsia="宋体" w:hAnsi="Times New Roman"/>
          <w:sz w:val="20"/>
          <w:szCs w:val="20"/>
        </w:rPr>
        <w:t xml:space="preserve">ified lease, the Company, at the inception of the contract, determines whether a contract is or contains a lease. The Company records right-of-use ("ROU") assets and lease obligations for its finance and operating leases, which are </w:t>
      </w:r>
    </w:p>
    <w:p w14:paraId="42A12ABD" w14:textId="77777777" w:rsidR="00BB68E1" w:rsidRDefault="00BB68E1">
      <w:pPr>
        <w:rPr>
          <w:rFonts w:ascii="Times New Roman" w:hAnsi="Times New Roman"/>
          <w:sz w:val="20"/>
          <w:szCs w:val="20"/>
        </w:rPr>
      </w:pPr>
    </w:p>
    <w:p w14:paraId="42A12ABE"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56</w:t>
      </w:r>
    </w:p>
    <w:p w14:paraId="42A12ABF" w14:textId="77777777" w:rsidR="00BB68E1" w:rsidRDefault="00BB68E1">
      <w:pPr>
        <w:spacing w:line="288" w:lineRule="auto"/>
        <w:jc w:val="center"/>
        <w:rPr>
          <w:rFonts w:ascii="Times New Roman" w:hAnsi="Times New Roman"/>
          <w:sz w:val="20"/>
          <w:szCs w:val="20"/>
        </w:rPr>
      </w:pPr>
    </w:p>
    <w:p w14:paraId="42A12AC0" w14:textId="77777777" w:rsidR="00BB68E1" w:rsidRDefault="005D2D5E">
      <w:r>
        <w:rPr>
          <w:rFonts w:ascii="Times New Roman" w:hAnsi="Times New Roman"/>
          <w:sz w:val="20"/>
          <w:szCs w:val="20"/>
        </w:rPr>
        <w:pict w14:anchorId="42A142AF">
          <v:rect id="_x0000_i1080" style="width:415.3pt;height:1.5pt" o:hralign="center" o:hrstd="t" o:hr="t" fillcolor="#a0a0a0" stroked="f"/>
        </w:pict>
      </w:r>
    </w:p>
    <w:p w14:paraId="42A12AC1" w14:textId="77777777" w:rsidR="00BB68E1" w:rsidRDefault="00BB68E1">
      <w:pPr>
        <w:spacing w:line="288" w:lineRule="auto"/>
        <w:rPr>
          <w:rFonts w:ascii="Times New Roman" w:hAnsi="Times New Roman"/>
          <w:sz w:val="20"/>
          <w:szCs w:val="20"/>
        </w:rPr>
      </w:pPr>
    </w:p>
    <w:p w14:paraId="42A12AC2" w14:textId="77777777" w:rsidR="00BB68E1" w:rsidRDefault="00BB68E1">
      <w:pPr>
        <w:rPr>
          <w:rFonts w:ascii="Times New Roman" w:hAnsi="Times New Roman"/>
          <w:sz w:val="20"/>
          <w:szCs w:val="20"/>
        </w:rPr>
      </w:pPr>
    </w:p>
    <w:p w14:paraId="42A12AC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initially recognized based on the discounted future lease payments over the term of the lease. As the rate implicit in the Company's leases is not easily determinable, the Company’s applicable incremental borrowing rate is used in calculating the present v</w:t>
      </w:r>
      <w:r>
        <w:rPr>
          <w:rFonts w:ascii="Times New Roman" w:eastAsia="宋体" w:hAnsi="Times New Roman"/>
          <w:sz w:val="20"/>
          <w:szCs w:val="20"/>
        </w:rPr>
        <w:t>alue of the sum of the lease payments.</w:t>
      </w:r>
    </w:p>
    <w:p w14:paraId="42A12AC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Lease term is defined as the non-cancelable period of the lease plus any options to extend or terminate the lease when it is reasonably certain that the Company will exercise the option. The Company has </w:t>
      </w:r>
      <w:r>
        <w:rPr>
          <w:rFonts w:ascii="Times New Roman" w:eastAsia="宋体" w:hAnsi="Times New Roman"/>
          <w:sz w:val="20"/>
          <w:szCs w:val="20"/>
        </w:rPr>
        <w:lastRenderedPageBreak/>
        <w:t>elected not to</w:t>
      </w:r>
      <w:r>
        <w:rPr>
          <w:rFonts w:ascii="Times New Roman" w:eastAsia="宋体" w:hAnsi="Times New Roman"/>
          <w:sz w:val="20"/>
          <w:szCs w:val="20"/>
        </w:rPr>
        <w:t xml:space="preserve"> recognize ROU asset and lease obligations for its short-term leases, which are defined as leases with an initial term of 12 months or less.</w:t>
      </w:r>
    </w:p>
    <w:p w14:paraId="42A12AC5"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For a majority of all classes of underlying assets, the Company has elected to not separate lease from non-lease co</w:t>
      </w:r>
      <w:r>
        <w:rPr>
          <w:rFonts w:ascii="Times New Roman" w:eastAsia="宋体" w:hAnsi="Times New Roman"/>
          <w:sz w:val="20"/>
          <w:szCs w:val="20"/>
        </w:rPr>
        <w:t>mponents. For leases in which the lease and non-lease components have been combined, the variable lease expense includes expenses such as common area maintenance, utilities, and repairs and maintenance.</w:t>
      </w:r>
    </w:p>
    <w:p w14:paraId="42A12AC6"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Impairment of Long-Lived Assets</w:t>
      </w:r>
    </w:p>
    <w:p w14:paraId="42A12AC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Management reviews lo</w:t>
      </w:r>
      <w:r>
        <w:rPr>
          <w:rFonts w:ascii="Times New Roman" w:eastAsia="宋体" w:hAnsi="Times New Roman"/>
          <w:sz w:val="20"/>
          <w:szCs w:val="20"/>
        </w:rPr>
        <w:t xml:space="preserve">ng-lived assets for indicators of impairment whenever events or changes in circumstances indicate that the carrying amount may not be recoverable. The evaluation is performed at the lowest level of identifiable cash flows, which is at the individual store </w:t>
      </w:r>
      <w:r>
        <w:rPr>
          <w:rFonts w:ascii="Times New Roman" w:eastAsia="宋体" w:hAnsi="Times New Roman"/>
          <w:sz w:val="20"/>
          <w:szCs w:val="20"/>
        </w:rPr>
        <w:t>or club level. Undiscounted cash flows expected to be generated by the related assets are estimated over the assets' useful lives based on updated projections. If the evaluation indicates that the carrying amount of the assets may not be recoverable, any p</w:t>
      </w:r>
      <w:r>
        <w:rPr>
          <w:rFonts w:ascii="Times New Roman" w:eastAsia="宋体" w:hAnsi="Times New Roman"/>
          <w:sz w:val="20"/>
          <w:szCs w:val="20"/>
        </w:rPr>
        <w:t xml:space="preserve">otential impairment is measured based upon the fair value of the related asset or asset group as determined by an appropriate market appraisal or other valuation technique. </w:t>
      </w:r>
    </w:p>
    <w:p w14:paraId="42A12AC8"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 xml:space="preserve">Goodwill and Other Acquired Intangible Assets </w:t>
      </w:r>
    </w:p>
    <w:p w14:paraId="42A12AC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Goodwill represents the excess of t</w:t>
      </w:r>
      <w:r>
        <w:rPr>
          <w:rFonts w:ascii="Times New Roman" w:eastAsia="宋体" w:hAnsi="Times New Roman"/>
          <w:sz w:val="20"/>
          <w:szCs w:val="20"/>
        </w:rPr>
        <w:t>he purchase price over the fair value of net assets acquired in business combinations and is allocated to the appropriate reporting unit when acquired. Other acquired intangible assets are stated at the fair value acquired as determined by a valuation tech</w:t>
      </w:r>
      <w:r>
        <w:rPr>
          <w:rFonts w:ascii="Times New Roman" w:eastAsia="宋体" w:hAnsi="Times New Roman"/>
          <w:sz w:val="20"/>
          <w:szCs w:val="20"/>
        </w:rPr>
        <w:t xml:space="preserve">nique commensurate with the intended use of the related asset. Goodwill and indefinite-lived intangible assets are not amortized; rather, they are evaluated for impairment annually and whenever events or changes in circumstances indicate that the value of </w:t>
      </w:r>
      <w:r>
        <w:rPr>
          <w:rFonts w:ascii="Times New Roman" w:eastAsia="宋体" w:hAnsi="Times New Roman"/>
          <w:sz w:val="20"/>
          <w:szCs w:val="20"/>
        </w:rPr>
        <w:t>the asset may be impaired. Definite-lived intangible assets are considered long-lived assets and are amortized on a straight-line basis over the periods that expected economic benefits will be provided.</w:t>
      </w:r>
    </w:p>
    <w:p w14:paraId="42A12AC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Goodwill is assigned to the reporting unit which cons</w:t>
      </w:r>
      <w:r>
        <w:rPr>
          <w:rFonts w:ascii="Times New Roman" w:eastAsia="宋体" w:hAnsi="Times New Roman"/>
          <w:sz w:val="20"/>
          <w:szCs w:val="20"/>
        </w:rPr>
        <w:t>olidates the acquisition. Components within the same reportable segment are aggregated and deemed a single reporting unit if the components have similar economic characteristics. As of January 31, 2020, the Company's reporting units consisted of Walmart U.</w:t>
      </w:r>
      <w:r>
        <w:rPr>
          <w:rFonts w:ascii="Times New Roman" w:eastAsia="宋体" w:hAnsi="Times New Roman"/>
          <w:sz w:val="20"/>
          <w:szCs w:val="20"/>
        </w:rPr>
        <w:t>S., Walmart International and Sam's Club. Goodwill is evaluated for impairment using either a qualitative or quantitative approach for each of the Company's reporting units. Generally, a qualitative assessment is first performed to determine whether a quan</w:t>
      </w:r>
      <w:r>
        <w:rPr>
          <w:rFonts w:ascii="Times New Roman" w:eastAsia="宋体" w:hAnsi="Times New Roman"/>
          <w:sz w:val="20"/>
          <w:szCs w:val="20"/>
        </w:rPr>
        <w:t>titative goodwill impairment test is necessary. If management determines, after performing an assessment based on the qualitative factors, that the fair value of the reporting unit is more likely than not less than the carrying amount, or that a fair value</w:t>
      </w:r>
      <w:r>
        <w:rPr>
          <w:rFonts w:ascii="Times New Roman" w:eastAsia="宋体" w:hAnsi="Times New Roman"/>
          <w:sz w:val="20"/>
          <w:szCs w:val="20"/>
        </w:rPr>
        <w:t xml:space="preserve"> of the reporting unit substantially in excess of the carrying amount cannot be assured, then a quantitative goodwill impairment test would be required. The quantitative test for goodwill impairment is performed by determining the fair value of the related</w:t>
      </w:r>
      <w:r>
        <w:rPr>
          <w:rFonts w:ascii="Times New Roman" w:eastAsia="宋体" w:hAnsi="Times New Roman"/>
          <w:sz w:val="20"/>
          <w:szCs w:val="20"/>
        </w:rPr>
        <w:t xml:space="preserve"> reporting units. Fair value is measured based on the discounted cash flow method and relative market-based approaches. After evaluation, management determined the fair value of each reporting unit is significantly greater than the carrying amount and, acc</w:t>
      </w:r>
      <w:r>
        <w:rPr>
          <w:rFonts w:ascii="Times New Roman" w:eastAsia="宋体" w:hAnsi="Times New Roman"/>
          <w:sz w:val="20"/>
          <w:szCs w:val="20"/>
        </w:rPr>
        <w:t>ordingly, the Company has not recorded any impairment charges related to goodwill.</w:t>
      </w:r>
    </w:p>
    <w:p w14:paraId="42A12ACB"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following table reflects goodwill activity, by reportable segment, for fiscal 2020 and 2019:</w:t>
      </w:r>
    </w:p>
    <w:tbl>
      <w:tblPr>
        <w:tblW w:w="4971" w:type="pct"/>
        <w:jc w:val="center"/>
        <w:tblCellMar>
          <w:left w:w="0" w:type="dxa"/>
          <w:right w:w="0" w:type="dxa"/>
        </w:tblCellMar>
        <w:tblLook w:val="04A0" w:firstRow="1" w:lastRow="0" w:firstColumn="1" w:lastColumn="0" w:noHBand="0" w:noVBand="1"/>
      </w:tblPr>
      <w:tblGrid>
        <w:gridCol w:w="4098"/>
        <w:gridCol w:w="130"/>
        <w:gridCol w:w="121"/>
        <w:gridCol w:w="840"/>
        <w:gridCol w:w="93"/>
        <w:gridCol w:w="130"/>
        <w:gridCol w:w="121"/>
        <w:gridCol w:w="808"/>
        <w:gridCol w:w="94"/>
        <w:gridCol w:w="130"/>
        <w:gridCol w:w="121"/>
        <w:gridCol w:w="710"/>
        <w:gridCol w:w="78"/>
        <w:gridCol w:w="130"/>
        <w:gridCol w:w="120"/>
        <w:gridCol w:w="440"/>
        <w:gridCol w:w="94"/>
      </w:tblGrid>
      <w:tr w:rsidR="00BB68E1" w14:paraId="42A12ACD" w14:textId="77777777">
        <w:trPr>
          <w:jc w:val="center"/>
        </w:trPr>
        <w:tc>
          <w:tcPr>
            <w:tcW w:w="0" w:type="auto"/>
            <w:gridSpan w:val="17"/>
            <w:shd w:val="clear" w:color="auto" w:fill="auto"/>
            <w:vAlign w:val="center"/>
          </w:tcPr>
          <w:p w14:paraId="42A12ACC" w14:textId="77777777" w:rsidR="00BB68E1" w:rsidRDefault="00BB68E1">
            <w:pPr>
              <w:rPr>
                <w:rFonts w:ascii="Times New Roman" w:hAnsi="Times New Roman"/>
                <w:sz w:val="20"/>
                <w:szCs w:val="20"/>
              </w:rPr>
            </w:pPr>
          </w:p>
        </w:tc>
      </w:tr>
      <w:tr w:rsidR="00BB68E1" w14:paraId="42A12ADF" w14:textId="77777777">
        <w:trPr>
          <w:jc w:val="center"/>
        </w:trPr>
        <w:tc>
          <w:tcPr>
            <w:tcW w:w="2600" w:type="pct"/>
            <w:shd w:val="clear" w:color="auto" w:fill="auto"/>
            <w:vAlign w:val="center"/>
          </w:tcPr>
          <w:p w14:paraId="42A12ACE" w14:textId="77777777" w:rsidR="00BB68E1" w:rsidRDefault="00BB68E1">
            <w:pPr>
              <w:rPr>
                <w:rFonts w:ascii="Times New Roman" w:hAnsi="Times New Roman"/>
                <w:sz w:val="20"/>
                <w:szCs w:val="20"/>
              </w:rPr>
            </w:pPr>
          </w:p>
        </w:tc>
        <w:tc>
          <w:tcPr>
            <w:tcW w:w="50" w:type="pct"/>
            <w:shd w:val="clear" w:color="auto" w:fill="auto"/>
            <w:vAlign w:val="center"/>
          </w:tcPr>
          <w:p w14:paraId="42A12ACF" w14:textId="77777777" w:rsidR="00BB68E1" w:rsidRDefault="00BB68E1">
            <w:pPr>
              <w:rPr>
                <w:rFonts w:ascii="Times New Roman" w:hAnsi="Times New Roman"/>
                <w:sz w:val="20"/>
                <w:szCs w:val="20"/>
              </w:rPr>
            </w:pPr>
          </w:p>
        </w:tc>
        <w:tc>
          <w:tcPr>
            <w:tcW w:w="50" w:type="pct"/>
            <w:shd w:val="clear" w:color="auto" w:fill="auto"/>
            <w:vAlign w:val="center"/>
          </w:tcPr>
          <w:p w14:paraId="42A12AD0" w14:textId="77777777" w:rsidR="00BB68E1" w:rsidRDefault="00BB68E1">
            <w:pPr>
              <w:rPr>
                <w:rFonts w:ascii="Times New Roman" w:hAnsi="Times New Roman"/>
                <w:sz w:val="20"/>
                <w:szCs w:val="20"/>
              </w:rPr>
            </w:pPr>
          </w:p>
        </w:tc>
        <w:tc>
          <w:tcPr>
            <w:tcW w:w="450" w:type="pct"/>
            <w:shd w:val="clear" w:color="auto" w:fill="auto"/>
            <w:vAlign w:val="center"/>
          </w:tcPr>
          <w:p w14:paraId="42A12AD1" w14:textId="77777777" w:rsidR="00BB68E1" w:rsidRDefault="00BB68E1">
            <w:pPr>
              <w:rPr>
                <w:rFonts w:ascii="Times New Roman" w:hAnsi="Times New Roman"/>
                <w:sz w:val="20"/>
                <w:szCs w:val="20"/>
              </w:rPr>
            </w:pPr>
          </w:p>
        </w:tc>
        <w:tc>
          <w:tcPr>
            <w:tcW w:w="50" w:type="pct"/>
            <w:shd w:val="clear" w:color="auto" w:fill="auto"/>
            <w:vAlign w:val="center"/>
          </w:tcPr>
          <w:p w14:paraId="42A12AD2" w14:textId="77777777" w:rsidR="00BB68E1" w:rsidRDefault="00BB68E1">
            <w:pPr>
              <w:rPr>
                <w:rFonts w:ascii="Times New Roman" w:hAnsi="Times New Roman"/>
                <w:sz w:val="20"/>
                <w:szCs w:val="20"/>
              </w:rPr>
            </w:pPr>
          </w:p>
        </w:tc>
        <w:tc>
          <w:tcPr>
            <w:tcW w:w="50" w:type="pct"/>
            <w:shd w:val="clear" w:color="auto" w:fill="auto"/>
            <w:vAlign w:val="center"/>
          </w:tcPr>
          <w:p w14:paraId="42A12AD3" w14:textId="77777777" w:rsidR="00BB68E1" w:rsidRDefault="00BB68E1">
            <w:pPr>
              <w:rPr>
                <w:rFonts w:ascii="Times New Roman" w:hAnsi="Times New Roman"/>
                <w:sz w:val="20"/>
                <w:szCs w:val="20"/>
              </w:rPr>
            </w:pPr>
          </w:p>
        </w:tc>
        <w:tc>
          <w:tcPr>
            <w:tcW w:w="50" w:type="pct"/>
            <w:shd w:val="clear" w:color="auto" w:fill="auto"/>
            <w:vAlign w:val="center"/>
          </w:tcPr>
          <w:p w14:paraId="42A12AD4" w14:textId="77777777" w:rsidR="00BB68E1" w:rsidRDefault="00BB68E1">
            <w:pPr>
              <w:rPr>
                <w:rFonts w:ascii="Times New Roman" w:hAnsi="Times New Roman"/>
                <w:sz w:val="20"/>
                <w:szCs w:val="20"/>
              </w:rPr>
            </w:pPr>
          </w:p>
        </w:tc>
        <w:tc>
          <w:tcPr>
            <w:tcW w:w="450" w:type="pct"/>
            <w:shd w:val="clear" w:color="auto" w:fill="auto"/>
            <w:vAlign w:val="center"/>
          </w:tcPr>
          <w:p w14:paraId="42A12AD5" w14:textId="77777777" w:rsidR="00BB68E1" w:rsidRDefault="00BB68E1">
            <w:pPr>
              <w:rPr>
                <w:rFonts w:ascii="Times New Roman" w:hAnsi="Times New Roman"/>
                <w:sz w:val="20"/>
                <w:szCs w:val="20"/>
              </w:rPr>
            </w:pPr>
          </w:p>
        </w:tc>
        <w:tc>
          <w:tcPr>
            <w:tcW w:w="50" w:type="pct"/>
            <w:shd w:val="clear" w:color="auto" w:fill="auto"/>
            <w:vAlign w:val="center"/>
          </w:tcPr>
          <w:p w14:paraId="42A12AD6" w14:textId="77777777" w:rsidR="00BB68E1" w:rsidRDefault="00BB68E1">
            <w:pPr>
              <w:rPr>
                <w:rFonts w:ascii="Times New Roman" w:hAnsi="Times New Roman"/>
                <w:sz w:val="20"/>
                <w:szCs w:val="20"/>
              </w:rPr>
            </w:pPr>
          </w:p>
        </w:tc>
        <w:tc>
          <w:tcPr>
            <w:tcW w:w="50" w:type="pct"/>
            <w:shd w:val="clear" w:color="auto" w:fill="auto"/>
            <w:vAlign w:val="center"/>
          </w:tcPr>
          <w:p w14:paraId="42A12AD7" w14:textId="77777777" w:rsidR="00BB68E1" w:rsidRDefault="00BB68E1">
            <w:pPr>
              <w:rPr>
                <w:rFonts w:ascii="Times New Roman" w:hAnsi="Times New Roman"/>
                <w:sz w:val="20"/>
                <w:szCs w:val="20"/>
              </w:rPr>
            </w:pPr>
          </w:p>
        </w:tc>
        <w:tc>
          <w:tcPr>
            <w:tcW w:w="50" w:type="pct"/>
            <w:shd w:val="clear" w:color="auto" w:fill="auto"/>
            <w:vAlign w:val="center"/>
          </w:tcPr>
          <w:p w14:paraId="42A12AD8" w14:textId="77777777" w:rsidR="00BB68E1" w:rsidRDefault="00BB68E1">
            <w:pPr>
              <w:rPr>
                <w:rFonts w:ascii="Times New Roman" w:hAnsi="Times New Roman"/>
                <w:sz w:val="20"/>
                <w:szCs w:val="20"/>
              </w:rPr>
            </w:pPr>
          </w:p>
        </w:tc>
        <w:tc>
          <w:tcPr>
            <w:tcW w:w="450" w:type="pct"/>
            <w:shd w:val="clear" w:color="auto" w:fill="auto"/>
            <w:vAlign w:val="center"/>
          </w:tcPr>
          <w:p w14:paraId="42A12AD9" w14:textId="77777777" w:rsidR="00BB68E1" w:rsidRDefault="00BB68E1">
            <w:pPr>
              <w:rPr>
                <w:rFonts w:ascii="Times New Roman" w:hAnsi="Times New Roman"/>
                <w:sz w:val="20"/>
                <w:szCs w:val="20"/>
              </w:rPr>
            </w:pPr>
          </w:p>
        </w:tc>
        <w:tc>
          <w:tcPr>
            <w:tcW w:w="50" w:type="pct"/>
            <w:shd w:val="clear" w:color="auto" w:fill="auto"/>
            <w:vAlign w:val="center"/>
          </w:tcPr>
          <w:p w14:paraId="42A12ADA" w14:textId="77777777" w:rsidR="00BB68E1" w:rsidRDefault="00BB68E1">
            <w:pPr>
              <w:rPr>
                <w:rFonts w:ascii="Times New Roman" w:hAnsi="Times New Roman"/>
                <w:sz w:val="20"/>
                <w:szCs w:val="20"/>
              </w:rPr>
            </w:pPr>
          </w:p>
        </w:tc>
        <w:tc>
          <w:tcPr>
            <w:tcW w:w="50" w:type="pct"/>
            <w:shd w:val="clear" w:color="auto" w:fill="auto"/>
            <w:vAlign w:val="center"/>
          </w:tcPr>
          <w:p w14:paraId="42A12ADB" w14:textId="77777777" w:rsidR="00BB68E1" w:rsidRDefault="00BB68E1">
            <w:pPr>
              <w:rPr>
                <w:rFonts w:ascii="Times New Roman" w:hAnsi="Times New Roman"/>
                <w:sz w:val="20"/>
                <w:szCs w:val="20"/>
              </w:rPr>
            </w:pPr>
          </w:p>
        </w:tc>
        <w:tc>
          <w:tcPr>
            <w:tcW w:w="50" w:type="pct"/>
            <w:shd w:val="clear" w:color="auto" w:fill="auto"/>
            <w:vAlign w:val="center"/>
          </w:tcPr>
          <w:p w14:paraId="42A12ADC" w14:textId="77777777" w:rsidR="00BB68E1" w:rsidRDefault="00BB68E1">
            <w:pPr>
              <w:rPr>
                <w:rFonts w:ascii="Times New Roman" w:hAnsi="Times New Roman"/>
                <w:sz w:val="20"/>
                <w:szCs w:val="20"/>
              </w:rPr>
            </w:pPr>
          </w:p>
        </w:tc>
        <w:tc>
          <w:tcPr>
            <w:tcW w:w="450" w:type="pct"/>
            <w:shd w:val="clear" w:color="auto" w:fill="auto"/>
            <w:vAlign w:val="center"/>
          </w:tcPr>
          <w:p w14:paraId="42A12ADD" w14:textId="77777777" w:rsidR="00BB68E1" w:rsidRDefault="00BB68E1">
            <w:pPr>
              <w:rPr>
                <w:rFonts w:ascii="Times New Roman" w:hAnsi="Times New Roman"/>
                <w:sz w:val="20"/>
                <w:szCs w:val="20"/>
              </w:rPr>
            </w:pPr>
          </w:p>
        </w:tc>
        <w:tc>
          <w:tcPr>
            <w:tcW w:w="50" w:type="pct"/>
            <w:shd w:val="clear" w:color="auto" w:fill="auto"/>
            <w:vAlign w:val="center"/>
          </w:tcPr>
          <w:p w14:paraId="42A12ADE" w14:textId="77777777" w:rsidR="00BB68E1" w:rsidRDefault="00BB68E1">
            <w:pPr>
              <w:rPr>
                <w:rFonts w:ascii="Times New Roman" w:hAnsi="Times New Roman"/>
                <w:sz w:val="20"/>
                <w:szCs w:val="20"/>
              </w:rPr>
            </w:pPr>
          </w:p>
        </w:tc>
      </w:tr>
      <w:tr w:rsidR="00BB68E1" w14:paraId="42A12AEA" w14:textId="77777777">
        <w:trPr>
          <w:jc w:val="center"/>
        </w:trPr>
        <w:tc>
          <w:tcPr>
            <w:tcW w:w="0" w:type="auto"/>
            <w:shd w:val="clear" w:color="auto" w:fill="auto"/>
            <w:tcMar>
              <w:top w:w="40" w:type="dxa"/>
              <w:left w:w="40" w:type="dxa"/>
              <w:bottom w:w="40" w:type="dxa"/>
              <w:right w:w="40" w:type="dxa"/>
            </w:tcMar>
            <w:vAlign w:val="bottom"/>
          </w:tcPr>
          <w:p w14:paraId="42A12AE0"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2AE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AE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Walmart U.S.</w:t>
            </w:r>
          </w:p>
        </w:tc>
        <w:tc>
          <w:tcPr>
            <w:tcW w:w="0" w:type="auto"/>
            <w:shd w:val="clear" w:color="auto" w:fill="auto"/>
            <w:tcMar>
              <w:top w:w="40" w:type="dxa"/>
              <w:left w:w="40" w:type="dxa"/>
              <w:bottom w:w="40" w:type="dxa"/>
              <w:right w:w="40" w:type="dxa"/>
            </w:tcMar>
            <w:vAlign w:val="bottom"/>
          </w:tcPr>
          <w:p w14:paraId="42A12AE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AE4"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Walmart</w:t>
            </w:r>
          </w:p>
          <w:p w14:paraId="42A12AE5"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International</w:t>
            </w:r>
          </w:p>
        </w:tc>
        <w:tc>
          <w:tcPr>
            <w:tcW w:w="0" w:type="auto"/>
            <w:shd w:val="clear" w:color="auto" w:fill="auto"/>
            <w:tcMar>
              <w:top w:w="40" w:type="dxa"/>
              <w:left w:w="40" w:type="dxa"/>
              <w:bottom w:w="40" w:type="dxa"/>
              <w:right w:w="40" w:type="dxa"/>
            </w:tcMar>
            <w:vAlign w:val="bottom"/>
          </w:tcPr>
          <w:p w14:paraId="42A12AE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AE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Sam's Club</w:t>
            </w:r>
          </w:p>
        </w:tc>
        <w:tc>
          <w:tcPr>
            <w:tcW w:w="0" w:type="auto"/>
            <w:shd w:val="clear" w:color="auto" w:fill="auto"/>
            <w:tcMar>
              <w:top w:w="40" w:type="dxa"/>
              <w:left w:w="40" w:type="dxa"/>
              <w:bottom w:w="40" w:type="dxa"/>
              <w:right w:w="40" w:type="dxa"/>
            </w:tcMar>
            <w:vAlign w:val="bottom"/>
          </w:tcPr>
          <w:p w14:paraId="42A12AE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AE9"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BB68E1" w14:paraId="42A12AFC" w14:textId="77777777">
        <w:trPr>
          <w:jc w:val="center"/>
        </w:trPr>
        <w:tc>
          <w:tcPr>
            <w:tcW w:w="0" w:type="auto"/>
            <w:shd w:val="clear" w:color="auto" w:fill="CCEEFF"/>
            <w:tcMar>
              <w:top w:w="40" w:type="dxa"/>
              <w:left w:w="40" w:type="dxa"/>
              <w:bottom w:w="40" w:type="dxa"/>
              <w:right w:w="40" w:type="dxa"/>
            </w:tcMar>
            <w:vAlign w:val="center"/>
          </w:tcPr>
          <w:p w14:paraId="42A12AEB"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Balances as of February 1, 2018</w:t>
            </w:r>
          </w:p>
        </w:tc>
        <w:tc>
          <w:tcPr>
            <w:tcW w:w="0" w:type="auto"/>
            <w:shd w:val="clear" w:color="auto" w:fill="CCEEFF"/>
            <w:tcMar>
              <w:top w:w="40" w:type="dxa"/>
              <w:left w:w="40" w:type="dxa"/>
              <w:bottom w:w="40" w:type="dxa"/>
              <w:right w:w="40" w:type="dxa"/>
            </w:tcMar>
            <w:vAlign w:val="bottom"/>
          </w:tcPr>
          <w:p w14:paraId="42A12AE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2AE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2AE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2,445</w:t>
            </w:r>
          </w:p>
        </w:tc>
        <w:tc>
          <w:tcPr>
            <w:tcW w:w="0" w:type="auto"/>
            <w:tcBorders>
              <w:top w:val="single" w:sz="8" w:space="0" w:color="000000"/>
            </w:tcBorders>
            <w:shd w:val="clear" w:color="auto" w:fill="CCEEFF"/>
            <w:vAlign w:val="bottom"/>
          </w:tcPr>
          <w:p w14:paraId="42A12AE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AF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2AF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2AF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15,484</w:t>
            </w:r>
          </w:p>
        </w:tc>
        <w:tc>
          <w:tcPr>
            <w:tcW w:w="0" w:type="auto"/>
            <w:tcBorders>
              <w:top w:val="single" w:sz="8" w:space="0" w:color="000000"/>
            </w:tcBorders>
            <w:shd w:val="clear" w:color="auto" w:fill="CCEEFF"/>
            <w:vAlign w:val="bottom"/>
          </w:tcPr>
          <w:p w14:paraId="42A12AF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AF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2AF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2AF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313</w:t>
            </w:r>
          </w:p>
        </w:tc>
        <w:tc>
          <w:tcPr>
            <w:tcW w:w="0" w:type="auto"/>
            <w:tcBorders>
              <w:top w:val="single" w:sz="8" w:space="0" w:color="000000"/>
            </w:tcBorders>
            <w:shd w:val="clear" w:color="auto" w:fill="CCEEFF"/>
            <w:vAlign w:val="bottom"/>
          </w:tcPr>
          <w:p w14:paraId="42A12AF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AF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2AF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2AF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18,242</w:t>
            </w:r>
          </w:p>
        </w:tc>
        <w:tc>
          <w:tcPr>
            <w:tcW w:w="0" w:type="auto"/>
            <w:tcBorders>
              <w:top w:val="single" w:sz="8" w:space="0" w:color="000000"/>
            </w:tcBorders>
            <w:shd w:val="clear" w:color="auto" w:fill="CCEEFF"/>
            <w:vAlign w:val="bottom"/>
          </w:tcPr>
          <w:p w14:paraId="42A12AFB" w14:textId="77777777" w:rsidR="00BB68E1" w:rsidRDefault="00BB68E1">
            <w:pPr>
              <w:textAlignment w:val="bottom"/>
              <w:rPr>
                <w:rFonts w:ascii="Times New Roman" w:hAnsi="Times New Roman"/>
                <w:sz w:val="20"/>
                <w:szCs w:val="20"/>
              </w:rPr>
            </w:pPr>
          </w:p>
        </w:tc>
      </w:tr>
      <w:tr w:rsidR="00BB68E1" w14:paraId="42A12B0A" w14:textId="77777777">
        <w:trPr>
          <w:jc w:val="center"/>
        </w:trPr>
        <w:tc>
          <w:tcPr>
            <w:tcW w:w="0" w:type="auto"/>
            <w:shd w:val="clear" w:color="auto" w:fill="auto"/>
            <w:tcMar>
              <w:top w:w="40" w:type="dxa"/>
              <w:left w:w="40" w:type="dxa"/>
              <w:bottom w:w="40" w:type="dxa"/>
              <w:right w:w="40" w:type="dxa"/>
            </w:tcMar>
            <w:vAlign w:val="center"/>
          </w:tcPr>
          <w:p w14:paraId="42A12AF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Changes in currency translation and other</w:t>
            </w:r>
          </w:p>
        </w:tc>
        <w:tc>
          <w:tcPr>
            <w:tcW w:w="0" w:type="auto"/>
            <w:shd w:val="clear" w:color="auto" w:fill="auto"/>
            <w:tcMar>
              <w:top w:w="40" w:type="dxa"/>
              <w:left w:w="40" w:type="dxa"/>
              <w:bottom w:w="40" w:type="dxa"/>
              <w:right w:w="40" w:type="dxa"/>
            </w:tcMar>
            <w:vAlign w:val="bottom"/>
          </w:tcPr>
          <w:p w14:paraId="42A12AF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AF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B0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B0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B0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(743</w:t>
            </w:r>
          </w:p>
        </w:tc>
        <w:tc>
          <w:tcPr>
            <w:tcW w:w="0" w:type="auto"/>
            <w:shd w:val="clear" w:color="auto" w:fill="auto"/>
            <w:tcMar>
              <w:top w:w="40" w:type="dxa"/>
              <w:bottom w:w="40" w:type="dxa"/>
              <w:right w:w="40" w:type="dxa"/>
            </w:tcMar>
            <w:vAlign w:val="center"/>
          </w:tcPr>
          <w:p w14:paraId="42A12B0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B0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B0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B0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B0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B0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(743</w:t>
            </w:r>
          </w:p>
        </w:tc>
        <w:tc>
          <w:tcPr>
            <w:tcW w:w="0" w:type="auto"/>
            <w:shd w:val="clear" w:color="auto" w:fill="auto"/>
            <w:tcMar>
              <w:top w:w="40" w:type="dxa"/>
              <w:bottom w:w="40" w:type="dxa"/>
              <w:right w:w="40" w:type="dxa"/>
            </w:tcMar>
            <w:vAlign w:val="center"/>
          </w:tcPr>
          <w:p w14:paraId="42A12B0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B18" w14:textId="77777777">
        <w:trPr>
          <w:jc w:val="center"/>
        </w:trPr>
        <w:tc>
          <w:tcPr>
            <w:tcW w:w="0" w:type="auto"/>
            <w:shd w:val="clear" w:color="auto" w:fill="CCEEFF"/>
            <w:tcMar>
              <w:top w:w="40" w:type="dxa"/>
              <w:left w:w="40" w:type="dxa"/>
              <w:bottom w:w="40" w:type="dxa"/>
              <w:right w:w="40" w:type="dxa"/>
            </w:tcMar>
            <w:vAlign w:val="center"/>
          </w:tcPr>
          <w:p w14:paraId="42A12B0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Acquisitions </w:t>
            </w:r>
            <w:r>
              <w:rPr>
                <w:rFonts w:ascii="Times New Roman" w:eastAsia="宋体" w:hAnsi="Times New Roman"/>
                <w:sz w:val="10"/>
                <w:szCs w:val="10"/>
              </w:rPr>
              <w:t>(1)</w:t>
            </w:r>
          </w:p>
        </w:tc>
        <w:tc>
          <w:tcPr>
            <w:tcW w:w="0" w:type="auto"/>
            <w:shd w:val="clear" w:color="auto" w:fill="CCEEFF"/>
            <w:tcMar>
              <w:top w:w="40" w:type="dxa"/>
              <w:left w:w="40" w:type="dxa"/>
              <w:bottom w:w="40" w:type="dxa"/>
              <w:right w:w="40" w:type="dxa"/>
            </w:tcMar>
            <w:vAlign w:val="bottom"/>
          </w:tcPr>
          <w:p w14:paraId="42A12B0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B0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107</w:t>
            </w:r>
          </w:p>
        </w:tc>
        <w:tc>
          <w:tcPr>
            <w:tcW w:w="0" w:type="auto"/>
            <w:tcBorders>
              <w:bottom w:val="single" w:sz="8" w:space="0" w:color="000000"/>
            </w:tcBorders>
            <w:shd w:val="clear" w:color="auto" w:fill="CCEEFF"/>
            <w:vAlign w:val="bottom"/>
          </w:tcPr>
          <w:p w14:paraId="42A12B0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B0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B1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13,575</w:t>
            </w:r>
          </w:p>
        </w:tc>
        <w:tc>
          <w:tcPr>
            <w:tcW w:w="0" w:type="auto"/>
            <w:tcBorders>
              <w:bottom w:val="single" w:sz="8" w:space="0" w:color="000000"/>
            </w:tcBorders>
            <w:shd w:val="clear" w:color="auto" w:fill="CCEEFF"/>
            <w:vAlign w:val="bottom"/>
          </w:tcPr>
          <w:p w14:paraId="42A12B1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B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B1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42A12B1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B1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B1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13,682</w:t>
            </w:r>
          </w:p>
        </w:tc>
        <w:tc>
          <w:tcPr>
            <w:tcW w:w="0" w:type="auto"/>
            <w:tcBorders>
              <w:bottom w:val="single" w:sz="8" w:space="0" w:color="000000"/>
            </w:tcBorders>
            <w:shd w:val="clear" w:color="auto" w:fill="CCEEFF"/>
            <w:vAlign w:val="bottom"/>
          </w:tcPr>
          <w:p w14:paraId="42A12B17" w14:textId="77777777" w:rsidR="00BB68E1" w:rsidRDefault="00BB68E1">
            <w:pPr>
              <w:textAlignment w:val="bottom"/>
              <w:rPr>
                <w:rFonts w:ascii="Times New Roman" w:hAnsi="Times New Roman"/>
                <w:sz w:val="20"/>
                <w:szCs w:val="20"/>
              </w:rPr>
            </w:pPr>
          </w:p>
        </w:tc>
      </w:tr>
      <w:tr w:rsidR="00BB68E1" w14:paraId="42A12B26" w14:textId="77777777">
        <w:trPr>
          <w:jc w:val="center"/>
        </w:trPr>
        <w:tc>
          <w:tcPr>
            <w:tcW w:w="0" w:type="auto"/>
            <w:shd w:val="clear" w:color="auto" w:fill="auto"/>
            <w:tcMar>
              <w:top w:w="40" w:type="dxa"/>
              <w:left w:w="40" w:type="dxa"/>
              <w:bottom w:w="40" w:type="dxa"/>
              <w:right w:w="40" w:type="dxa"/>
            </w:tcMar>
            <w:vAlign w:val="center"/>
          </w:tcPr>
          <w:p w14:paraId="42A12B19"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Balances as of January 31, 2019</w:t>
            </w:r>
          </w:p>
        </w:tc>
        <w:tc>
          <w:tcPr>
            <w:tcW w:w="0" w:type="auto"/>
            <w:shd w:val="clear" w:color="auto" w:fill="auto"/>
            <w:tcMar>
              <w:top w:w="40" w:type="dxa"/>
              <w:left w:w="40" w:type="dxa"/>
              <w:bottom w:w="40" w:type="dxa"/>
              <w:right w:w="40" w:type="dxa"/>
            </w:tcMar>
            <w:vAlign w:val="bottom"/>
          </w:tcPr>
          <w:p w14:paraId="42A12B1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B1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2,552</w:t>
            </w:r>
          </w:p>
        </w:tc>
        <w:tc>
          <w:tcPr>
            <w:tcW w:w="0" w:type="auto"/>
            <w:shd w:val="clear" w:color="auto" w:fill="auto"/>
            <w:vAlign w:val="bottom"/>
          </w:tcPr>
          <w:p w14:paraId="42A12B1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B1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B1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28,316</w:t>
            </w:r>
          </w:p>
        </w:tc>
        <w:tc>
          <w:tcPr>
            <w:tcW w:w="0" w:type="auto"/>
            <w:shd w:val="clear" w:color="auto" w:fill="auto"/>
            <w:vAlign w:val="bottom"/>
          </w:tcPr>
          <w:p w14:paraId="42A12B1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B2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B2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313</w:t>
            </w:r>
          </w:p>
        </w:tc>
        <w:tc>
          <w:tcPr>
            <w:tcW w:w="0" w:type="auto"/>
            <w:shd w:val="clear" w:color="auto" w:fill="auto"/>
            <w:vAlign w:val="bottom"/>
          </w:tcPr>
          <w:p w14:paraId="42A12B2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B2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B2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31,181</w:t>
            </w:r>
          </w:p>
        </w:tc>
        <w:tc>
          <w:tcPr>
            <w:tcW w:w="0" w:type="auto"/>
            <w:shd w:val="clear" w:color="auto" w:fill="auto"/>
            <w:vAlign w:val="bottom"/>
          </w:tcPr>
          <w:p w14:paraId="42A12B25" w14:textId="77777777" w:rsidR="00BB68E1" w:rsidRDefault="00BB68E1">
            <w:pPr>
              <w:textAlignment w:val="bottom"/>
              <w:rPr>
                <w:rFonts w:ascii="Times New Roman" w:hAnsi="Times New Roman"/>
                <w:sz w:val="20"/>
                <w:szCs w:val="20"/>
              </w:rPr>
            </w:pPr>
          </w:p>
        </w:tc>
      </w:tr>
      <w:tr w:rsidR="00BB68E1" w14:paraId="42A12B34" w14:textId="77777777">
        <w:trPr>
          <w:jc w:val="center"/>
        </w:trPr>
        <w:tc>
          <w:tcPr>
            <w:tcW w:w="0" w:type="auto"/>
            <w:shd w:val="clear" w:color="auto" w:fill="CCEEFF"/>
            <w:tcMar>
              <w:top w:w="40" w:type="dxa"/>
              <w:left w:w="40" w:type="dxa"/>
              <w:bottom w:w="40" w:type="dxa"/>
              <w:right w:w="40" w:type="dxa"/>
            </w:tcMar>
            <w:vAlign w:val="center"/>
          </w:tcPr>
          <w:p w14:paraId="42A12B2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Changes in currency translation and </w:t>
            </w:r>
            <w:r>
              <w:rPr>
                <w:rFonts w:ascii="Times New Roman" w:eastAsia="宋体" w:hAnsi="Times New Roman"/>
                <w:sz w:val="16"/>
                <w:szCs w:val="16"/>
              </w:rPr>
              <w:t>other</w:t>
            </w:r>
          </w:p>
        </w:tc>
        <w:tc>
          <w:tcPr>
            <w:tcW w:w="0" w:type="auto"/>
            <w:shd w:val="clear" w:color="auto" w:fill="CCEEFF"/>
            <w:tcMar>
              <w:top w:w="40" w:type="dxa"/>
              <w:left w:w="40" w:type="dxa"/>
              <w:bottom w:w="40" w:type="dxa"/>
              <w:right w:w="40" w:type="dxa"/>
            </w:tcMar>
            <w:vAlign w:val="bottom"/>
          </w:tcPr>
          <w:p w14:paraId="42A12B2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B2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B2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B2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B2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(149</w:t>
            </w:r>
          </w:p>
        </w:tc>
        <w:tc>
          <w:tcPr>
            <w:tcW w:w="0" w:type="auto"/>
            <w:shd w:val="clear" w:color="auto" w:fill="CCEEFF"/>
            <w:tcMar>
              <w:top w:w="40" w:type="dxa"/>
              <w:bottom w:w="40" w:type="dxa"/>
              <w:right w:w="40" w:type="dxa"/>
            </w:tcMar>
            <w:vAlign w:val="center"/>
          </w:tcPr>
          <w:p w14:paraId="42A12B2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B2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B2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B3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B3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B3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(149</w:t>
            </w:r>
          </w:p>
        </w:tc>
        <w:tc>
          <w:tcPr>
            <w:tcW w:w="0" w:type="auto"/>
            <w:shd w:val="clear" w:color="auto" w:fill="CCEEFF"/>
            <w:tcMar>
              <w:top w:w="40" w:type="dxa"/>
              <w:bottom w:w="40" w:type="dxa"/>
              <w:right w:w="40" w:type="dxa"/>
            </w:tcMar>
            <w:vAlign w:val="center"/>
          </w:tcPr>
          <w:p w14:paraId="42A12B3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B42" w14:textId="77777777">
        <w:trPr>
          <w:jc w:val="center"/>
        </w:trPr>
        <w:tc>
          <w:tcPr>
            <w:tcW w:w="0" w:type="auto"/>
            <w:shd w:val="clear" w:color="auto" w:fill="auto"/>
            <w:tcMar>
              <w:top w:w="40" w:type="dxa"/>
              <w:left w:w="40" w:type="dxa"/>
              <w:bottom w:w="40" w:type="dxa"/>
              <w:right w:w="40" w:type="dxa"/>
            </w:tcMar>
            <w:vAlign w:val="center"/>
          </w:tcPr>
          <w:p w14:paraId="42A12B3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Acquisitions</w:t>
            </w:r>
          </w:p>
        </w:tc>
        <w:tc>
          <w:tcPr>
            <w:tcW w:w="0" w:type="auto"/>
            <w:shd w:val="clear" w:color="auto" w:fill="auto"/>
            <w:tcMar>
              <w:top w:w="40" w:type="dxa"/>
              <w:left w:w="40" w:type="dxa"/>
              <w:bottom w:w="40" w:type="dxa"/>
              <w:right w:w="40" w:type="dxa"/>
            </w:tcMar>
            <w:vAlign w:val="bottom"/>
          </w:tcPr>
          <w:p w14:paraId="42A12B3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B3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41</w:t>
            </w:r>
          </w:p>
        </w:tc>
        <w:tc>
          <w:tcPr>
            <w:tcW w:w="0" w:type="auto"/>
            <w:shd w:val="clear" w:color="auto" w:fill="auto"/>
            <w:vAlign w:val="bottom"/>
          </w:tcPr>
          <w:p w14:paraId="42A12B3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B3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B3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B3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B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B3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B3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B3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B4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41</w:t>
            </w:r>
          </w:p>
        </w:tc>
        <w:tc>
          <w:tcPr>
            <w:tcW w:w="0" w:type="auto"/>
            <w:shd w:val="clear" w:color="auto" w:fill="auto"/>
            <w:vAlign w:val="bottom"/>
          </w:tcPr>
          <w:p w14:paraId="42A12B41" w14:textId="77777777" w:rsidR="00BB68E1" w:rsidRDefault="00BB68E1">
            <w:pPr>
              <w:textAlignment w:val="bottom"/>
              <w:rPr>
                <w:rFonts w:ascii="Times New Roman" w:hAnsi="Times New Roman"/>
                <w:sz w:val="20"/>
                <w:szCs w:val="20"/>
              </w:rPr>
            </w:pPr>
          </w:p>
        </w:tc>
      </w:tr>
      <w:tr w:rsidR="00BB68E1" w14:paraId="42A12B54" w14:textId="77777777">
        <w:trPr>
          <w:jc w:val="center"/>
        </w:trPr>
        <w:tc>
          <w:tcPr>
            <w:tcW w:w="0" w:type="auto"/>
            <w:shd w:val="clear" w:color="auto" w:fill="CCEEFF"/>
            <w:tcMar>
              <w:top w:w="40" w:type="dxa"/>
              <w:left w:w="40" w:type="dxa"/>
              <w:bottom w:w="40" w:type="dxa"/>
              <w:right w:w="40" w:type="dxa"/>
            </w:tcMar>
            <w:vAlign w:val="center"/>
          </w:tcPr>
          <w:p w14:paraId="42A12B43"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Balances as of January 31, 2020</w:t>
            </w:r>
          </w:p>
        </w:tc>
        <w:tc>
          <w:tcPr>
            <w:tcW w:w="0" w:type="auto"/>
            <w:shd w:val="clear" w:color="auto" w:fill="CCEEFF"/>
            <w:tcMar>
              <w:top w:w="40" w:type="dxa"/>
              <w:left w:w="40" w:type="dxa"/>
              <w:bottom w:w="40" w:type="dxa"/>
              <w:right w:w="40" w:type="dxa"/>
            </w:tcMar>
            <w:vAlign w:val="bottom"/>
          </w:tcPr>
          <w:p w14:paraId="42A12B4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2B4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2B4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2,593</w:t>
            </w:r>
          </w:p>
        </w:tc>
        <w:tc>
          <w:tcPr>
            <w:tcW w:w="0" w:type="auto"/>
            <w:tcBorders>
              <w:top w:val="single" w:sz="8" w:space="0" w:color="000000"/>
              <w:bottom w:val="double" w:sz="6" w:space="0" w:color="000000"/>
            </w:tcBorders>
            <w:shd w:val="clear" w:color="auto" w:fill="CCEEFF"/>
            <w:vAlign w:val="bottom"/>
          </w:tcPr>
          <w:p w14:paraId="42A12B4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B4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2B4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2B4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28,167</w:t>
            </w:r>
          </w:p>
        </w:tc>
        <w:tc>
          <w:tcPr>
            <w:tcW w:w="0" w:type="auto"/>
            <w:tcBorders>
              <w:top w:val="single" w:sz="8" w:space="0" w:color="000000"/>
              <w:bottom w:val="double" w:sz="6" w:space="0" w:color="000000"/>
            </w:tcBorders>
            <w:shd w:val="clear" w:color="auto" w:fill="CCEEFF"/>
            <w:vAlign w:val="bottom"/>
          </w:tcPr>
          <w:p w14:paraId="42A12B4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B4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2B4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2B4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313</w:t>
            </w:r>
          </w:p>
        </w:tc>
        <w:tc>
          <w:tcPr>
            <w:tcW w:w="0" w:type="auto"/>
            <w:tcBorders>
              <w:top w:val="single" w:sz="8" w:space="0" w:color="000000"/>
              <w:bottom w:val="double" w:sz="6" w:space="0" w:color="000000"/>
            </w:tcBorders>
            <w:shd w:val="clear" w:color="auto" w:fill="CCEEFF"/>
            <w:vAlign w:val="bottom"/>
          </w:tcPr>
          <w:p w14:paraId="42A12B4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B5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2B5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2B5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31,073</w:t>
            </w:r>
          </w:p>
        </w:tc>
        <w:tc>
          <w:tcPr>
            <w:tcW w:w="0" w:type="auto"/>
            <w:tcBorders>
              <w:top w:val="single" w:sz="8" w:space="0" w:color="000000"/>
              <w:bottom w:val="double" w:sz="6" w:space="0" w:color="000000"/>
            </w:tcBorders>
            <w:shd w:val="clear" w:color="auto" w:fill="CCEEFF"/>
            <w:vAlign w:val="bottom"/>
          </w:tcPr>
          <w:p w14:paraId="42A12B53" w14:textId="77777777" w:rsidR="00BB68E1" w:rsidRDefault="00BB68E1">
            <w:pPr>
              <w:textAlignment w:val="bottom"/>
              <w:rPr>
                <w:rFonts w:ascii="Times New Roman" w:hAnsi="Times New Roman"/>
                <w:sz w:val="20"/>
                <w:szCs w:val="20"/>
              </w:rPr>
            </w:pPr>
          </w:p>
        </w:tc>
      </w:tr>
    </w:tbl>
    <w:p w14:paraId="42A12B55" w14:textId="77777777" w:rsidR="00BB68E1" w:rsidRDefault="00BB68E1">
      <w:pPr>
        <w:spacing w:line="288" w:lineRule="auto"/>
        <w:jc w:val="center"/>
        <w:rPr>
          <w:rFonts w:ascii="Times New Roman" w:hAnsi="Times New Roman"/>
          <w:sz w:val="20"/>
          <w:szCs w:val="20"/>
        </w:rPr>
      </w:pPr>
    </w:p>
    <w:p w14:paraId="42A12B56" w14:textId="77777777" w:rsidR="00BB68E1" w:rsidRDefault="005D2D5E">
      <w:pPr>
        <w:spacing w:line="288" w:lineRule="auto"/>
        <w:rPr>
          <w:rFonts w:ascii="Times New Roman" w:hAnsi="Times New Roman"/>
          <w:sz w:val="20"/>
          <w:szCs w:val="20"/>
        </w:rPr>
      </w:pPr>
      <w:r>
        <w:rPr>
          <w:rFonts w:ascii="Times New Roman" w:eastAsia="宋体" w:hAnsi="Times New Roman"/>
          <w:sz w:val="14"/>
          <w:szCs w:val="14"/>
        </w:rPr>
        <w:t>(1)</w:t>
      </w:r>
      <w:r>
        <w:rPr>
          <w:rFonts w:ascii="Times New Roman" w:eastAsia="宋体" w:hAnsi="Times New Roman"/>
          <w:sz w:val="20"/>
          <w:szCs w:val="20"/>
        </w:rPr>
        <w:t xml:space="preserve"> </w:t>
      </w:r>
      <w:r>
        <w:rPr>
          <w:rFonts w:ascii="Times New Roman" w:eastAsia="宋体" w:hAnsi="Times New Roman"/>
          <w:sz w:val="16"/>
          <w:szCs w:val="16"/>
        </w:rPr>
        <w:t>Goodwill recorded in fiscal 2019 for Walmart International relates to Flipkart.</w:t>
      </w:r>
    </w:p>
    <w:p w14:paraId="42A12B5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Intangible assets are included in other long-term assets in the Company's Consolidated Balance Sheets. As of January 31</w:t>
      </w:r>
      <w:r>
        <w:rPr>
          <w:rFonts w:ascii="Times New Roman" w:eastAsia="宋体" w:hAnsi="Times New Roman"/>
          <w:sz w:val="20"/>
          <w:szCs w:val="20"/>
        </w:rPr>
        <w:t xml:space="preserve">, 2020 and 2019, the Company had $5.2 billion and $5.8 billion, respectively, in indefinite-lived intangible assets which is primarily made up of acquired trade names. Refer to </w:t>
      </w:r>
      <w:hyperlink r:id="rId125" w:anchor="sF3EC33622B9D5E9FA81B9AF6D8900DC8" w:history="1">
        <w:r>
          <w:rPr>
            <w:rStyle w:val="a5"/>
            <w:rFonts w:ascii="Times New Roman" w:eastAsia="宋体" w:hAnsi="Times New Roman"/>
            <w:sz w:val="20"/>
            <w:szCs w:val="20"/>
          </w:rPr>
          <w:t>Note 12</w:t>
        </w:r>
      </w:hyperlink>
      <w:r>
        <w:rPr>
          <w:rFonts w:ascii="Times New Roman" w:eastAsia="宋体" w:hAnsi="Times New Roman"/>
          <w:sz w:val="20"/>
          <w:szCs w:val="20"/>
        </w:rPr>
        <w:t xml:space="preserve"> for additional information related to acquired intangible assets for the Flipkart acquisition. During fiscal 2020, the Company incurred approximately $0.7 billion in impa</w:t>
      </w:r>
      <w:r>
        <w:rPr>
          <w:rFonts w:ascii="Times New Roman" w:eastAsia="宋体" w:hAnsi="Times New Roman"/>
          <w:sz w:val="20"/>
          <w:szCs w:val="20"/>
        </w:rPr>
        <w:t xml:space="preserve">irment charges related to its intangible assets. There were no significant impairment charges related to intangible assets for fiscal 2019 and 2018. Refer to </w:t>
      </w:r>
      <w:hyperlink r:id="rId126" w:anchor="s54AFDC767FDC5DEDB7B7C4E87D6EC733" w:history="1">
        <w:r>
          <w:rPr>
            <w:rStyle w:val="a5"/>
            <w:rFonts w:ascii="Times New Roman" w:eastAsia="宋体" w:hAnsi="Times New Roman"/>
            <w:sz w:val="20"/>
            <w:szCs w:val="20"/>
          </w:rPr>
          <w:t>Note 8</w:t>
        </w:r>
      </w:hyperlink>
      <w:r>
        <w:rPr>
          <w:rFonts w:ascii="Times New Roman" w:eastAsia="宋体" w:hAnsi="Times New Roman"/>
          <w:sz w:val="20"/>
          <w:szCs w:val="20"/>
        </w:rPr>
        <w:t xml:space="preserve"> for additional information.</w:t>
      </w:r>
    </w:p>
    <w:p w14:paraId="42A12B58" w14:textId="77777777" w:rsidR="00BB68E1" w:rsidRDefault="00BB68E1">
      <w:pPr>
        <w:rPr>
          <w:rFonts w:ascii="Times New Roman" w:hAnsi="Times New Roman"/>
          <w:sz w:val="20"/>
          <w:szCs w:val="20"/>
        </w:rPr>
      </w:pPr>
    </w:p>
    <w:p w14:paraId="42A12B59"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57</w:t>
      </w:r>
    </w:p>
    <w:p w14:paraId="42A12B5A" w14:textId="77777777" w:rsidR="00BB68E1" w:rsidRDefault="00BB68E1">
      <w:pPr>
        <w:spacing w:line="288" w:lineRule="auto"/>
        <w:jc w:val="center"/>
        <w:rPr>
          <w:rFonts w:ascii="Times New Roman" w:hAnsi="Times New Roman"/>
          <w:sz w:val="20"/>
          <w:szCs w:val="20"/>
        </w:rPr>
      </w:pPr>
    </w:p>
    <w:p w14:paraId="42A12B5B" w14:textId="77777777" w:rsidR="00BB68E1" w:rsidRDefault="005D2D5E">
      <w:r>
        <w:rPr>
          <w:rFonts w:ascii="Times New Roman" w:hAnsi="Times New Roman"/>
          <w:sz w:val="20"/>
          <w:szCs w:val="20"/>
        </w:rPr>
        <w:pict w14:anchorId="42A142B0">
          <v:rect id="_x0000_i1081" style="width:415.3pt;height:1.5pt" o:hralign="center" o:hrstd="t" o:hr="t" fillcolor="#a0a0a0" stroked="f"/>
        </w:pict>
      </w:r>
    </w:p>
    <w:p w14:paraId="42A12B5C" w14:textId="77777777" w:rsidR="00BB68E1" w:rsidRDefault="00BB68E1">
      <w:pPr>
        <w:spacing w:line="288" w:lineRule="auto"/>
        <w:rPr>
          <w:rFonts w:ascii="Times New Roman" w:hAnsi="Times New Roman"/>
          <w:sz w:val="20"/>
          <w:szCs w:val="20"/>
        </w:rPr>
      </w:pPr>
    </w:p>
    <w:p w14:paraId="42A12B5D" w14:textId="77777777" w:rsidR="00BB68E1" w:rsidRDefault="00BB68E1">
      <w:pPr>
        <w:rPr>
          <w:rFonts w:ascii="Times New Roman" w:hAnsi="Times New Roman"/>
          <w:sz w:val="20"/>
          <w:szCs w:val="20"/>
        </w:rPr>
      </w:pPr>
    </w:p>
    <w:p w14:paraId="42A12B5E"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Fair Value Measurement</w:t>
      </w:r>
    </w:p>
    <w:p w14:paraId="42A12B5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January 2016, the Financial Accounting Standards Board ("FASB") issued Accounting Standards Update ("ASU") 2016-01, </w:t>
      </w:r>
      <w:r>
        <w:rPr>
          <w:rFonts w:ascii="Times New Roman" w:eastAsia="宋体" w:hAnsi="Times New Roman"/>
          <w:i/>
          <w:iCs/>
          <w:sz w:val="20"/>
          <w:szCs w:val="20"/>
        </w:rPr>
        <w:t>Financial Instruments–Overall (Topic 825)</w:t>
      </w:r>
      <w:r>
        <w:rPr>
          <w:rFonts w:ascii="Times New Roman" w:eastAsia="宋体" w:hAnsi="Times New Roman"/>
          <w:sz w:val="20"/>
          <w:szCs w:val="20"/>
        </w:rPr>
        <w:t xml:space="preserve">, which updated certain aspects of recognition, measurement, presentation and disclosure of financial instruments ("ASU 2016-01"). The Company adopted this ASU on February 1, 2018, which primarily impacted the </w:t>
      </w:r>
      <w:r>
        <w:rPr>
          <w:rFonts w:ascii="Times New Roman" w:eastAsia="宋体" w:hAnsi="Times New Roman"/>
          <w:sz w:val="20"/>
          <w:szCs w:val="20"/>
        </w:rPr>
        <w:t>Company's accounting for its investment in JD.com, Inc. ("JD") and resulted in a positive adjustment to retained earnings of approximately $2.6 billion, net of tax, in fiscal 2019 based on the market value of the Company's investment in JD as of January 31</w:t>
      </w:r>
      <w:r>
        <w:rPr>
          <w:rFonts w:ascii="Times New Roman" w:eastAsia="宋体" w:hAnsi="Times New Roman"/>
          <w:sz w:val="20"/>
          <w:szCs w:val="20"/>
        </w:rPr>
        <w:t>, 2018. The adoption required prospective changes in fair value of the Company's investment in JD to be recorded in the Consolidated Statement of Income, which the Company classifies in other gains and losses.</w:t>
      </w:r>
    </w:p>
    <w:p w14:paraId="42A12B6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records and discloses certain fina</w:t>
      </w:r>
      <w:r>
        <w:rPr>
          <w:rFonts w:ascii="Times New Roman" w:eastAsia="宋体" w:hAnsi="Times New Roman"/>
          <w:sz w:val="20"/>
          <w:szCs w:val="20"/>
        </w:rPr>
        <w:t>ncial and non-financial assets and liabilities at fair value. The fair value of an asset is the price at which the asset could be sold in an orderly transaction between unrelated, knowledgeable and willing parties able to engage in the transaction. The fai</w:t>
      </w:r>
      <w:r>
        <w:rPr>
          <w:rFonts w:ascii="Times New Roman" w:eastAsia="宋体" w:hAnsi="Times New Roman"/>
          <w:sz w:val="20"/>
          <w:szCs w:val="20"/>
        </w:rPr>
        <w:t xml:space="preserve">r value of a liability is the amount that would be paid to transfer the liability to a new obligor in a transaction between such parties, not the amount that would be paid to settle the liability with the creditor. Refer to </w:t>
      </w:r>
      <w:hyperlink r:id="rId127" w:anchor="s54AFDC767FDC5DEDB7B7C4E87D6EC733" w:history="1">
        <w:r>
          <w:rPr>
            <w:rStyle w:val="a5"/>
            <w:rFonts w:ascii="Times New Roman" w:eastAsia="宋体" w:hAnsi="Times New Roman"/>
            <w:sz w:val="20"/>
            <w:szCs w:val="20"/>
          </w:rPr>
          <w:t>Note 8</w:t>
        </w:r>
      </w:hyperlink>
      <w:r>
        <w:rPr>
          <w:rFonts w:ascii="Times New Roman" w:eastAsia="宋体" w:hAnsi="Times New Roman"/>
          <w:sz w:val="20"/>
          <w:szCs w:val="20"/>
        </w:rPr>
        <w:t xml:space="preserve"> for more information. </w:t>
      </w:r>
    </w:p>
    <w:p w14:paraId="42A12B61"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Self Insurance Reserves</w:t>
      </w:r>
    </w:p>
    <w:p w14:paraId="42A12B6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self-insures a number of risks, including, but not limited to, wo</w:t>
      </w:r>
      <w:r>
        <w:rPr>
          <w:rFonts w:ascii="Times New Roman" w:eastAsia="宋体" w:hAnsi="Times New Roman"/>
          <w:sz w:val="20"/>
          <w:szCs w:val="20"/>
        </w:rPr>
        <w:t>rkers' compensation, general liability, auto liability, product liability and certain employee-related healthcare benefits. Standard actuarial procedures and data analysis are used to estimate the liabilities associated with these risks as of the balance s</w:t>
      </w:r>
      <w:r>
        <w:rPr>
          <w:rFonts w:ascii="Times New Roman" w:eastAsia="宋体" w:hAnsi="Times New Roman"/>
          <w:sz w:val="20"/>
          <w:szCs w:val="20"/>
        </w:rPr>
        <w:t>heet date on an undiscounted basis. The recorded liabilities reflect the ultimate cost for claims incurred but not paid and any estimable administrative run-out expenses related to the processing of these outstanding claim payments. On a regular basis, the</w:t>
      </w:r>
      <w:r>
        <w:rPr>
          <w:rFonts w:ascii="Times New Roman" w:eastAsia="宋体" w:hAnsi="Times New Roman"/>
          <w:sz w:val="20"/>
          <w:szCs w:val="20"/>
        </w:rPr>
        <w:t xml:space="preserve"> liabilities are evaluated for appropriateness with claims reserve valuations. To limit exposure to some risks, the Company maintains insurance coverage with varying limits and retentions, including stop-loss insurance coverage for workers' compensation, g</w:t>
      </w:r>
      <w:r>
        <w:rPr>
          <w:rFonts w:ascii="Times New Roman" w:eastAsia="宋体" w:hAnsi="Times New Roman"/>
          <w:sz w:val="20"/>
          <w:szCs w:val="20"/>
        </w:rPr>
        <w:t>eneral liability and auto liability.</w:t>
      </w:r>
    </w:p>
    <w:p w14:paraId="42A12B63"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Derivatives</w:t>
      </w:r>
    </w:p>
    <w:p w14:paraId="42A12B6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uses derivatives for hedging purposes to manage its exposure to changes in interest and currency exchange rates, as well as to maintain an appropriate mix of fixed- and variable-rate debt. Use of</w:t>
      </w:r>
      <w:r>
        <w:rPr>
          <w:rFonts w:ascii="Times New Roman" w:eastAsia="宋体" w:hAnsi="Times New Roman"/>
          <w:sz w:val="20"/>
          <w:szCs w:val="20"/>
        </w:rPr>
        <w:t xml:space="preserve"> derivatives in hedging programs subjects the Company to certain risks, such as market and credit risks. The Company may be exposed to credit-related losses in the event of nonperformance by its counterparties to derivatives. Credit risk is monitored throu</w:t>
      </w:r>
      <w:r>
        <w:rPr>
          <w:rFonts w:ascii="Times New Roman" w:eastAsia="宋体" w:hAnsi="Times New Roman"/>
          <w:sz w:val="20"/>
          <w:szCs w:val="20"/>
        </w:rPr>
        <w:t>gh established approval procedures, including setting concentration limits by counterparty, reviewing credit ratings and requiring collateral from the counterparty. The Company enters into derivatives with counterparties rated only "A-" or better by nation</w:t>
      </w:r>
      <w:r>
        <w:rPr>
          <w:rFonts w:ascii="Times New Roman" w:eastAsia="宋体" w:hAnsi="Times New Roman"/>
          <w:sz w:val="20"/>
          <w:szCs w:val="20"/>
        </w:rPr>
        <w:t xml:space="preserve">ally recognized credit rating agencies. The Company is subject to master netting arrangements which provides set-off and close out netting of exposures with counterparties, but the </w:t>
      </w:r>
      <w:r>
        <w:rPr>
          <w:rFonts w:ascii="Times New Roman" w:eastAsia="宋体" w:hAnsi="Times New Roman"/>
          <w:sz w:val="20"/>
          <w:szCs w:val="20"/>
        </w:rPr>
        <w:lastRenderedPageBreak/>
        <w:t>Company does not offset derivative assets and liabilities in its Consolidat</w:t>
      </w:r>
      <w:r>
        <w:rPr>
          <w:rFonts w:ascii="Times New Roman" w:eastAsia="宋体" w:hAnsi="Times New Roman"/>
          <w:sz w:val="20"/>
          <w:szCs w:val="20"/>
        </w:rPr>
        <w:t>ed Balance Sheets. The Company’s collateral arrangements requires the counterparty in a net liability position in excess of pre-determined thresholds, after considering the effects of netting arrangements, to pledge cash collateral. Cash collateral receive</w:t>
      </w:r>
      <w:r>
        <w:rPr>
          <w:rFonts w:ascii="Times New Roman" w:eastAsia="宋体" w:hAnsi="Times New Roman"/>
          <w:sz w:val="20"/>
          <w:szCs w:val="20"/>
        </w:rPr>
        <w:t>d under these arrangements was not significant as of January 31, 2020 and 2019. The Company was not required to provide any cash collateral to counterparties as of January 31, 2020 and 2019.</w:t>
      </w:r>
    </w:p>
    <w:p w14:paraId="42A12B65"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order to qualify for hedge accounting, at the inception of the</w:t>
      </w:r>
      <w:r>
        <w:rPr>
          <w:rFonts w:ascii="Times New Roman" w:eastAsia="宋体" w:hAnsi="Times New Roman"/>
          <w:sz w:val="20"/>
          <w:szCs w:val="20"/>
        </w:rPr>
        <w:t xml:space="preserve"> hedging relationship, the Company formally documents its risk management objective and strategy for undertaking the hedging transaction, as well as its designation of the hedge. If a derivative is recorded using hedge accounting, depending on the nature o</w:t>
      </w:r>
      <w:r>
        <w:rPr>
          <w:rFonts w:ascii="Times New Roman" w:eastAsia="宋体" w:hAnsi="Times New Roman"/>
          <w:sz w:val="20"/>
          <w:szCs w:val="20"/>
        </w:rPr>
        <w:t>f the hedge, derivative gains and losses are recorded through the same financial statement line item in earnings or are recognized in accumulated other comprehensive loss until the hedged item is recognized in earnings. Derivatives that do not meet the cri</w:t>
      </w:r>
      <w:r>
        <w:rPr>
          <w:rFonts w:ascii="Times New Roman" w:eastAsia="宋体" w:hAnsi="Times New Roman"/>
          <w:sz w:val="20"/>
          <w:szCs w:val="20"/>
        </w:rPr>
        <w:t>teria for hedge accounting, or contracts for which the Company has not elected hedge accounting, are recorded at fair value with unrealized gains or losses reported in earnings. Derivatives with an unrealized gain are recorded in the Company's Consolidated</w:t>
      </w:r>
      <w:r>
        <w:rPr>
          <w:rFonts w:ascii="Times New Roman" w:eastAsia="宋体" w:hAnsi="Times New Roman"/>
          <w:sz w:val="20"/>
          <w:szCs w:val="20"/>
        </w:rPr>
        <w:t xml:space="preserve"> Balance Sheets as either current or non-current assets, based on maturity date, and derivatives with an unrealized loss are recorded as either current or non-current liabilities, based on maturity date. Refer to </w:t>
      </w:r>
      <w:hyperlink r:id="rId128" w:anchor="s54AFDC767FDC5DEDB7B7C4E87D6EC733" w:history="1">
        <w:r>
          <w:rPr>
            <w:rStyle w:val="a5"/>
            <w:rFonts w:ascii="Times New Roman" w:eastAsia="宋体" w:hAnsi="Times New Roman"/>
            <w:sz w:val="20"/>
            <w:szCs w:val="20"/>
          </w:rPr>
          <w:t>Note 8</w:t>
        </w:r>
      </w:hyperlink>
      <w:r>
        <w:rPr>
          <w:rFonts w:ascii="Times New Roman" w:eastAsia="宋体" w:hAnsi="Times New Roman"/>
          <w:sz w:val="20"/>
          <w:szCs w:val="20"/>
        </w:rPr>
        <w:t xml:space="preserve"> for the presentation of the Company's derivative assets and liabilities. </w:t>
      </w:r>
    </w:p>
    <w:p w14:paraId="42A12B66"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Fair Value Hedges</w:t>
      </w:r>
    </w:p>
    <w:p w14:paraId="42A12B6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is a party to receive fixed-rat</w:t>
      </w:r>
      <w:r>
        <w:rPr>
          <w:rFonts w:ascii="Times New Roman" w:eastAsia="宋体" w:hAnsi="Times New Roman"/>
          <w:sz w:val="20"/>
          <w:szCs w:val="20"/>
        </w:rPr>
        <w:t>e, pay variable-rate interest rate swaps that the Company uses to hedge the fair value of fixed-rate debt. All interest rate swaps designated as fair value hedges of the related long-term debt meet the shortcut method requirements under U.S. GAAP. Accordin</w:t>
      </w:r>
      <w:r>
        <w:rPr>
          <w:rFonts w:ascii="Times New Roman" w:eastAsia="宋体" w:hAnsi="Times New Roman"/>
          <w:sz w:val="20"/>
          <w:szCs w:val="20"/>
        </w:rPr>
        <w:t>gly, changes in the fair values of these interest rate swaps are considered to exactly offset changes in the fair value of the underlying long-term debt. These derivatives will mature on dates ranging from October 2020 to April 2024.</w:t>
      </w:r>
    </w:p>
    <w:p w14:paraId="42A12B68"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Cash Flow Hedges</w:t>
      </w:r>
    </w:p>
    <w:p w14:paraId="42A12B6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w:t>
      </w:r>
      <w:r>
        <w:rPr>
          <w:rFonts w:ascii="Times New Roman" w:eastAsia="宋体" w:hAnsi="Times New Roman"/>
          <w:sz w:val="20"/>
          <w:szCs w:val="20"/>
        </w:rPr>
        <w:t>ompany is a party to receive fixed-rate, pay fixed-rate cross currency interest rate swaps used to hedge the currency exposure associated with the forecasted payments of principal and interest of certain non-U.S. denominated debt. The Company records chang</w:t>
      </w:r>
      <w:r>
        <w:rPr>
          <w:rFonts w:ascii="Times New Roman" w:eastAsia="宋体" w:hAnsi="Times New Roman"/>
          <w:sz w:val="20"/>
          <w:szCs w:val="20"/>
        </w:rPr>
        <w:t xml:space="preserve">es in the fair value of these swaps in accumulated other comprehensive loss which is subsequently </w:t>
      </w:r>
    </w:p>
    <w:p w14:paraId="42A12B6A" w14:textId="77777777" w:rsidR="00BB68E1" w:rsidRDefault="00BB68E1">
      <w:pPr>
        <w:rPr>
          <w:rFonts w:ascii="Times New Roman" w:hAnsi="Times New Roman"/>
          <w:sz w:val="20"/>
          <w:szCs w:val="20"/>
        </w:rPr>
      </w:pPr>
    </w:p>
    <w:p w14:paraId="42A12B6B"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58</w:t>
      </w:r>
    </w:p>
    <w:p w14:paraId="42A12B6C" w14:textId="77777777" w:rsidR="00BB68E1" w:rsidRDefault="00BB68E1">
      <w:pPr>
        <w:spacing w:line="288" w:lineRule="auto"/>
        <w:jc w:val="center"/>
        <w:rPr>
          <w:rFonts w:ascii="Times New Roman" w:hAnsi="Times New Roman"/>
          <w:sz w:val="20"/>
          <w:szCs w:val="20"/>
        </w:rPr>
      </w:pPr>
    </w:p>
    <w:p w14:paraId="42A12B6D" w14:textId="77777777" w:rsidR="00BB68E1" w:rsidRDefault="005D2D5E">
      <w:r>
        <w:rPr>
          <w:rFonts w:ascii="Times New Roman" w:hAnsi="Times New Roman"/>
          <w:sz w:val="20"/>
          <w:szCs w:val="20"/>
        </w:rPr>
        <w:pict w14:anchorId="42A142B1">
          <v:rect id="_x0000_i1082" style="width:415.3pt;height:1.5pt" o:hralign="center" o:hrstd="t" o:hr="t" fillcolor="#a0a0a0" stroked="f"/>
        </w:pict>
      </w:r>
    </w:p>
    <w:p w14:paraId="42A12B6E" w14:textId="77777777" w:rsidR="00BB68E1" w:rsidRDefault="00BB68E1">
      <w:pPr>
        <w:spacing w:line="288" w:lineRule="auto"/>
        <w:rPr>
          <w:rFonts w:ascii="Times New Roman" w:hAnsi="Times New Roman"/>
          <w:sz w:val="20"/>
          <w:szCs w:val="20"/>
        </w:rPr>
      </w:pPr>
    </w:p>
    <w:p w14:paraId="42A12B6F" w14:textId="77777777" w:rsidR="00BB68E1" w:rsidRDefault="00BB68E1">
      <w:pPr>
        <w:rPr>
          <w:rFonts w:ascii="Times New Roman" w:hAnsi="Times New Roman"/>
          <w:sz w:val="20"/>
          <w:szCs w:val="20"/>
        </w:rPr>
      </w:pPr>
    </w:p>
    <w:p w14:paraId="42A12B7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reclassified into earnings in the period that the hedged forecasted transaction affects earnings. These derivatives will mature on dates ranging fro</w:t>
      </w:r>
      <w:r>
        <w:rPr>
          <w:rFonts w:ascii="Times New Roman" w:eastAsia="宋体" w:hAnsi="Times New Roman"/>
          <w:sz w:val="20"/>
          <w:szCs w:val="20"/>
        </w:rPr>
        <w:t>m April 2022 to March 2034.</w:t>
      </w:r>
    </w:p>
    <w:p w14:paraId="42A12B71"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Net Investment Hedges</w:t>
      </w:r>
    </w:p>
    <w:p w14:paraId="42A12B7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Company is a party to receive fixed-rate, pay fixed-rate cross currency interest rate swaps used to hedge the currency exposure associated with net investments of certain of its foreign operations. The </w:t>
      </w:r>
      <w:r>
        <w:rPr>
          <w:rFonts w:ascii="Times New Roman" w:eastAsia="宋体" w:hAnsi="Times New Roman"/>
          <w:sz w:val="20"/>
          <w:szCs w:val="20"/>
        </w:rPr>
        <w:t xml:space="preserve">Company records changes in fair value attributable to the hedged risk in accumulated other comprehensive loss. These derivatives will mature on dates ranging from July 2020 to February 2030. The Company also designated certain foreign currency denominated </w:t>
      </w:r>
      <w:r>
        <w:rPr>
          <w:rFonts w:ascii="Times New Roman" w:eastAsia="宋体" w:hAnsi="Times New Roman"/>
          <w:sz w:val="20"/>
          <w:szCs w:val="20"/>
        </w:rPr>
        <w:t>long-term debt as a hedge of currency exposure associated with the net investment of these operations. The Company records foreign currency gain or loss associated with designated long-term debt in accumulated other comprehensive loss. As of January 31, 20</w:t>
      </w:r>
      <w:r>
        <w:rPr>
          <w:rFonts w:ascii="Times New Roman" w:eastAsia="宋体" w:hAnsi="Times New Roman"/>
          <w:sz w:val="20"/>
          <w:szCs w:val="20"/>
        </w:rPr>
        <w:t xml:space="preserve">20 and 2019, the Company had $3.9 billion, respectively, of outstanding long-term debt designated as net investment hedges. </w:t>
      </w:r>
    </w:p>
    <w:p w14:paraId="42A12B7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These derivative and non-derivative gains or losses continue to defer in accumulated other comprehensive loss until the sale or sub</w:t>
      </w:r>
      <w:r>
        <w:rPr>
          <w:rFonts w:ascii="Times New Roman" w:eastAsia="宋体" w:hAnsi="Times New Roman"/>
          <w:sz w:val="20"/>
          <w:szCs w:val="20"/>
        </w:rPr>
        <w:t>stantial liquidation of these foreign operations.</w:t>
      </w:r>
    </w:p>
    <w:p w14:paraId="42A12B74"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Income Taxes</w:t>
      </w:r>
    </w:p>
    <w:p w14:paraId="42A12B75"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Income taxes are accounted for under the balance sheet method. Deferred tax assets and liabilities are recognized for the estimated future tax consequences attributable to differences between t</w:t>
      </w:r>
      <w:r>
        <w:rPr>
          <w:rFonts w:ascii="Times New Roman" w:eastAsia="宋体" w:hAnsi="Times New Roman"/>
          <w:sz w:val="20"/>
          <w:szCs w:val="20"/>
        </w:rPr>
        <w:t>he financial statement carrying amounts of existing assets and liabilities and their respective tax bases ("temporary differences"). Deferred tax assets and liabilities are measured using enacted tax rates in effect for the year in which those temporary di</w:t>
      </w:r>
      <w:r>
        <w:rPr>
          <w:rFonts w:ascii="Times New Roman" w:eastAsia="宋体" w:hAnsi="Times New Roman"/>
          <w:sz w:val="20"/>
          <w:szCs w:val="20"/>
        </w:rPr>
        <w:t>fferences are expected to be recovered or settled. The effect on deferred tax assets and liabilities of a change in tax rate is recognized in income in the period that includes the enactment date.</w:t>
      </w:r>
    </w:p>
    <w:p w14:paraId="42A12B7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Deferred tax assets are evaluated for future </w:t>
      </w:r>
      <w:r>
        <w:rPr>
          <w:rFonts w:ascii="Times New Roman" w:eastAsia="宋体" w:hAnsi="Times New Roman"/>
          <w:sz w:val="20"/>
          <w:szCs w:val="20"/>
        </w:rPr>
        <w:t>realization and reduced by a valuation allowance to the extent that a portion is not more likely than not to be realized. Many factors are considered when assessing whether it is more likely than not that the deferred tax assets will be realized, including</w:t>
      </w:r>
      <w:r>
        <w:rPr>
          <w:rFonts w:ascii="Times New Roman" w:eastAsia="宋体" w:hAnsi="Times New Roman"/>
          <w:sz w:val="20"/>
          <w:szCs w:val="20"/>
        </w:rPr>
        <w:t xml:space="preserve"> recent cumulative earnings, expectations of future taxable income, carryforward periods, and other relevant quantitative and qualitative factors. The recoverability of the deferred tax assets is evaluated by assessing the adequacy of future expected taxab</w:t>
      </w:r>
      <w:r>
        <w:rPr>
          <w:rFonts w:ascii="Times New Roman" w:eastAsia="宋体" w:hAnsi="Times New Roman"/>
          <w:sz w:val="20"/>
          <w:szCs w:val="20"/>
        </w:rPr>
        <w:t>le income from all sources, including reversal of taxable temporary differences, forecasted operating earnings and available tax planning strategies. These sources of income rely on estimates.</w:t>
      </w:r>
    </w:p>
    <w:p w14:paraId="42A12B7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Tax Cuts and Jobs Act contains a provision which subjects a</w:t>
      </w:r>
      <w:r>
        <w:rPr>
          <w:rFonts w:ascii="Times New Roman" w:eastAsia="宋体" w:hAnsi="Times New Roman"/>
          <w:sz w:val="20"/>
          <w:szCs w:val="20"/>
        </w:rPr>
        <w:t xml:space="preserve"> U.S. parent of a foreign subsidiary to current U.S. tax on its global intangible low–taxed income (“GILTI”). The GILTI income is eligible for a deduction, which lowers the effective tax rate to 10.5% for calendar years 2018 through 2025 and 13.125% after </w:t>
      </w:r>
      <w:r>
        <w:rPr>
          <w:rFonts w:ascii="Times New Roman" w:eastAsia="宋体" w:hAnsi="Times New Roman"/>
          <w:sz w:val="20"/>
          <w:szCs w:val="20"/>
        </w:rPr>
        <w:t>2025. The Company will report the tax impact of GILTI as a period cost when incurred. Accordingly, the Company is not providing deferred taxes for basis differences expected to reverse as GILTI.</w:t>
      </w:r>
    </w:p>
    <w:p w14:paraId="42A12B7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determining the provision for income taxes, an annual effe</w:t>
      </w:r>
      <w:r>
        <w:rPr>
          <w:rFonts w:ascii="Times New Roman" w:eastAsia="宋体" w:hAnsi="Times New Roman"/>
          <w:sz w:val="20"/>
          <w:szCs w:val="20"/>
        </w:rPr>
        <w:t>ctive income tax rate is used based on annual income, permanent differences between book and tax income, and statutory income tax rates. Discrete events such as audit settlements or changes in tax laws are recognized in the period in which they occur.</w:t>
      </w:r>
    </w:p>
    <w:p w14:paraId="42A12B7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w:t>
      </w:r>
      <w:r>
        <w:rPr>
          <w:rFonts w:ascii="Times New Roman" w:eastAsia="宋体" w:hAnsi="Times New Roman"/>
          <w:sz w:val="20"/>
          <w:szCs w:val="20"/>
        </w:rPr>
        <w:t>Company records a liability for unrecognized tax benefits resulting from uncertain tax positions taken or expected to be taken in a tax return. The Company records interest and penalties related to unrecognized tax benefits in interest expense and operatin</w:t>
      </w:r>
      <w:r>
        <w:rPr>
          <w:rFonts w:ascii="Times New Roman" w:eastAsia="宋体" w:hAnsi="Times New Roman"/>
          <w:sz w:val="20"/>
          <w:szCs w:val="20"/>
        </w:rPr>
        <w:t xml:space="preserve">g, selling, general and administrative expenses, respectively, in the Company's Consolidated Statements of Income. Refer to </w:t>
      </w:r>
      <w:hyperlink r:id="rId129" w:anchor="s1440EE560A4A5965A0100B48A4AE13ED" w:history="1">
        <w:r>
          <w:rPr>
            <w:rStyle w:val="a5"/>
            <w:rFonts w:ascii="Times New Roman" w:eastAsia="宋体" w:hAnsi="Times New Roman"/>
            <w:sz w:val="20"/>
            <w:szCs w:val="20"/>
          </w:rPr>
          <w:t>Note 9</w:t>
        </w:r>
      </w:hyperlink>
      <w:r>
        <w:rPr>
          <w:rFonts w:ascii="Times New Roman" w:eastAsia="宋体" w:hAnsi="Times New Roman"/>
          <w:sz w:val="20"/>
          <w:szCs w:val="20"/>
        </w:rPr>
        <w:t xml:space="preserve"> for additional income tax disclosures.</w:t>
      </w:r>
    </w:p>
    <w:p w14:paraId="42A12B7A"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Revenue Recognition</w:t>
      </w:r>
      <w:r>
        <w:rPr>
          <w:rFonts w:ascii="Times New Roman" w:eastAsia="宋体" w:hAnsi="Times New Roman"/>
          <w:i/>
          <w:iCs/>
          <w:sz w:val="20"/>
          <w:szCs w:val="20"/>
        </w:rPr>
        <w:t>    </w:t>
      </w:r>
    </w:p>
    <w:p w14:paraId="42A12B7B"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Net Sales</w:t>
      </w:r>
    </w:p>
    <w:p w14:paraId="42A12B7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Company recognizes sales revenue, net of sales taxes and estimated sales returns, at the time it sells merchandise or services to the </w:t>
      </w:r>
      <w:r>
        <w:rPr>
          <w:rFonts w:ascii="Times New Roman" w:eastAsia="宋体" w:hAnsi="Times New Roman"/>
          <w:sz w:val="20"/>
          <w:szCs w:val="20"/>
        </w:rPr>
        <w:t>customer. eCommerce sales include shipping revenue and are recorded upon delivery to the customer. Estimated sales returns are calculated based on expected returns.</w:t>
      </w:r>
    </w:p>
    <w:p w14:paraId="42A12B7D"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Membership Fee Revenue</w:t>
      </w:r>
    </w:p>
    <w:p w14:paraId="42A12B7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recognizes membership fee revenue both in the U.S. and i</w:t>
      </w:r>
      <w:r>
        <w:rPr>
          <w:rFonts w:ascii="Times New Roman" w:eastAsia="宋体" w:hAnsi="Times New Roman"/>
          <w:sz w:val="20"/>
          <w:szCs w:val="20"/>
        </w:rPr>
        <w:t>nternationally over the term of the membership, which is typically 12 months. Membership fee revenue was $1.5 billion for fiscal 2020 and $1.4 billion for each of fiscal 2019 and 2018, respectively. Membership fee revenue is included in membership and othe</w:t>
      </w:r>
      <w:r>
        <w:rPr>
          <w:rFonts w:ascii="Times New Roman" w:eastAsia="宋体" w:hAnsi="Times New Roman"/>
          <w:sz w:val="20"/>
          <w:szCs w:val="20"/>
        </w:rPr>
        <w:t>r income in the Company's Consolidated Statements of Income. Deferred membership fee revenue is included in accrued liabilities in the Company's Consolidated Balance Sheets.</w:t>
      </w:r>
    </w:p>
    <w:p w14:paraId="42A12B7F"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Gift Cards</w:t>
      </w:r>
    </w:p>
    <w:p w14:paraId="42A12B8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Customer purchases of gift cards are not recognized as sales until the </w:t>
      </w:r>
      <w:r>
        <w:rPr>
          <w:rFonts w:ascii="Times New Roman" w:eastAsia="宋体" w:hAnsi="Times New Roman"/>
          <w:sz w:val="20"/>
          <w:szCs w:val="20"/>
        </w:rPr>
        <w:t xml:space="preserve">card is redeemed and the customer purchases merchandise using the gift card. Gift cards in the U.S. and some countries do not carry an expiration date; therefore, customers and members </w:t>
      </w:r>
    </w:p>
    <w:p w14:paraId="42A12B81" w14:textId="77777777" w:rsidR="00BB68E1" w:rsidRDefault="00BB68E1">
      <w:pPr>
        <w:rPr>
          <w:rFonts w:ascii="Times New Roman" w:hAnsi="Times New Roman"/>
          <w:sz w:val="20"/>
          <w:szCs w:val="20"/>
        </w:rPr>
      </w:pPr>
    </w:p>
    <w:p w14:paraId="42A12B82"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59</w:t>
      </w:r>
    </w:p>
    <w:p w14:paraId="42A12B83" w14:textId="77777777" w:rsidR="00BB68E1" w:rsidRDefault="00BB68E1">
      <w:pPr>
        <w:spacing w:line="288" w:lineRule="auto"/>
        <w:jc w:val="center"/>
        <w:rPr>
          <w:rFonts w:ascii="Times New Roman" w:hAnsi="Times New Roman"/>
          <w:sz w:val="20"/>
          <w:szCs w:val="20"/>
        </w:rPr>
      </w:pPr>
    </w:p>
    <w:p w14:paraId="42A12B84" w14:textId="77777777" w:rsidR="00BB68E1" w:rsidRDefault="005D2D5E">
      <w:r>
        <w:rPr>
          <w:rFonts w:ascii="Times New Roman" w:hAnsi="Times New Roman"/>
          <w:sz w:val="20"/>
          <w:szCs w:val="20"/>
        </w:rPr>
        <w:lastRenderedPageBreak/>
        <w:pict w14:anchorId="42A142B2">
          <v:rect id="_x0000_i1083" style="width:415.3pt;height:1.5pt" o:hralign="center" o:hrstd="t" o:hr="t" fillcolor="#a0a0a0" stroked="f"/>
        </w:pict>
      </w:r>
    </w:p>
    <w:p w14:paraId="42A12B85" w14:textId="77777777" w:rsidR="00BB68E1" w:rsidRDefault="00BB68E1">
      <w:pPr>
        <w:spacing w:line="288" w:lineRule="auto"/>
        <w:rPr>
          <w:rFonts w:ascii="Times New Roman" w:hAnsi="Times New Roman"/>
          <w:sz w:val="20"/>
          <w:szCs w:val="20"/>
        </w:rPr>
      </w:pPr>
    </w:p>
    <w:p w14:paraId="42A12B86" w14:textId="77777777" w:rsidR="00BB68E1" w:rsidRDefault="00BB68E1">
      <w:pPr>
        <w:rPr>
          <w:rFonts w:ascii="Times New Roman" w:hAnsi="Times New Roman"/>
          <w:sz w:val="20"/>
          <w:szCs w:val="20"/>
        </w:rPr>
      </w:pPr>
    </w:p>
    <w:p w14:paraId="42A12B8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can redeem their gift cards for merchandise and services inde</w:t>
      </w:r>
      <w:r>
        <w:rPr>
          <w:rFonts w:ascii="Times New Roman" w:eastAsia="宋体" w:hAnsi="Times New Roman"/>
          <w:sz w:val="20"/>
          <w:szCs w:val="20"/>
        </w:rPr>
        <w:t>finitely. Gift cards in some countries where the Company does business have expiration dates. While gift cards are generally redeemed within 12 months, a certain number of gift cards, both with and without expiration dates, will not be fully redeemed. Mana</w:t>
      </w:r>
      <w:r>
        <w:rPr>
          <w:rFonts w:ascii="Times New Roman" w:eastAsia="宋体" w:hAnsi="Times New Roman"/>
          <w:sz w:val="20"/>
          <w:szCs w:val="20"/>
        </w:rPr>
        <w:t xml:space="preserve">gement estimates unredeemed balances and recognizes revenue for these amounts in membership and other income in the Company's Consolidated Statements of Income over the expected redemption period. </w:t>
      </w:r>
    </w:p>
    <w:p w14:paraId="42A12B88"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Financial and Other Services</w:t>
      </w:r>
    </w:p>
    <w:p w14:paraId="42A12B8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recognizes revenu</w:t>
      </w:r>
      <w:r>
        <w:rPr>
          <w:rFonts w:ascii="Times New Roman" w:eastAsia="宋体" w:hAnsi="Times New Roman"/>
          <w:sz w:val="20"/>
          <w:szCs w:val="20"/>
        </w:rPr>
        <w:t>e from service transactions at the time the service is performed. Generally, revenue from services is classified as a component of net sales in the Company's Consolidated Statements of Income.</w:t>
      </w:r>
    </w:p>
    <w:p w14:paraId="42A12B8A"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Cost of Sales</w:t>
      </w:r>
    </w:p>
    <w:p w14:paraId="42A12B8B"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Cost of sales includes actual product cost, the c</w:t>
      </w:r>
      <w:r>
        <w:rPr>
          <w:rFonts w:ascii="Times New Roman" w:eastAsia="宋体" w:hAnsi="Times New Roman"/>
          <w:sz w:val="20"/>
          <w:szCs w:val="20"/>
        </w:rPr>
        <w:t>ost of transportation to the Company's distribution facilities, stores and clubs from suppliers, the cost of transportation from the Company's distribution facilities to the stores, clubs and customers and the cost of warehousing for the Sam's Club segment</w:t>
      </w:r>
      <w:r>
        <w:rPr>
          <w:rFonts w:ascii="Times New Roman" w:eastAsia="宋体" w:hAnsi="Times New Roman"/>
          <w:sz w:val="20"/>
          <w:szCs w:val="20"/>
        </w:rPr>
        <w:t xml:space="preserve"> and import distribution centers. Cost of sales is reduced by supplier payments that are not a reimbursement of specific, incremental and identifiable costs.</w:t>
      </w:r>
    </w:p>
    <w:p w14:paraId="42A12B8C"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Payments from Suppliers</w:t>
      </w:r>
    </w:p>
    <w:p w14:paraId="42A12B8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receives consideration from suppliers for various programs, pr</w:t>
      </w:r>
      <w:r>
        <w:rPr>
          <w:rFonts w:ascii="Times New Roman" w:eastAsia="宋体" w:hAnsi="Times New Roman"/>
          <w:sz w:val="20"/>
          <w:szCs w:val="20"/>
        </w:rPr>
        <w:t xml:space="preserve">imarily volume incentives, warehouse allowances and reimbursements for specific programs such as markdowns, margin protection, advertising and supplier-specific fixtures. Payments from suppliers are accounted for as a reduction of cost of sales, except in </w:t>
      </w:r>
      <w:r>
        <w:rPr>
          <w:rFonts w:ascii="Times New Roman" w:eastAsia="宋体" w:hAnsi="Times New Roman"/>
          <w:sz w:val="20"/>
          <w:szCs w:val="20"/>
        </w:rPr>
        <w:t>certain limited situations when the payment is a reimbursement of specific, incremental and identifiable costs, and are recognized in the Company's Consolidated Statements of Income when the related inventory is sold.</w:t>
      </w:r>
    </w:p>
    <w:p w14:paraId="42A12B8E"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Operating, Selling, General and Admini</w:t>
      </w:r>
      <w:r>
        <w:rPr>
          <w:rFonts w:ascii="Times New Roman" w:eastAsia="宋体" w:hAnsi="Times New Roman"/>
          <w:b/>
          <w:bCs/>
          <w:i/>
          <w:iCs/>
          <w:sz w:val="20"/>
          <w:szCs w:val="20"/>
        </w:rPr>
        <w:t>strative Expenses</w:t>
      </w:r>
    </w:p>
    <w:p w14:paraId="42A12B8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Operating, selling, general and administrative expenses include all operating costs of the Company, except cost of sales, as described above. As a result, the majority of the cost of warehousing and occupancy for the Walmart U.S. and Walm</w:t>
      </w:r>
      <w:r>
        <w:rPr>
          <w:rFonts w:ascii="Times New Roman" w:eastAsia="宋体" w:hAnsi="Times New Roman"/>
          <w:sz w:val="20"/>
          <w:szCs w:val="20"/>
        </w:rPr>
        <w:t>art International segments' distribution facilities is included in operating, selling, general and administrative expenses. Because the Company only includes a portion of the cost of its Walmart U.S. and Walmart International segments' distribution facilit</w:t>
      </w:r>
      <w:r>
        <w:rPr>
          <w:rFonts w:ascii="Times New Roman" w:eastAsia="宋体" w:hAnsi="Times New Roman"/>
          <w:sz w:val="20"/>
          <w:szCs w:val="20"/>
        </w:rPr>
        <w:t>ies in cost of sales, its gross profit and gross profit as a percentage of net sales may not be comparable to those of other retailers that may include all costs related to their distribution facilities in cost of sales and in the calculation of gross prof</w:t>
      </w:r>
      <w:r>
        <w:rPr>
          <w:rFonts w:ascii="Times New Roman" w:eastAsia="宋体" w:hAnsi="Times New Roman"/>
          <w:sz w:val="20"/>
          <w:szCs w:val="20"/>
        </w:rPr>
        <w:t>it.</w:t>
      </w:r>
    </w:p>
    <w:p w14:paraId="42A12B90"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Advertising Costs</w:t>
      </w:r>
    </w:p>
    <w:p w14:paraId="42A12B9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Advertising costs are expensed as incurred, consist primarily of print, television and digital advertisements and are recorded in operating, selling, general and administrative expenses in the Company's Consolidated Statements of Inco</w:t>
      </w:r>
      <w:r>
        <w:rPr>
          <w:rFonts w:ascii="Times New Roman" w:eastAsia="宋体" w:hAnsi="Times New Roman"/>
          <w:sz w:val="20"/>
          <w:szCs w:val="20"/>
        </w:rPr>
        <w:t>me. In certain limited situations, reimbursements from suppliers that are for specific, incremental and identifiable advertising costs are recognized as a reduction of advertising costs in operating, selling, general and administrative expenses. Advertisin</w:t>
      </w:r>
      <w:r>
        <w:rPr>
          <w:rFonts w:ascii="Times New Roman" w:eastAsia="宋体" w:hAnsi="Times New Roman"/>
          <w:sz w:val="20"/>
          <w:szCs w:val="20"/>
        </w:rPr>
        <w:t>g costs were $3.7 billion, $3.5 billion and $3.1 billion for fiscal 2020, 2019 and 2018, respectively.</w:t>
      </w:r>
    </w:p>
    <w:p w14:paraId="42A12B92"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Currency Translation</w:t>
      </w:r>
    </w:p>
    <w:p w14:paraId="42A12B9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assets and liabilities of all international subsidiaries are translated from the respective local currency to the U.S. </w:t>
      </w:r>
      <w:r>
        <w:rPr>
          <w:rFonts w:ascii="Times New Roman" w:eastAsia="宋体" w:hAnsi="Times New Roman"/>
          <w:sz w:val="20"/>
          <w:szCs w:val="20"/>
        </w:rPr>
        <w:t>dollar using exchange rates at the balance sheet date. Related translation adjustments are recorded as a component of accumulated other comprehensive loss. The Company's Consolidated Statements of Income of all international subsidiaries are translated fro</w:t>
      </w:r>
      <w:r>
        <w:rPr>
          <w:rFonts w:ascii="Times New Roman" w:eastAsia="宋体" w:hAnsi="Times New Roman"/>
          <w:sz w:val="20"/>
          <w:szCs w:val="20"/>
        </w:rPr>
        <w:t>m the respective local currencies to the U.S. dollar using average exchange rates for the period covered by the income statements.</w:t>
      </w:r>
    </w:p>
    <w:p w14:paraId="42A12B94"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Recent Accounting Pronouncements</w:t>
      </w:r>
    </w:p>
    <w:p w14:paraId="42A12B95"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lastRenderedPageBreak/>
        <w:t>Financial Instruments</w:t>
      </w:r>
    </w:p>
    <w:p w14:paraId="42A12B9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June 2016, the FASB issued ASU 2016-13, </w:t>
      </w:r>
      <w:r>
        <w:rPr>
          <w:rFonts w:ascii="Times New Roman" w:eastAsia="宋体" w:hAnsi="Times New Roman"/>
          <w:i/>
          <w:iCs/>
          <w:sz w:val="20"/>
          <w:szCs w:val="20"/>
        </w:rPr>
        <w:t>Financial Instruments–Credi</w:t>
      </w:r>
      <w:r>
        <w:rPr>
          <w:rFonts w:ascii="Times New Roman" w:eastAsia="宋体" w:hAnsi="Times New Roman"/>
          <w:i/>
          <w:iCs/>
          <w:sz w:val="20"/>
          <w:szCs w:val="20"/>
        </w:rPr>
        <w:t>t Losses (Topic 326)</w:t>
      </w:r>
      <w:r>
        <w:rPr>
          <w:rFonts w:ascii="Times New Roman" w:eastAsia="宋体" w:hAnsi="Times New Roman"/>
          <w:sz w:val="20"/>
          <w:szCs w:val="20"/>
        </w:rPr>
        <w:t>, which modifies the measurement of expected credit losses of certain financial instruments. The Company adopted this ASU on February 1, 2020 with no material impact to the Company's Consolidated Financial Statements.</w:t>
      </w:r>
    </w:p>
    <w:p w14:paraId="42A12B97"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Note 2. Net Income</w:t>
      </w:r>
      <w:r>
        <w:rPr>
          <w:rFonts w:ascii="Times New Roman" w:eastAsia="宋体" w:hAnsi="Times New Roman"/>
          <w:b/>
          <w:bCs/>
          <w:sz w:val="20"/>
          <w:szCs w:val="20"/>
        </w:rPr>
        <w:t xml:space="preserve"> Per Common Share</w:t>
      </w:r>
    </w:p>
    <w:p w14:paraId="42A12B9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Basic net income per common share attributable to Walmart is based on the weighted-average common shares outstanding during the relevant period. Diluted net income per common share attributable to Walmart is based on the weighted-average </w:t>
      </w:r>
      <w:r>
        <w:rPr>
          <w:rFonts w:ascii="Times New Roman" w:eastAsia="宋体" w:hAnsi="Times New Roman"/>
          <w:sz w:val="20"/>
          <w:szCs w:val="20"/>
        </w:rPr>
        <w:t>common shares outstanding during the relevant period adjusted for the dilutive effect of share-based awards. The Company did not have significant share-based awards outstanding that were antidilutive and not included in the calculation of diluted net incom</w:t>
      </w:r>
      <w:r>
        <w:rPr>
          <w:rFonts w:ascii="Times New Roman" w:eastAsia="宋体" w:hAnsi="Times New Roman"/>
          <w:sz w:val="20"/>
          <w:szCs w:val="20"/>
        </w:rPr>
        <w:t>e per common share attributable to Walmart for fiscal 2020, 2019 and 2018.</w:t>
      </w:r>
    </w:p>
    <w:p w14:paraId="42A12B99" w14:textId="77777777" w:rsidR="00BB68E1" w:rsidRDefault="00BB68E1">
      <w:pPr>
        <w:rPr>
          <w:rFonts w:ascii="Times New Roman" w:hAnsi="Times New Roman"/>
          <w:sz w:val="20"/>
          <w:szCs w:val="20"/>
        </w:rPr>
      </w:pPr>
    </w:p>
    <w:p w14:paraId="42A12B9A"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60</w:t>
      </w:r>
    </w:p>
    <w:p w14:paraId="42A12B9B" w14:textId="77777777" w:rsidR="00BB68E1" w:rsidRDefault="00BB68E1">
      <w:pPr>
        <w:spacing w:line="288" w:lineRule="auto"/>
        <w:jc w:val="center"/>
        <w:rPr>
          <w:rFonts w:ascii="Times New Roman" w:hAnsi="Times New Roman"/>
          <w:sz w:val="20"/>
          <w:szCs w:val="20"/>
        </w:rPr>
      </w:pPr>
    </w:p>
    <w:p w14:paraId="42A12B9C" w14:textId="77777777" w:rsidR="00BB68E1" w:rsidRDefault="005D2D5E">
      <w:r>
        <w:rPr>
          <w:rFonts w:ascii="Times New Roman" w:hAnsi="Times New Roman"/>
          <w:sz w:val="20"/>
          <w:szCs w:val="20"/>
        </w:rPr>
        <w:pict w14:anchorId="42A142B3">
          <v:rect id="_x0000_i1084" style="width:415.3pt;height:1.5pt" o:hralign="center" o:hrstd="t" o:hr="t" fillcolor="#a0a0a0" stroked="f"/>
        </w:pict>
      </w:r>
    </w:p>
    <w:p w14:paraId="42A12B9D" w14:textId="77777777" w:rsidR="00BB68E1" w:rsidRDefault="00BB68E1">
      <w:pPr>
        <w:spacing w:line="288" w:lineRule="auto"/>
        <w:rPr>
          <w:rFonts w:ascii="Times New Roman" w:hAnsi="Times New Roman"/>
          <w:sz w:val="20"/>
          <w:szCs w:val="20"/>
        </w:rPr>
      </w:pPr>
    </w:p>
    <w:p w14:paraId="42A12B9E" w14:textId="77777777" w:rsidR="00BB68E1" w:rsidRDefault="00BB68E1">
      <w:pPr>
        <w:rPr>
          <w:rFonts w:ascii="Times New Roman" w:hAnsi="Times New Roman"/>
          <w:sz w:val="20"/>
          <w:szCs w:val="20"/>
        </w:rPr>
      </w:pPr>
    </w:p>
    <w:p w14:paraId="42A12B9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following table provides a reconciliation of the numerators and denominators used to determine basic and diluted net income per common share attributable to Walmart:</w:t>
      </w:r>
    </w:p>
    <w:tbl>
      <w:tblPr>
        <w:tblW w:w="4990" w:type="pct"/>
        <w:jc w:val="center"/>
        <w:tblCellMar>
          <w:left w:w="0" w:type="dxa"/>
          <w:right w:w="0" w:type="dxa"/>
        </w:tblCellMar>
        <w:tblLook w:val="04A0" w:firstRow="1" w:lastRow="0" w:firstColumn="1" w:lastColumn="0" w:noHBand="0" w:noVBand="1"/>
      </w:tblPr>
      <w:tblGrid>
        <w:gridCol w:w="4984"/>
        <w:gridCol w:w="130"/>
        <w:gridCol w:w="120"/>
        <w:gridCol w:w="757"/>
        <w:gridCol w:w="94"/>
        <w:gridCol w:w="130"/>
        <w:gridCol w:w="120"/>
        <w:gridCol w:w="758"/>
        <w:gridCol w:w="94"/>
        <w:gridCol w:w="130"/>
        <w:gridCol w:w="120"/>
        <w:gridCol w:w="758"/>
        <w:gridCol w:w="94"/>
      </w:tblGrid>
      <w:tr w:rsidR="00BB68E1" w14:paraId="42A12BA1" w14:textId="77777777">
        <w:trPr>
          <w:jc w:val="center"/>
        </w:trPr>
        <w:tc>
          <w:tcPr>
            <w:tcW w:w="0" w:type="auto"/>
            <w:gridSpan w:val="13"/>
            <w:shd w:val="clear" w:color="auto" w:fill="auto"/>
            <w:vAlign w:val="center"/>
          </w:tcPr>
          <w:p w14:paraId="42A12BA0" w14:textId="77777777" w:rsidR="00BB68E1" w:rsidRDefault="00BB68E1">
            <w:pPr>
              <w:rPr>
                <w:rFonts w:ascii="Times New Roman" w:hAnsi="Times New Roman"/>
                <w:sz w:val="20"/>
                <w:szCs w:val="20"/>
              </w:rPr>
            </w:pPr>
          </w:p>
        </w:tc>
      </w:tr>
      <w:tr w:rsidR="00BB68E1" w14:paraId="42A12BAF" w14:textId="77777777">
        <w:trPr>
          <w:jc w:val="center"/>
        </w:trPr>
        <w:tc>
          <w:tcPr>
            <w:tcW w:w="3050" w:type="pct"/>
            <w:shd w:val="clear" w:color="auto" w:fill="auto"/>
            <w:vAlign w:val="center"/>
          </w:tcPr>
          <w:p w14:paraId="42A12BA2" w14:textId="77777777" w:rsidR="00BB68E1" w:rsidRDefault="00BB68E1">
            <w:pPr>
              <w:rPr>
                <w:rFonts w:ascii="Times New Roman" w:hAnsi="Times New Roman"/>
                <w:sz w:val="20"/>
                <w:szCs w:val="20"/>
              </w:rPr>
            </w:pPr>
          </w:p>
        </w:tc>
        <w:tc>
          <w:tcPr>
            <w:tcW w:w="50" w:type="pct"/>
            <w:shd w:val="clear" w:color="auto" w:fill="auto"/>
            <w:vAlign w:val="center"/>
          </w:tcPr>
          <w:p w14:paraId="42A12BA3" w14:textId="77777777" w:rsidR="00BB68E1" w:rsidRDefault="00BB68E1">
            <w:pPr>
              <w:rPr>
                <w:rFonts w:ascii="Times New Roman" w:hAnsi="Times New Roman"/>
                <w:sz w:val="20"/>
                <w:szCs w:val="20"/>
              </w:rPr>
            </w:pPr>
          </w:p>
        </w:tc>
        <w:tc>
          <w:tcPr>
            <w:tcW w:w="50" w:type="pct"/>
            <w:shd w:val="clear" w:color="auto" w:fill="auto"/>
            <w:vAlign w:val="center"/>
          </w:tcPr>
          <w:p w14:paraId="42A12BA4" w14:textId="77777777" w:rsidR="00BB68E1" w:rsidRDefault="00BB68E1">
            <w:pPr>
              <w:rPr>
                <w:rFonts w:ascii="Times New Roman" w:hAnsi="Times New Roman"/>
                <w:sz w:val="20"/>
                <w:szCs w:val="20"/>
              </w:rPr>
            </w:pPr>
          </w:p>
        </w:tc>
        <w:tc>
          <w:tcPr>
            <w:tcW w:w="500" w:type="pct"/>
            <w:shd w:val="clear" w:color="auto" w:fill="auto"/>
            <w:vAlign w:val="center"/>
          </w:tcPr>
          <w:p w14:paraId="42A12BA5" w14:textId="77777777" w:rsidR="00BB68E1" w:rsidRDefault="00BB68E1">
            <w:pPr>
              <w:rPr>
                <w:rFonts w:ascii="Times New Roman" w:hAnsi="Times New Roman"/>
                <w:sz w:val="20"/>
                <w:szCs w:val="20"/>
              </w:rPr>
            </w:pPr>
          </w:p>
        </w:tc>
        <w:tc>
          <w:tcPr>
            <w:tcW w:w="50" w:type="pct"/>
            <w:shd w:val="clear" w:color="auto" w:fill="auto"/>
            <w:vAlign w:val="center"/>
          </w:tcPr>
          <w:p w14:paraId="42A12BA6" w14:textId="77777777" w:rsidR="00BB68E1" w:rsidRDefault="00BB68E1">
            <w:pPr>
              <w:rPr>
                <w:rFonts w:ascii="Times New Roman" w:hAnsi="Times New Roman"/>
                <w:sz w:val="20"/>
                <w:szCs w:val="20"/>
              </w:rPr>
            </w:pPr>
          </w:p>
        </w:tc>
        <w:tc>
          <w:tcPr>
            <w:tcW w:w="50" w:type="pct"/>
            <w:shd w:val="clear" w:color="auto" w:fill="auto"/>
            <w:vAlign w:val="center"/>
          </w:tcPr>
          <w:p w14:paraId="42A12BA7" w14:textId="77777777" w:rsidR="00BB68E1" w:rsidRDefault="00BB68E1">
            <w:pPr>
              <w:rPr>
                <w:rFonts w:ascii="Times New Roman" w:hAnsi="Times New Roman"/>
                <w:sz w:val="20"/>
                <w:szCs w:val="20"/>
              </w:rPr>
            </w:pPr>
          </w:p>
        </w:tc>
        <w:tc>
          <w:tcPr>
            <w:tcW w:w="50" w:type="pct"/>
            <w:shd w:val="clear" w:color="auto" w:fill="auto"/>
            <w:vAlign w:val="center"/>
          </w:tcPr>
          <w:p w14:paraId="42A12BA8" w14:textId="77777777" w:rsidR="00BB68E1" w:rsidRDefault="00BB68E1">
            <w:pPr>
              <w:rPr>
                <w:rFonts w:ascii="Times New Roman" w:hAnsi="Times New Roman"/>
                <w:sz w:val="20"/>
                <w:szCs w:val="20"/>
              </w:rPr>
            </w:pPr>
          </w:p>
        </w:tc>
        <w:tc>
          <w:tcPr>
            <w:tcW w:w="500" w:type="pct"/>
            <w:shd w:val="clear" w:color="auto" w:fill="auto"/>
            <w:vAlign w:val="center"/>
          </w:tcPr>
          <w:p w14:paraId="42A12BA9" w14:textId="77777777" w:rsidR="00BB68E1" w:rsidRDefault="00BB68E1">
            <w:pPr>
              <w:rPr>
                <w:rFonts w:ascii="Times New Roman" w:hAnsi="Times New Roman"/>
                <w:sz w:val="20"/>
                <w:szCs w:val="20"/>
              </w:rPr>
            </w:pPr>
          </w:p>
        </w:tc>
        <w:tc>
          <w:tcPr>
            <w:tcW w:w="50" w:type="pct"/>
            <w:shd w:val="clear" w:color="auto" w:fill="auto"/>
            <w:vAlign w:val="center"/>
          </w:tcPr>
          <w:p w14:paraId="42A12BAA" w14:textId="77777777" w:rsidR="00BB68E1" w:rsidRDefault="00BB68E1">
            <w:pPr>
              <w:rPr>
                <w:rFonts w:ascii="Times New Roman" w:hAnsi="Times New Roman"/>
                <w:sz w:val="20"/>
                <w:szCs w:val="20"/>
              </w:rPr>
            </w:pPr>
          </w:p>
        </w:tc>
        <w:tc>
          <w:tcPr>
            <w:tcW w:w="50" w:type="pct"/>
            <w:shd w:val="clear" w:color="auto" w:fill="auto"/>
            <w:vAlign w:val="center"/>
          </w:tcPr>
          <w:p w14:paraId="42A12BAB" w14:textId="77777777" w:rsidR="00BB68E1" w:rsidRDefault="00BB68E1">
            <w:pPr>
              <w:rPr>
                <w:rFonts w:ascii="Times New Roman" w:hAnsi="Times New Roman"/>
                <w:sz w:val="20"/>
                <w:szCs w:val="20"/>
              </w:rPr>
            </w:pPr>
          </w:p>
        </w:tc>
        <w:tc>
          <w:tcPr>
            <w:tcW w:w="50" w:type="pct"/>
            <w:shd w:val="clear" w:color="auto" w:fill="auto"/>
            <w:vAlign w:val="center"/>
          </w:tcPr>
          <w:p w14:paraId="42A12BAC" w14:textId="77777777" w:rsidR="00BB68E1" w:rsidRDefault="00BB68E1">
            <w:pPr>
              <w:rPr>
                <w:rFonts w:ascii="Times New Roman" w:hAnsi="Times New Roman"/>
                <w:sz w:val="20"/>
                <w:szCs w:val="20"/>
              </w:rPr>
            </w:pPr>
          </w:p>
        </w:tc>
        <w:tc>
          <w:tcPr>
            <w:tcW w:w="500" w:type="pct"/>
            <w:shd w:val="clear" w:color="auto" w:fill="auto"/>
            <w:vAlign w:val="center"/>
          </w:tcPr>
          <w:p w14:paraId="42A12BAD" w14:textId="77777777" w:rsidR="00BB68E1" w:rsidRDefault="00BB68E1">
            <w:pPr>
              <w:rPr>
                <w:rFonts w:ascii="Times New Roman" w:hAnsi="Times New Roman"/>
                <w:sz w:val="20"/>
                <w:szCs w:val="20"/>
              </w:rPr>
            </w:pPr>
          </w:p>
        </w:tc>
        <w:tc>
          <w:tcPr>
            <w:tcW w:w="50" w:type="pct"/>
            <w:shd w:val="clear" w:color="auto" w:fill="auto"/>
            <w:vAlign w:val="center"/>
          </w:tcPr>
          <w:p w14:paraId="42A12BAE" w14:textId="77777777" w:rsidR="00BB68E1" w:rsidRDefault="00BB68E1">
            <w:pPr>
              <w:rPr>
                <w:rFonts w:ascii="Times New Roman" w:hAnsi="Times New Roman"/>
                <w:sz w:val="20"/>
                <w:szCs w:val="20"/>
              </w:rPr>
            </w:pPr>
          </w:p>
        </w:tc>
      </w:tr>
      <w:tr w:rsidR="00BB68E1" w14:paraId="42A12BB3" w14:textId="77777777">
        <w:trPr>
          <w:jc w:val="center"/>
        </w:trPr>
        <w:tc>
          <w:tcPr>
            <w:tcW w:w="0" w:type="auto"/>
            <w:shd w:val="clear" w:color="auto" w:fill="auto"/>
            <w:tcMar>
              <w:top w:w="40" w:type="dxa"/>
              <w:left w:w="40" w:type="dxa"/>
              <w:bottom w:w="40" w:type="dxa"/>
              <w:right w:w="40" w:type="dxa"/>
            </w:tcMar>
            <w:vAlign w:val="bottom"/>
          </w:tcPr>
          <w:p w14:paraId="42A12BB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BB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2BB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2BBB" w14:textId="77777777">
        <w:trPr>
          <w:jc w:val="center"/>
        </w:trPr>
        <w:tc>
          <w:tcPr>
            <w:tcW w:w="0" w:type="auto"/>
            <w:shd w:val="clear" w:color="auto" w:fill="auto"/>
            <w:tcMar>
              <w:top w:w="40" w:type="dxa"/>
              <w:left w:w="40" w:type="dxa"/>
              <w:bottom w:w="40" w:type="dxa"/>
              <w:right w:w="40" w:type="dxa"/>
            </w:tcMar>
            <w:vAlign w:val="bottom"/>
          </w:tcPr>
          <w:p w14:paraId="42A12BB4"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 except per share data)</w:t>
            </w:r>
          </w:p>
        </w:tc>
        <w:tc>
          <w:tcPr>
            <w:tcW w:w="0" w:type="auto"/>
            <w:shd w:val="clear" w:color="auto" w:fill="auto"/>
            <w:tcMar>
              <w:top w:w="40" w:type="dxa"/>
              <w:left w:w="40" w:type="dxa"/>
              <w:bottom w:w="40" w:type="dxa"/>
              <w:right w:w="40" w:type="dxa"/>
            </w:tcMar>
            <w:vAlign w:val="bottom"/>
          </w:tcPr>
          <w:p w14:paraId="42A12BB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BB6"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2BB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BB8"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2BB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2BBA"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2BC3" w14:textId="77777777">
        <w:trPr>
          <w:jc w:val="center"/>
        </w:trPr>
        <w:tc>
          <w:tcPr>
            <w:tcW w:w="0" w:type="auto"/>
            <w:shd w:val="clear" w:color="auto" w:fill="CCEEFF"/>
            <w:tcMar>
              <w:top w:w="40" w:type="dxa"/>
              <w:left w:w="40" w:type="dxa"/>
              <w:bottom w:w="40" w:type="dxa"/>
              <w:right w:w="40" w:type="dxa"/>
            </w:tcMar>
            <w:vAlign w:val="center"/>
          </w:tcPr>
          <w:p w14:paraId="42A12BBC"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Numerator</w:t>
            </w:r>
          </w:p>
        </w:tc>
        <w:tc>
          <w:tcPr>
            <w:tcW w:w="0" w:type="auto"/>
            <w:shd w:val="clear" w:color="auto" w:fill="CCEEFF"/>
            <w:tcMar>
              <w:top w:w="40" w:type="dxa"/>
              <w:left w:w="40" w:type="dxa"/>
              <w:bottom w:w="40" w:type="dxa"/>
              <w:right w:w="40" w:type="dxa"/>
            </w:tcMar>
            <w:vAlign w:val="bottom"/>
          </w:tcPr>
          <w:p w14:paraId="42A12BB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42A12BB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B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B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BC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B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BD1" w14:textId="77777777">
        <w:trPr>
          <w:jc w:val="center"/>
        </w:trPr>
        <w:tc>
          <w:tcPr>
            <w:tcW w:w="0" w:type="auto"/>
            <w:shd w:val="clear" w:color="auto" w:fill="auto"/>
            <w:tcMar>
              <w:top w:w="40" w:type="dxa"/>
              <w:left w:w="560" w:type="dxa"/>
              <w:bottom w:w="40" w:type="dxa"/>
              <w:right w:w="40" w:type="dxa"/>
            </w:tcMar>
            <w:vAlign w:val="center"/>
          </w:tcPr>
          <w:p w14:paraId="42A12BC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Consolidated net income</w:t>
            </w:r>
          </w:p>
        </w:tc>
        <w:tc>
          <w:tcPr>
            <w:tcW w:w="0" w:type="auto"/>
            <w:shd w:val="clear" w:color="auto" w:fill="auto"/>
            <w:tcMar>
              <w:top w:w="40" w:type="dxa"/>
              <w:left w:w="40" w:type="dxa"/>
              <w:bottom w:w="40" w:type="dxa"/>
              <w:right w:w="40" w:type="dxa"/>
            </w:tcMar>
            <w:vAlign w:val="bottom"/>
          </w:tcPr>
          <w:p w14:paraId="42A12BC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2A12BC6"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bottom"/>
          </w:tcPr>
          <w:p w14:paraId="42A12BC7"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15,201</w:t>
            </w:r>
          </w:p>
        </w:tc>
        <w:tc>
          <w:tcPr>
            <w:tcW w:w="0" w:type="auto"/>
            <w:shd w:val="clear" w:color="auto" w:fill="auto"/>
            <w:vAlign w:val="bottom"/>
          </w:tcPr>
          <w:p w14:paraId="42A12BC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BC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2A12BCA"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bottom"/>
          </w:tcPr>
          <w:p w14:paraId="42A12BCB"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7,179</w:t>
            </w:r>
          </w:p>
        </w:tc>
        <w:tc>
          <w:tcPr>
            <w:tcW w:w="0" w:type="auto"/>
            <w:shd w:val="clear" w:color="auto" w:fill="auto"/>
            <w:vAlign w:val="bottom"/>
          </w:tcPr>
          <w:p w14:paraId="42A12BC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B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2A12BCE"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bottom"/>
          </w:tcPr>
          <w:p w14:paraId="42A12BCF"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10,523</w:t>
            </w:r>
          </w:p>
        </w:tc>
        <w:tc>
          <w:tcPr>
            <w:tcW w:w="0" w:type="auto"/>
            <w:shd w:val="clear" w:color="auto" w:fill="auto"/>
            <w:vAlign w:val="bottom"/>
          </w:tcPr>
          <w:p w14:paraId="42A12BD0" w14:textId="77777777" w:rsidR="00BB68E1" w:rsidRDefault="00BB68E1">
            <w:pPr>
              <w:textAlignment w:val="bottom"/>
              <w:rPr>
                <w:rFonts w:ascii="Times New Roman" w:hAnsi="Times New Roman"/>
                <w:sz w:val="20"/>
                <w:szCs w:val="20"/>
              </w:rPr>
            </w:pPr>
          </w:p>
        </w:tc>
      </w:tr>
      <w:tr w:rsidR="00BB68E1" w14:paraId="42A12BDC" w14:textId="77777777">
        <w:trPr>
          <w:jc w:val="center"/>
        </w:trPr>
        <w:tc>
          <w:tcPr>
            <w:tcW w:w="0" w:type="auto"/>
            <w:shd w:val="clear" w:color="auto" w:fill="CCEEFF"/>
            <w:tcMar>
              <w:top w:w="40" w:type="dxa"/>
              <w:left w:w="560" w:type="dxa"/>
              <w:bottom w:w="40" w:type="dxa"/>
              <w:right w:w="40" w:type="dxa"/>
            </w:tcMar>
            <w:vAlign w:val="center"/>
          </w:tcPr>
          <w:p w14:paraId="42A12BD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Consolidated net income attributable to </w:t>
            </w:r>
            <w:r>
              <w:rPr>
                <w:rFonts w:ascii="Times New Roman" w:eastAsia="宋体" w:hAnsi="Times New Roman"/>
                <w:sz w:val="16"/>
                <w:szCs w:val="16"/>
              </w:rPr>
              <w:t>noncontrolling interest</w:t>
            </w:r>
          </w:p>
        </w:tc>
        <w:tc>
          <w:tcPr>
            <w:tcW w:w="0" w:type="auto"/>
            <w:shd w:val="clear" w:color="auto" w:fill="CCEEFF"/>
            <w:tcMar>
              <w:top w:w="40" w:type="dxa"/>
              <w:left w:w="40" w:type="dxa"/>
              <w:bottom w:w="40" w:type="dxa"/>
              <w:right w:w="40" w:type="dxa"/>
            </w:tcMar>
            <w:vAlign w:val="bottom"/>
          </w:tcPr>
          <w:p w14:paraId="42A12B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BD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(320</w:t>
            </w:r>
          </w:p>
        </w:tc>
        <w:tc>
          <w:tcPr>
            <w:tcW w:w="0" w:type="auto"/>
            <w:tcBorders>
              <w:bottom w:val="single" w:sz="8" w:space="0" w:color="000000"/>
            </w:tcBorders>
            <w:shd w:val="clear" w:color="auto" w:fill="CCEEFF"/>
            <w:tcMar>
              <w:top w:w="40" w:type="dxa"/>
              <w:bottom w:w="40" w:type="dxa"/>
              <w:right w:w="40" w:type="dxa"/>
            </w:tcMar>
            <w:vAlign w:val="center"/>
          </w:tcPr>
          <w:p w14:paraId="42A12BD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B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BD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(509</w:t>
            </w:r>
          </w:p>
        </w:tc>
        <w:tc>
          <w:tcPr>
            <w:tcW w:w="0" w:type="auto"/>
            <w:tcBorders>
              <w:bottom w:val="single" w:sz="8" w:space="0" w:color="000000"/>
            </w:tcBorders>
            <w:shd w:val="clear" w:color="auto" w:fill="CCEEFF"/>
            <w:tcMar>
              <w:top w:w="40" w:type="dxa"/>
              <w:bottom w:w="40" w:type="dxa"/>
              <w:right w:w="40" w:type="dxa"/>
            </w:tcMar>
            <w:vAlign w:val="center"/>
          </w:tcPr>
          <w:p w14:paraId="42A12BD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BD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BD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(661</w:t>
            </w:r>
          </w:p>
        </w:tc>
        <w:tc>
          <w:tcPr>
            <w:tcW w:w="0" w:type="auto"/>
            <w:tcBorders>
              <w:bottom w:val="single" w:sz="8" w:space="0" w:color="000000"/>
            </w:tcBorders>
            <w:shd w:val="clear" w:color="auto" w:fill="CCEEFF"/>
            <w:tcMar>
              <w:top w:w="40" w:type="dxa"/>
              <w:bottom w:w="40" w:type="dxa"/>
              <w:right w:w="40" w:type="dxa"/>
            </w:tcMar>
            <w:vAlign w:val="center"/>
          </w:tcPr>
          <w:p w14:paraId="42A12BD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BEA" w14:textId="77777777">
        <w:trPr>
          <w:jc w:val="center"/>
        </w:trPr>
        <w:tc>
          <w:tcPr>
            <w:tcW w:w="0" w:type="auto"/>
            <w:shd w:val="clear" w:color="auto" w:fill="auto"/>
            <w:tcMar>
              <w:top w:w="40" w:type="dxa"/>
              <w:left w:w="560" w:type="dxa"/>
              <w:bottom w:w="40" w:type="dxa"/>
              <w:right w:w="40" w:type="dxa"/>
            </w:tcMar>
            <w:vAlign w:val="center"/>
          </w:tcPr>
          <w:p w14:paraId="42A12BD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Consolidated net income attributable to Walmart</w:t>
            </w:r>
          </w:p>
        </w:tc>
        <w:tc>
          <w:tcPr>
            <w:tcW w:w="0" w:type="auto"/>
            <w:shd w:val="clear" w:color="auto" w:fill="auto"/>
            <w:tcMar>
              <w:top w:w="40" w:type="dxa"/>
              <w:left w:w="40" w:type="dxa"/>
              <w:bottom w:w="40" w:type="dxa"/>
              <w:right w:w="40" w:type="dxa"/>
            </w:tcMar>
            <w:vAlign w:val="bottom"/>
          </w:tcPr>
          <w:p w14:paraId="42A12BD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42A12BD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auto"/>
            <w:tcMar>
              <w:top w:w="40" w:type="dxa"/>
              <w:bottom w:w="40" w:type="dxa"/>
            </w:tcMar>
            <w:vAlign w:val="bottom"/>
          </w:tcPr>
          <w:p w14:paraId="42A12BE0"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14,881</w:t>
            </w:r>
          </w:p>
        </w:tc>
        <w:tc>
          <w:tcPr>
            <w:tcW w:w="0" w:type="auto"/>
            <w:tcBorders>
              <w:top w:val="single" w:sz="8" w:space="0" w:color="000000"/>
            </w:tcBorders>
            <w:shd w:val="clear" w:color="auto" w:fill="auto"/>
            <w:vAlign w:val="bottom"/>
          </w:tcPr>
          <w:p w14:paraId="42A12BE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BE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42A12BE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auto"/>
            <w:tcMar>
              <w:top w:w="40" w:type="dxa"/>
              <w:bottom w:w="40" w:type="dxa"/>
            </w:tcMar>
            <w:vAlign w:val="bottom"/>
          </w:tcPr>
          <w:p w14:paraId="42A12BE4"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6,670</w:t>
            </w:r>
          </w:p>
        </w:tc>
        <w:tc>
          <w:tcPr>
            <w:tcW w:w="0" w:type="auto"/>
            <w:tcBorders>
              <w:top w:val="single" w:sz="8" w:space="0" w:color="000000"/>
            </w:tcBorders>
            <w:shd w:val="clear" w:color="auto" w:fill="auto"/>
            <w:vAlign w:val="bottom"/>
          </w:tcPr>
          <w:p w14:paraId="42A12BE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BE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42A12BE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auto"/>
            <w:tcMar>
              <w:top w:w="40" w:type="dxa"/>
              <w:bottom w:w="40" w:type="dxa"/>
            </w:tcMar>
            <w:vAlign w:val="bottom"/>
          </w:tcPr>
          <w:p w14:paraId="42A12BE8"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9,862</w:t>
            </w:r>
          </w:p>
        </w:tc>
        <w:tc>
          <w:tcPr>
            <w:tcW w:w="0" w:type="auto"/>
            <w:tcBorders>
              <w:top w:val="single" w:sz="8" w:space="0" w:color="000000"/>
            </w:tcBorders>
            <w:shd w:val="clear" w:color="auto" w:fill="auto"/>
            <w:vAlign w:val="bottom"/>
          </w:tcPr>
          <w:p w14:paraId="42A12BE9" w14:textId="77777777" w:rsidR="00BB68E1" w:rsidRDefault="00BB68E1">
            <w:pPr>
              <w:textAlignment w:val="bottom"/>
              <w:rPr>
                <w:rFonts w:ascii="Times New Roman" w:hAnsi="Times New Roman"/>
                <w:sz w:val="20"/>
                <w:szCs w:val="20"/>
              </w:rPr>
            </w:pPr>
          </w:p>
        </w:tc>
      </w:tr>
      <w:tr w:rsidR="00BB68E1" w14:paraId="42A12BF2" w14:textId="77777777">
        <w:trPr>
          <w:jc w:val="center"/>
        </w:trPr>
        <w:tc>
          <w:tcPr>
            <w:tcW w:w="0" w:type="auto"/>
            <w:shd w:val="clear" w:color="auto" w:fill="CCEEFF"/>
            <w:tcMar>
              <w:top w:w="40" w:type="dxa"/>
              <w:left w:w="40" w:type="dxa"/>
              <w:bottom w:w="40" w:type="dxa"/>
              <w:right w:w="40" w:type="dxa"/>
            </w:tcMar>
            <w:vAlign w:val="bottom"/>
          </w:tcPr>
          <w:p w14:paraId="42A12BE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BE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42A12BE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BE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42A12BE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BF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42A12BF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BFA" w14:textId="77777777">
        <w:trPr>
          <w:jc w:val="center"/>
        </w:trPr>
        <w:tc>
          <w:tcPr>
            <w:tcW w:w="0" w:type="auto"/>
            <w:shd w:val="clear" w:color="auto" w:fill="auto"/>
            <w:tcMar>
              <w:top w:w="40" w:type="dxa"/>
              <w:left w:w="40" w:type="dxa"/>
              <w:bottom w:w="40" w:type="dxa"/>
              <w:right w:w="40" w:type="dxa"/>
            </w:tcMar>
            <w:vAlign w:val="center"/>
          </w:tcPr>
          <w:p w14:paraId="42A12BF3"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Denominator</w:t>
            </w:r>
          </w:p>
        </w:tc>
        <w:tc>
          <w:tcPr>
            <w:tcW w:w="0" w:type="auto"/>
            <w:shd w:val="clear" w:color="auto" w:fill="auto"/>
            <w:tcMar>
              <w:top w:w="40" w:type="dxa"/>
              <w:left w:w="40" w:type="dxa"/>
              <w:bottom w:w="40" w:type="dxa"/>
              <w:right w:w="40" w:type="dxa"/>
            </w:tcMar>
            <w:vAlign w:val="bottom"/>
          </w:tcPr>
          <w:p w14:paraId="42A12BF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BF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BF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BF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BF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BF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C05" w14:textId="77777777">
        <w:trPr>
          <w:jc w:val="center"/>
        </w:trPr>
        <w:tc>
          <w:tcPr>
            <w:tcW w:w="0" w:type="auto"/>
            <w:shd w:val="clear" w:color="auto" w:fill="CCEEFF"/>
            <w:tcMar>
              <w:top w:w="40" w:type="dxa"/>
              <w:left w:w="560" w:type="dxa"/>
              <w:bottom w:w="40" w:type="dxa"/>
              <w:right w:w="40" w:type="dxa"/>
            </w:tcMar>
            <w:vAlign w:val="center"/>
          </w:tcPr>
          <w:p w14:paraId="42A12BF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Weighted-average common shares outstanding, basic</w:t>
            </w:r>
          </w:p>
        </w:tc>
        <w:tc>
          <w:tcPr>
            <w:tcW w:w="0" w:type="auto"/>
            <w:shd w:val="clear" w:color="auto" w:fill="CCEEFF"/>
            <w:tcMar>
              <w:top w:w="40" w:type="dxa"/>
              <w:left w:w="40" w:type="dxa"/>
              <w:bottom w:w="40" w:type="dxa"/>
              <w:right w:w="40" w:type="dxa"/>
            </w:tcMar>
            <w:vAlign w:val="bottom"/>
          </w:tcPr>
          <w:p w14:paraId="42A12BF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BF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2,850</w:t>
            </w:r>
          </w:p>
        </w:tc>
        <w:tc>
          <w:tcPr>
            <w:tcW w:w="0" w:type="auto"/>
            <w:shd w:val="clear" w:color="auto" w:fill="CCEEFF"/>
            <w:vAlign w:val="bottom"/>
          </w:tcPr>
          <w:p w14:paraId="42A12BF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BF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C0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2,929</w:t>
            </w:r>
          </w:p>
        </w:tc>
        <w:tc>
          <w:tcPr>
            <w:tcW w:w="0" w:type="auto"/>
            <w:shd w:val="clear" w:color="auto" w:fill="CCEEFF"/>
            <w:vAlign w:val="bottom"/>
          </w:tcPr>
          <w:p w14:paraId="42A12C0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C0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C0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2,995</w:t>
            </w:r>
          </w:p>
        </w:tc>
        <w:tc>
          <w:tcPr>
            <w:tcW w:w="0" w:type="auto"/>
            <w:shd w:val="clear" w:color="auto" w:fill="CCEEFF"/>
            <w:vAlign w:val="bottom"/>
          </w:tcPr>
          <w:p w14:paraId="42A12C04" w14:textId="77777777" w:rsidR="00BB68E1" w:rsidRDefault="00BB68E1">
            <w:pPr>
              <w:textAlignment w:val="bottom"/>
              <w:rPr>
                <w:rFonts w:ascii="Times New Roman" w:hAnsi="Times New Roman"/>
                <w:sz w:val="20"/>
                <w:szCs w:val="20"/>
              </w:rPr>
            </w:pPr>
          </w:p>
        </w:tc>
      </w:tr>
      <w:tr w:rsidR="00BB68E1" w14:paraId="42A12C10" w14:textId="77777777">
        <w:trPr>
          <w:jc w:val="center"/>
        </w:trPr>
        <w:tc>
          <w:tcPr>
            <w:tcW w:w="0" w:type="auto"/>
            <w:shd w:val="clear" w:color="auto" w:fill="auto"/>
            <w:tcMar>
              <w:top w:w="40" w:type="dxa"/>
              <w:left w:w="560" w:type="dxa"/>
              <w:bottom w:w="40" w:type="dxa"/>
              <w:right w:w="40" w:type="dxa"/>
            </w:tcMar>
            <w:vAlign w:val="center"/>
          </w:tcPr>
          <w:p w14:paraId="42A12C0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Dilutive impact of stock options and other share-based awards</w:t>
            </w:r>
          </w:p>
        </w:tc>
        <w:tc>
          <w:tcPr>
            <w:tcW w:w="0" w:type="auto"/>
            <w:shd w:val="clear" w:color="auto" w:fill="auto"/>
            <w:tcMar>
              <w:top w:w="40" w:type="dxa"/>
              <w:left w:w="40" w:type="dxa"/>
              <w:bottom w:w="40" w:type="dxa"/>
              <w:right w:w="40" w:type="dxa"/>
            </w:tcMar>
            <w:vAlign w:val="bottom"/>
          </w:tcPr>
          <w:p w14:paraId="42A12C0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C08"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18</w:t>
            </w:r>
          </w:p>
        </w:tc>
        <w:tc>
          <w:tcPr>
            <w:tcW w:w="0" w:type="auto"/>
            <w:shd w:val="clear" w:color="auto" w:fill="auto"/>
            <w:vAlign w:val="bottom"/>
          </w:tcPr>
          <w:p w14:paraId="42A12C0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C0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C0B"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16</w:t>
            </w:r>
          </w:p>
        </w:tc>
        <w:tc>
          <w:tcPr>
            <w:tcW w:w="0" w:type="auto"/>
            <w:shd w:val="clear" w:color="auto" w:fill="auto"/>
            <w:vAlign w:val="bottom"/>
          </w:tcPr>
          <w:p w14:paraId="42A12C0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C0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2C0E"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15</w:t>
            </w:r>
          </w:p>
        </w:tc>
        <w:tc>
          <w:tcPr>
            <w:tcW w:w="0" w:type="auto"/>
            <w:shd w:val="clear" w:color="auto" w:fill="auto"/>
            <w:vAlign w:val="bottom"/>
          </w:tcPr>
          <w:p w14:paraId="42A12C0F" w14:textId="77777777" w:rsidR="00BB68E1" w:rsidRDefault="00BB68E1">
            <w:pPr>
              <w:textAlignment w:val="bottom"/>
              <w:rPr>
                <w:rFonts w:ascii="Times New Roman" w:hAnsi="Times New Roman"/>
                <w:sz w:val="20"/>
                <w:szCs w:val="20"/>
              </w:rPr>
            </w:pPr>
          </w:p>
        </w:tc>
      </w:tr>
      <w:tr w:rsidR="00BB68E1" w14:paraId="42A12C1B" w14:textId="77777777">
        <w:trPr>
          <w:jc w:val="center"/>
        </w:trPr>
        <w:tc>
          <w:tcPr>
            <w:tcW w:w="0" w:type="auto"/>
            <w:shd w:val="clear" w:color="auto" w:fill="CCEEFF"/>
            <w:tcMar>
              <w:top w:w="40" w:type="dxa"/>
              <w:left w:w="560" w:type="dxa"/>
              <w:bottom w:w="40" w:type="dxa"/>
              <w:right w:w="40" w:type="dxa"/>
            </w:tcMar>
            <w:vAlign w:val="center"/>
          </w:tcPr>
          <w:p w14:paraId="42A12C1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Weighted-average common shares outstanding, diluted</w:t>
            </w:r>
          </w:p>
        </w:tc>
        <w:tc>
          <w:tcPr>
            <w:tcW w:w="0" w:type="auto"/>
            <w:shd w:val="clear" w:color="auto" w:fill="CCEEFF"/>
            <w:tcMar>
              <w:top w:w="40" w:type="dxa"/>
              <w:left w:w="40" w:type="dxa"/>
              <w:bottom w:w="40" w:type="dxa"/>
              <w:right w:w="40" w:type="dxa"/>
            </w:tcMar>
            <w:vAlign w:val="bottom"/>
          </w:tcPr>
          <w:p w14:paraId="42A12C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center"/>
          </w:tcPr>
          <w:p w14:paraId="42A12C1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2,868</w:t>
            </w:r>
          </w:p>
        </w:tc>
        <w:tc>
          <w:tcPr>
            <w:tcW w:w="0" w:type="auto"/>
            <w:tcBorders>
              <w:top w:val="single" w:sz="8" w:space="0" w:color="000000"/>
              <w:bottom w:val="double" w:sz="6" w:space="0" w:color="000000"/>
            </w:tcBorders>
            <w:shd w:val="clear" w:color="auto" w:fill="CCEEFF"/>
            <w:vAlign w:val="bottom"/>
          </w:tcPr>
          <w:p w14:paraId="42A12C1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C1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center"/>
          </w:tcPr>
          <w:p w14:paraId="42A12C1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2,945</w:t>
            </w:r>
          </w:p>
        </w:tc>
        <w:tc>
          <w:tcPr>
            <w:tcW w:w="0" w:type="auto"/>
            <w:tcBorders>
              <w:top w:val="single" w:sz="8" w:space="0" w:color="000000"/>
              <w:bottom w:val="double" w:sz="6" w:space="0" w:color="000000"/>
            </w:tcBorders>
            <w:shd w:val="clear" w:color="auto" w:fill="CCEEFF"/>
            <w:vAlign w:val="bottom"/>
          </w:tcPr>
          <w:p w14:paraId="42A12C1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C1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center"/>
          </w:tcPr>
          <w:p w14:paraId="42A12C1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3,010</w:t>
            </w:r>
          </w:p>
        </w:tc>
        <w:tc>
          <w:tcPr>
            <w:tcW w:w="0" w:type="auto"/>
            <w:tcBorders>
              <w:top w:val="single" w:sz="8" w:space="0" w:color="000000"/>
              <w:bottom w:val="double" w:sz="6" w:space="0" w:color="000000"/>
            </w:tcBorders>
            <w:shd w:val="clear" w:color="auto" w:fill="CCEEFF"/>
            <w:vAlign w:val="bottom"/>
          </w:tcPr>
          <w:p w14:paraId="42A12C1A" w14:textId="77777777" w:rsidR="00BB68E1" w:rsidRDefault="00BB68E1">
            <w:pPr>
              <w:textAlignment w:val="bottom"/>
              <w:rPr>
                <w:rFonts w:ascii="Times New Roman" w:hAnsi="Times New Roman"/>
                <w:sz w:val="20"/>
                <w:szCs w:val="20"/>
              </w:rPr>
            </w:pPr>
          </w:p>
        </w:tc>
      </w:tr>
      <w:tr w:rsidR="00BB68E1" w14:paraId="42A12C23" w14:textId="77777777">
        <w:trPr>
          <w:jc w:val="center"/>
        </w:trPr>
        <w:tc>
          <w:tcPr>
            <w:tcW w:w="0" w:type="auto"/>
            <w:shd w:val="clear" w:color="auto" w:fill="auto"/>
            <w:tcMar>
              <w:top w:w="40" w:type="dxa"/>
              <w:left w:w="560" w:type="dxa"/>
              <w:bottom w:w="40" w:type="dxa"/>
              <w:right w:w="40" w:type="dxa"/>
            </w:tcMar>
            <w:vAlign w:val="center"/>
          </w:tcPr>
          <w:p w14:paraId="42A12C1C" w14:textId="77777777" w:rsidR="00BB68E1" w:rsidRDefault="00BB68E1">
            <w:pPr>
              <w:textAlignment w:val="center"/>
              <w:rPr>
                <w:rFonts w:ascii="Times New Roman" w:hAnsi="Times New Roman"/>
                <w:sz w:val="16"/>
                <w:szCs w:val="16"/>
              </w:rPr>
            </w:pPr>
          </w:p>
        </w:tc>
        <w:tc>
          <w:tcPr>
            <w:tcW w:w="0" w:type="auto"/>
            <w:shd w:val="clear" w:color="auto" w:fill="auto"/>
            <w:tcMar>
              <w:top w:w="40" w:type="dxa"/>
              <w:left w:w="40" w:type="dxa"/>
              <w:bottom w:w="40" w:type="dxa"/>
              <w:right w:w="40" w:type="dxa"/>
            </w:tcMar>
            <w:vAlign w:val="bottom"/>
          </w:tcPr>
          <w:p w14:paraId="42A12C1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C1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C1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C2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C2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C2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C2B" w14:textId="77777777">
        <w:trPr>
          <w:jc w:val="center"/>
        </w:trPr>
        <w:tc>
          <w:tcPr>
            <w:tcW w:w="0" w:type="auto"/>
            <w:shd w:val="clear" w:color="auto" w:fill="CCEEFF"/>
            <w:tcMar>
              <w:top w:w="40" w:type="dxa"/>
              <w:left w:w="40" w:type="dxa"/>
              <w:bottom w:w="40" w:type="dxa"/>
              <w:right w:w="40" w:type="dxa"/>
            </w:tcMar>
            <w:vAlign w:val="center"/>
          </w:tcPr>
          <w:p w14:paraId="42A12C24"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Net income per common share attributable to Walmart</w:t>
            </w:r>
          </w:p>
        </w:tc>
        <w:tc>
          <w:tcPr>
            <w:tcW w:w="0" w:type="auto"/>
            <w:shd w:val="clear" w:color="auto" w:fill="CCEEFF"/>
            <w:tcMar>
              <w:top w:w="40" w:type="dxa"/>
              <w:left w:w="40" w:type="dxa"/>
              <w:bottom w:w="40" w:type="dxa"/>
              <w:right w:w="40" w:type="dxa"/>
            </w:tcMar>
            <w:vAlign w:val="bottom"/>
          </w:tcPr>
          <w:p w14:paraId="42A12C2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C2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C2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C2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2C2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2C2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2C39" w14:textId="77777777">
        <w:trPr>
          <w:jc w:val="center"/>
        </w:trPr>
        <w:tc>
          <w:tcPr>
            <w:tcW w:w="0" w:type="auto"/>
            <w:shd w:val="clear" w:color="auto" w:fill="auto"/>
            <w:tcMar>
              <w:top w:w="40" w:type="dxa"/>
              <w:left w:w="560" w:type="dxa"/>
              <w:bottom w:w="40" w:type="dxa"/>
              <w:right w:w="40" w:type="dxa"/>
            </w:tcMar>
            <w:vAlign w:val="center"/>
          </w:tcPr>
          <w:p w14:paraId="42A12C2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Basic</w:t>
            </w:r>
          </w:p>
        </w:tc>
        <w:tc>
          <w:tcPr>
            <w:tcW w:w="0" w:type="auto"/>
            <w:shd w:val="clear" w:color="auto" w:fill="auto"/>
            <w:tcMar>
              <w:top w:w="40" w:type="dxa"/>
              <w:left w:w="40" w:type="dxa"/>
              <w:bottom w:w="40" w:type="dxa"/>
              <w:right w:w="40" w:type="dxa"/>
            </w:tcMar>
            <w:vAlign w:val="bottom"/>
          </w:tcPr>
          <w:p w14:paraId="42A12C2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2A12C2E"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bottom"/>
          </w:tcPr>
          <w:p w14:paraId="42A12C2F"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5.22</w:t>
            </w:r>
          </w:p>
        </w:tc>
        <w:tc>
          <w:tcPr>
            <w:tcW w:w="0" w:type="auto"/>
            <w:shd w:val="clear" w:color="auto" w:fill="auto"/>
            <w:vAlign w:val="bottom"/>
          </w:tcPr>
          <w:p w14:paraId="42A12C3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C3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2A12C32"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bottom"/>
          </w:tcPr>
          <w:p w14:paraId="42A12C33"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2.28</w:t>
            </w:r>
          </w:p>
        </w:tc>
        <w:tc>
          <w:tcPr>
            <w:tcW w:w="0" w:type="auto"/>
            <w:shd w:val="clear" w:color="auto" w:fill="auto"/>
            <w:vAlign w:val="bottom"/>
          </w:tcPr>
          <w:p w14:paraId="42A12C3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C3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2A12C36"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bottom"/>
          </w:tcPr>
          <w:p w14:paraId="42A12C37"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3.29</w:t>
            </w:r>
          </w:p>
        </w:tc>
        <w:tc>
          <w:tcPr>
            <w:tcW w:w="0" w:type="auto"/>
            <w:shd w:val="clear" w:color="auto" w:fill="auto"/>
            <w:vAlign w:val="bottom"/>
          </w:tcPr>
          <w:p w14:paraId="42A12C38" w14:textId="77777777" w:rsidR="00BB68E1" w:rsidRDefault="00BB68E1">
            <w:pPr>
              <w:textAlignment w:val="bottom"/>
              <w:rPr>
                <w:rFonts w:ascii="Times New Roman" w:hAnsi="Times New Roman"/>
                <w:sz w:val="20"/>
                <w:szCs w:val="20"/>
              </w:rPr>
            </w:pPr>
          </w:p>
        </w:tc>
      </w:tr>
      <w:tr w:rsidR="00BB68E1" w14:paraId="42A12C44" w14:textId="77777777">
        <w:trPr>
          <w:jc w:val="center"/>
        </w:trPr>
        <w:tc>
          <w:tcPr>
            <w:tcW w:w="0" w:type="auto"/>
            <w:shd w:val="clear" w:color="auto" w:fill="CCEEFF"/>
            <w:tcMar>
              <w:top w:w="40" w:type="dxa"/>
              <w:left w:w="560" w:type="dxa"/>
              <w:bottom w:w="40" w:type="dxa"/>
              <w:right w:w="40" w:type="dxa"/>
            </w:tcMar>
            <w:vAlign w:val="center"/>
          </w:tcPr>
          <w:p w14:paraId="42A12C3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Diluted</w:t>
            </w:r>
          </w:p>
        </w:tc>
        <w:tc>
          <w:tcPr>
            <w:tcW w:w="0" w:type="auto"/>
            <w:shd w:val="clear" w:color="auto" w:fill="CCEEFF"/>
            <w:tcMar>
              <w:top w:w="40" w:type="dxa"/>
              <w:left w:w="40" w:type="dxa"/>
              <w:bottom w:w="40" w:type="dxa"/>
              <w:right w:w="40" w:type="dxa"/>
            </w:tcMar>
            <w:vAlign w:val="bottom"/>
          </w:tcPr>
          <w:p w14:paraId="42A12C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2C3C"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5.19</w:t>
            </w:r>
          </w:p>
        </w:tc>
        <w:tc>
          <w:tcPr>
            <w:tcW w:w="0" w:type="auto"/>
            <w:shd w:val="clear" w:color="auto" w:fill="CCEEFF"/>
            <w:vAlign w:val="bottom"/>
          </w:tcPr>
          <w:p w14:paraId="42A12C3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C3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2C3F"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2.26</w:t>
            </w:r>
          </w:p>
        </w:tc>
        <w:tc>
          <w:tcPr>
            <w:tcW w:w="0" w:type="auto"/>
            <w:shd w:val="clear" w:color="auto" w:fill="CCEEFF"/>
            <w:vAlign w:val="bottom"/>
          </w:tcPr>
          <w:p w14:paraId="42A12C4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C4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2C42"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3.28</w:t>
            </w:r>
          </w:p>
        </w:tc>
        <w:tc>
          <w:tcPr>
            <w:tcW w:w="0" w:type="auto"/>
            <w:shd w:val="clear" w:color="auto" w:fill="CCEEFF"/>
            <w:vAlign w:val="bottom"/>
          </w:tcPr>
          <w:p w14:paraId="42A12C43" w14:textId="77777777" w:rsidR="00BB68E1" w:rsidRDefault="00BB68E1">
            <w:pPr>
              <w:textAlignment w:val="bottom"/>
              <w:rPr>
                <w:rFonts w:ascii="Times New Roman" w:hAnsi="Times New Roman"/>
                <w:sz w:val="20"/>
                <w:szCs w:val="20"/>
              </w:rPr>
            </w:pPr>
          </w:p>
        </w:tc>
      </w:tr>
    </w:tbl>
    <w:p w14:paraId="42A12C45" w14:textId="77777777" w:rsidR="00BB68E1" w:rsidRDefault="00BB68E1">
      <w:pPr>
        <w:spacing w:line="288" w:lineRule="auto"/>
        <w:jc w:val="center"/>
        <w:rPr>
          <w:rFonts w:ascii="Times New Roman" w:hAnsi="Times New Roman"/>
          <w:sz w:val="20"/>
          <w:szCs w:val="20"/>
        </w:rPr>
      </w:pPr>
    </w:p>
    <w:p w14:paraId="42A12C46"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Note 3. Shareholders' Equity</w:t>
      </w:r>
    </w:p>
    <w:p w14:paraId="42A12C4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total authorized shares of $0.10 par value common stock is 11.0 billion, of which 2.8 billion and 2.9 billion were issued and outstanding as of January 31, 2020 and 2019, respectively. </w:t>
      </w:r>
    </w:p>
    <w:p w14:paraId="42A12C48"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Share-Based Compensation</w:t>
      </w:r>
    </w:p>
    <w:p w14:paraId="42A12C4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has awarded share-based compe</w:t>
      </w:r>
      <w:r>
        <w:rPr>
          <w:rFonts w:ascii="Times New Roman" w:eastAsia="宋体" w:hAnsi="Times New Roman"/>
          <w:sz w:val="20"/>
          <w:szCs w:val="20"/>
        </w:rPr>
        <w:t>nsation to associates and nonemployee directors of the Company. The compensation expense recognized for all stock incentive plans, including expense associated with plans of the Company's consolidated subsidiaries granted in the subsidiaries' respective st</w:t>
      </w:r>
      <w:r>
        <w:rPr>
          <w:rFonts w:ascii="Times New Roman" w:eastAsia="宋体" w:hAnsi="Times New Roman"/>
          <w:sz w:val="20"/>
          <w:szCs w:val="20"/>
        </w:rPr>
        <w:t>ock, was $854 million, $773 million and $626 million for fiscal 2020, 2019 and 2018, respectively. Share-based compensation expense is generally included in operating, selling, general and administrative expenses in the Company's Consolidated Statements of</w:t>
      </w:r>
      <w:r>
        <w:rPr>
          <w:rFonts w:ascii="Times New Roman" w:eastAsia="宋体" w:hAnsi="Times New Roman"/>
          <w:sz w:val="20"/>
          <w:szCs w:val="20"/>
        </w:rPr>
        <w:t xml:space="preserve"> Income. The total income tax </w:t>
      </w:r>
      <w:r>
        <w:rPr>
          <w:rFonts w:ascii="Times New Roman" w:eastAsia="宋体" w:hAnsi="Times New Roman"/>
          <w:sz w:val="20"/>
          <w:szCs w:val="20"/>
        </w:rPr>
        <w:lastRenderedPageBreak/>
        <w:t>benefit recognized for share-based compensation was $202 million, $181 million and $150 million for fiscal 2020, 2019 and 2018, respectively. The following table summarizes the Company's share-based compensation expense by awa</w:t>
      </w:r>
      <w:r>
        <w:rPr>
          <w:rFonts w:ascii="Times New Roman" w:eastAsia="宋体" w:hAnsi="Times New Roman"/>
          <w:sz w:val="20"/>
          <w:szCs w:val="20"/>
        </w:rPr>
        <w:t>rd type for all plans:</w:t>
      </w:r>
    </w:p>
    <w:tbl>
      <w:tblPr>
        <w:tblW w:w="4971" w:type="pct"/>
        <w:jc w:val="center"/>
        <w:tblCellMar>
          <w:left w:w="0" w:type="dxa"/>
          <w:right w:w="0" w:type="dxa"/>
        </w:tblCellMar>
        <w:tblLook w:val="04A0" w:firstRow="1" w:lastRow="0" w:firstColumn="1" w:lastColumn="0" w:noHBand="0" w:noVBand="1"/>
      </w:tblPr>
      <w:tblGrid>
        <w:gridCol w:w="4842"/>
        <w:gridCol w:w="121"/>
        <w:gridCol w:w="878"/>
        <w:gridCol w:w="53"/>
        <w:gridCol w:w="130"/>
        <w:gridCol w:w="121"/>
        <w:gridCol w:w="878"/>
        <w:gridCol w:w="53"/>
        <w:gridCol w:w="130"/>
        <w:gridCol w:w="121"/>
        <w:gridCol w:w="878"/>
        <w:gridCol w:w="53"/>
      </w:tblGrid>
      <w:tr w:rsidR="00BB68E1" w14:paraId="42A12C4B" w14:textId="77777777">
        <w:trPr>
          <w:jc w:val="center"/>
        </w:trPr>
        <w:tc>
          <w:tcPr>
            <w:tcW w:w="0" w:type="auto"/>
            <w:gridSpan w:val="12"/>
            <w:shd w:val="clear" w:color="auto" w:fill="auto"/>
            <w:vAlign w:val="center"/>
          </w:tcPr>
          <w:p w14:paraId="42A12C4A" w14:textId="77777777" w:rsidR="00BB68E1" w:rsidRDefault="00BB68E1">
            <w:pPr>
              <w:rPr>
                <w:rFonts w:ascii="Times New Roman" w:hAnsi="Times New Roman"/>
                <w:sz w:val="20"/>
                <w:szCs w:val="20"/>
              </w:rPr>
            </w:pPr>
          </w:p>
        </w:tc>
      </w:tr>
      <w:tr w:rsidR="00BB68E1" w14:paraId="42A12C58" w14:textId="77777777">
        <w:trPr>
          <w:jc w:val="center"/>
        </w:trPr>
        <w:tc>
          <w:tcPr>
            <w:tcW w:w="2950" w:type="pct"/>
            <w:shd w:val="clear" w:color="auto" w:fill="auto"/>
            <w:vAlign w:val="center"/>
          </w:tcPr>
          <w:p w14:paraId="42A12C4C" w14:textId="77777777" w:rsidR="00BB68E1" w:rsidRDefault="00BB68E1">
            <w:pPr>
              <w:rPr>
                <w:rFonts w:ascii="Times New Roman" w:hAnsi="Times New Roman"/>
                <w:sz w:val="20"/>
                <w:szCs w:val="20"/>
              </w:rPr>
            </w:pPr>
          </w:p>
        </w:tc>
        <w:tc>
          <w:tcPr>
            <w:tcW w:w="50" w:type="pct"/>
            <w:shd w:val="clear" w:color="auto" w:fill="auto"/>
            <w:vAlign w:val="center"/>
          </w:tcPr>
          <w:p w14:paraId="42A12C4D" w14:textId="77777777" w:rsidR="00BB68E1" w:rsidRDefault="00BB68E1">
            <w:pPr>
              <w:rPr>
                <w:rFonts w:ascii="Times New Roman" w:hAnsi="Times New Roman"/>
                <w:sz w:val="20"/>
                <w:szCs w:val="20"/>
              </w:rPr>
            </w:pPr>
          </w:p>
        </w:tc>
        <w:tc>
          <w:tcPr>
            <w:tcW w:w="550" w:type="pct"/>
            <w:shd w:val="clear" w:color="auto" w:fill="auto"/>
            <w:vAlign w:val="center"/>
          </w:tcPr>
          <w:p w14:paraId="42A12C4E" w14:textId="77777777" w:rsidR="00BB68E1" w:rsidRDefault="00BB68E1">
            <w:pPr>
              <w:rPr>
                <w:rFonts w:ascii="Times New Roman" w:hAnsi="Times New Roman"/>
                <w:sz w:val="20"/>
                <w:szCs w:val="20"/>
              </w:rPr>
            </w:pPr>
          </w:p>
        </w:tc>
        <w:tc>
          <w:tcPr>
            <w:tcW w:w="50" w:type="pct"/>
            <w:shd w:val="clear" w:color="auto" w:fill="auto"/>
            <w:vAlign w:val="center"/>
          </w:tcPr>
          <w:p w14:paraId="42A12C4F" w14:textId="77777777" w:rsidR="00BB68E1" w:rsidRDefault="00BB68E1">
            <w:pPr>
              <w:rPr>
                <w:rFonts w:ascii="Times New Roman" w:hAnsi="Times New Roman"/>
                <w:sz w:val="20"/>
                <w:szCs w:val="20"/>
              </w:rPr>
            </w:pPr>
          </w:p>
        </w:tc>
        <w:tc>
          <w:tcPr>
            <w:tcW w:w="50" w:type="pct"/>
            <w:shd w:val="clear" w:color="auto" w:fill="auto"/>
            <w:vAlign w:val="center"/>
          </w:tcPr>
          <w:p w14:paraId="42A12C50" w14:textId="77777777" w:rsidR="00BB68E1" w:rsidRDefault="00BB68E1">
            <w:pPr>
              <w:rPr>
                <w:rFonts w:ascii="Times New Roman" w:hAnsi="Times New Roman"/>
                <w:sz w:val="20"/>
                <w:szCs w:val="20"/>
              </w:rPr>
            </w:pPr>
          </w:p>
        </w:tc>
        <w:tc>
          <w:tcPr>
            <w:tcW w:w="50" w:type="pct"/>
            <w:shd w:val="clear" w:color="auto" w:fill="auto"/>
            <w:vAlign w:val="center"/>
          </w:tcPr>
          <w:p w14:paraId="42A12C51" w14:textId="77777777" w:rsidR="00BB68E1" w:rsidRDefault="00BB68E1">
            <w:pPr>
              <w:rPr>
                <w:rFonts w:ascii="Times New Roman" w:hAnsi="Times New Roman"/>
                <w:sz w:val="20"/>
                <w:szCs w:val="20"/>
              </w:rPr>
            </w:pPr>
          </w:p>
        </w:tc>
        <w:tc>
          <w:tcPr>
            <w:tcW w:w="550" w:type="pct"/>
            <w:shd w:val="clear" w:color="auto" w:fill="auto"/>
            <w:vAlign w:val="center"/>
          </w:tcPr>
          <w:p w14:paraId="42A12C52" w14:textId="77777777" w:rsidR="00BB68E1" w:rsidRDefault="00BB68E1">
            <w:pPr>
              <w:rPr>
                <w:rFonts w:ascii="Times New Roman" w:hAnsi="Times New Roman"/>
                <w:sz w:val="20"/>
                <w:szCs w:val="20"/>
              </w:rPr>
            </w:pPr>
          </w:p>
        </w:tc>
        <w:tc>
          <w:tcPr>
            <w:tcW w:w="50" w:type="pct"/>
            <w:shd w:val="clear" w:color="auto" w:fill="auto"/>
            <w:vAlign w:val="center"/>
          </w:tcPr>
          <w:p w14:paraId="42A12C53" w14:textId="77777777" w:rsidR="00BB68E1" w:rsidRDefault="00BB68E1">
            <w:pPr>
              <w:rPr>
                <w:rFonts w:ascii="Times New Roman" w:hAnsi="Times New Roman"/>
                <w:sz w:val="20"/>
                <w:szCs w:val="20"/>
              </w:rPr>
            </w:pPr>
          </w:p>
        </w:tc>
        <w:tc>
          <w:tcPr>
            <w:tcW w:w="50" w:type="pct"/>
            <w:shd w:val="clear" w:color="auto" w:fill="auto"/>
            <w:vAlign w:val="center"/>
          </w:tcPr>
          <w:p w14:paraId="42A12C54" w14:textId="77777777" w:rsidR="00BB68E1" w:rsidRDefault="00BB68E1">
            <w:pPr>
              <w:rPr>
                <w:rFonts w:ascii="Times New Roman" w:hAnsi="Times New Roman"/>
                <w:sz w:val="20"/>
                <w:szCs w:val="20"/>
              </w:rPr>
            </w:pPr>
          </w:p>
        </w:tc>
        <w:tc>
          <w:tcPr>
            <w:tcW w:w="50" w:type="pct"/>
            <w:shd w:val="clear" w:color="auto" w:fill="auto"/>
            <w:vAlign w:val="center"/>
          </w:tcPr>
          <w:p w14:paraId="42A12C55" w14:textId="77777777" w:rsidR="00BB68E1" w:rsidRDefault="00BB68E1">
            <w:pPr>
              <w:rPr>
                <w:rFonts w:ascii="Times New Roman" w:hAnsi="Times New Roman"/>
                <w:sz w:val="20"/>
                <w:szCs w:val="20"/>
              </w:rPr>
            </w:pPr>
          </w:p>
        </w:tc>
        <w:tc>
          <w:tcPr>
            <w:tcW w:w="550" w:type="pct"/>
            <w:shd w:val="clear" w:color="auto" w:fill="auto"/>
            <w:vAlign w:val="center"/>
          </w:tcPr>
          <w:p w14:paraId="42A12C56" w14:textId="77777777" w:rsidR="00BB68E1" w:rsidRDefault="00BB68E1">
            <w:pPr>
              <w:rPr>
                <w:rFonts w:ascii="Times New Roman" w:hAnsi="Times New Roman"/>
                <w:sz w:val="20"/>
                <w:szCs w:val="20"/>
              </w:rPr>
            </w:pPr>
          </w:p>
        </w:tc>
        <w:tc>
          <w:tcPr>
            <w:tcW w:w="50" w:type="pct"/>
            <w:shd w:val="clear" w:color="auto" w:fill="auto"/>
            <w:vAlign w:val="center"/>
          </w:tcPr>
          <w:p w14:paraId="42A12C57" w14:textId="77777777" w:rsidR="00BB68E1" w:rsidRDefault="00BB68E1">
            <w:pPr>
              <w:rPr>
                <w:rFonts w:ascii="Times New Roman" w:hAnsi="Times New Roman"/>
                <w:sz w:val="20"/>
                <w:szCs w:val="20"/>
              </w:rPr>
            </w:pPr>
          </w:p>
        </w:tc>
      </w:tr>
      <w:tr w:rsidR="00BB68E1" w14:paraId="42A12C5B" w14:textId="77777777">
        <w:trPr>
          <w:jc w:val="center"/>
        </w:trPr>
        <w:tc>
          <w:tcPr>
            <w:tcW w:w="0" w:type="auto"/>
            <w:shd w:val="clear" w:color="auto" w:fill="auto"/>
            <w:tcMar>
              <w:top w:w="40" w:type="dxa"/>
              <w:left w:w="40" w:type="dxa"/>
              <w:bottom w:w="40" w:type="dxa"/>
              <w:right w:w="40" w:type="dxa"/>
            </w:tcMar>
            <w:vAlign w:val="bottom"/>
          </w:tcPr>
          <w:p w14:paraId="42A12C5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2C5A"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2C62" w14:textId="77777777">
        <w:trPr>
          <w:jc w:val="center"/>
        </w:trPr>
        <w:tc>
          <w:tcPr>
            <w:tcW w:w="0" w:type="auto"/>
            <w:shd w:val="clear" w:color="auto" w:fill="auto"/>
            <w:tcMar>
              <w:top w:w="40" w:type="dxa"/>
              <w:left w:w="40" w:type="dxa"/>
              <w:bottom w:w="40" w:type="dxa"/>
              <w:right w:w="40" w:type="dxa"/>
            </w:tcMar>
            <w:vAlign w:val="bottom"/>
          </w:tcPr>
          <w:p w14:paraId="42A12C5C"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C5D"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2C5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C5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2C6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2C61"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2C6F" w14:textId="77777777">
        <w:trPr>
          <w:jc w:val="center"/>
        </w:trPr>
        <w:tc>
          <w:tcPr>
            <w:tcW w:w="0" w:type="auto"/>
            <w:shd w:val="clear" w:color="auto" w:fill="CCEEFF"/>
            <w:tcMar>
              <w:top w:w="40" w:type="dxa"/>
              <w:left w:w="40" w:type="dxa"/>
              <w:bottom w:w="40" w:type="dxa"/>
              <w:right w:w="40" w:type="dxa"/>
            </w:tcMar>
            <w:vAlign w:val="center"/>
          </w:tcPr>
          <w:p w14:paraId="42A12C6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Restricted stock and performance share units</w:t>
            </w:r>
          </w:p>
        </w:tc>
        <w:tc>
          <w:tcPr>
            <w:tcW w:w="0" w:type="auto"/>
            <w:tcBorders>
              <w:top w:val="single" w:sz="8" w:space="0" w:color="000000"/>
            </w:tcBorders>
            <w:shd w:val="clear" w:color="auto" w:fill="CCEEFF"/>
            <w:tcMar>
              <w:top w:w="40" w:type="dxa"/>
              <w:left w:w="40" w:type="dxa"/>
              <w:bottom w:w="40" w:type="dxa"/>
            </w:tcMar>
            <w:vAlign w:val="center"/>
          </w:tcPr>
          <w:p w14:paraId="42A12C6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2C6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270</w:t>
            </w:r>
          </w:p>
        </w:tc>
        <w:tc>
          <w:tcPr>
            <w:tcW w:w="0" w:type="auto"/>
            <w:tcBorders>
              <w:top w:val="single" w:sz="8" w:space="0" w:color="000000"/>
            </w:tcBorders>
            <w:shd w:val="clear" w:color="auto" w:fill="CCEEFF"/>
            <w:vAlign w:val="bottom"/>
          </w:tcPr>
          <w:p w14:paraId="42A12C6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C6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2C6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2C6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293</w:t>
            </w:r>
          </w:p>
        </w:tc>
        <w:tc>
          <w:tcPr>
            <w:tcW w:w="0" w:type="auto"/>
            <w:tcBorders>
              <w:top w:val="single" w:sz="8" w:space="0" w:color="000000"/>
            </w:tcBorders>
            <w:shd w:val="clear" w:color="auto" w:fill="CCEEFF"/>
            <w:vAlign w:val="bottom"/>
          </w:tcPr>
          <w:p w14:paraId="42A12C6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C6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2C6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2C6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234</w:t>
            </w:r>
          </w:p>
        </w:tc>
        <w:tc>
          <w:tcPr>
            <w:tcW w:w="0" w:type="auto"/>
            <w:tcBorders>
              <w:top w:val="single" w:sz="8" w:space="0" w:color="000000"/>
            </w:tcBorders>
            <w:shd w:val="clear" w:color="auto" w:fill="CCEEFF"/>
            <w:vAlign w:val="bottom"/>
          </w:tcPr>
          <w:p w14:paraId="42A12C6E" w14:textId="77777777" w:rsidR="00BB68E1" w:rsidRDefault="00BB68E1">
            <w:pPr>
              <w:textAlignment w:val="bottom"/>
              <w:rPr>
                <w:rFonts w:ascii="Times New Roman" w:hAnsi="Times New Roman"/>
                <w:sz w:val="20"/>
                <w:szCs w:val="20"/>
              </w:rPr>
            </w:pPr>
          </w:p>
        </w:tc>
      </w:tr>
      <w:tr w:rsidR="00BB68E1" w14:paraId="42A12C79" w14:textId="77777777">
        <w:trPr>
          <w:jc w:val="center"/>
        </w:trPr>
        <w:tc>
          <w:tcPr>
            <w:tcW w:w="0" w:type="auto"/>
            <w:shd w:val="clear" w:color="auto" w:fill="auto"/>
            <w:tcMar>
              <w:top w:w="40" w:type="dxa"/>
              <w:left w:w="40" w:type="dxa"/>
              <w:bottom w:w="40" w:type="dxa"/>
              <w:right w:w="40" w:type="dxa"/>
            </w:tcMar>
            <w:vAlign w:val="center"/>
          </w:tcPr>
          <w:p w14:paraId="42A12C7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Restricted stock units</w:t>
            </w:r>
          </w:p>
        </w:tc>
        <w:tc>
          <w:tcPr>
            <w:tcW w:w="0" w:type="auto"/>
            <w:gridSpan w:val="2"/>
            <w:shd w:val="clear" w:color="auto" w:fill="auto"/>
            <w:tcMar>
              <w:top w:w="40" w:type="dxa"/>
              <w:left w:w="40" w:type="dxa"/>
              <w:bottom w:w="40" w:type="dxa"/>
            </w:tcMar>
            <w:vAlign w:val="center"/>
          </w:tcPr>
          <w:p w14:paraId="42A12C7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553</w:t>
            </w:r>
          </w:p>
        </w:tc>
        <w:tc>
          <w:tcPr>
            <w:tcW w:w="0" w:type="auto"/>
            <w:shd w:val="clear" w:color="auto" w:fill="auto"/>
            <w:vAlign w:val="bottom"/>
          </w:tcPr>
          <w:p w14:paraId="42A12C7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C7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C7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456</w:t>
            </w:r>
          </w:p>
        </w:tc>
        <w:tc>
          <w:tcPr>
            <w:tcW w:w="0" w:type="auto"/>
            <w:shd w:val="clear" w:color="auto" w:fill="auto"/>
            <w:vAlign w:val="bottom"/>
          </w:tcPr>
          <w:p w14:paraId="42A12C7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C7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C7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368</w:t>
            </w:r>
          </w:p>
        </w:tc>
        <w:tc>
          <w:tcPr>
            <w:tcW w:w="0" w:type="auto"/>
            <w:shd w:val="clear" w:color="auto" w:fill="auto"/>
            <w:vAlign w:val="bottom"/>
          </w:tcPr>
          <w:p w14:paraId="42A12C78" w14:textId="77777777" w:rsidR="00BB68E1" w:rsidRDefault="00BB68E1">
            <w:pPr>
              <w:textAlignment w:val="bottom"/>
              <w:rPr>
                <w:rFonts w:ascii="Times New Roman" w:hAnsi="Times New Roman"/>
                <w:sz w:val="20"/>
                <w:szCs w:val="20"/>
              </w:rPr>
            </w:pPr>
          </w:p>
        </w:tc>
      </w:tr>
      <w:tr w:rsidR="00BB68E1" w14:paraId="42A12C83" w14:textId="77777777">
        <w:trPr>
          <w:jc w:val="center"/>
        </w:trPr>
        <w:tc>
          <w:tcPr>
            <w:tcW w:w="0" w:type="auto"/>
            <w:shd w:val="clear" w:color="auto" w:fill="CCEEFF"/>
            <w:tcMar>
              <w:top w:w="40" w:type="dxa"/>
              <w:left w:w="40" w:type="dxa"/>
              <w:bottom w:w="40" w:type="dxa"/>
              <w:right w:w="40" w:type="dxa"/>
            </w:tcMar>
            <w:vAlign w:val="center"/>
          </w:tcPr>
          <w:p w14:paraId="42A12C7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C7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31</w:t>
            </w:r>
          </w:p>
        </w:tc>
        <w:tc>
          <w:tcPr>
            <w:tcW w:w="0" w:type="auto"/>
            <w:tcBorders>
              <w:bottom w:val="single" w:sz="8" w:space="0" w:color="000000"/>
            </w:tcBorders>
            <w:shd w:val="clear" w:color="auto" w:fill="CCEEFF"/>
            <w:vAlign w:val="bottom"/>
          </w:tcPr>
          <w:p w14:paraId="42A12C7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C7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C7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w:t>
            </w:r>
          </w:p>
        </w:tc>
        <w:tc>
          <w:tcPr>
            <w:tcW w:w="0" w:type="auto"/>
            <w:tcBorders>
              <w:bottom w:val="single" w:sz="8" w:space="0" w:color="000000"/>
            </w:tcBorders>
            <w:shd w:val="clear" w:color="auto" w:fill="CCEEFF"/>
            <w:vAlign w:val="bottom"/>
          </w:tcPr>
          <w:p w14:paraId="42A12C7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C8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C8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w:t>
            </w:r>
          </w:p>
        </w:tc>
        <w:tc>
          <w:tcPr>
            <w:tcW w:w="0" w:type="auto"/>
            <w:tcBorders>
              <w:bottom w:val="single" w:sz="8" w:space="0" w:color="000000"/>
            </w:tcBorders>
            <w:shd w:val="clear" w:color="auto" w:fill="CCEEFF"/>
            <w:vAlign w:val="bottom"/>
          </w:tcPr>
          <w:p w14:paraId="42A12C82" w14:textId="77777777" w:rsidR="00BB68E1" w:rsidRDefault="00BB68E1">
            <w:pPr>
              <w:textAlignment w:val="bottom"/>
              <w:rPr>
                <w:rFonts w:ascii="Times New Roman" w:hAnsi="Times New Roman"/>
                <w:sz w:val="20"/>
                <w:szCs w:val="20"/>
              </w:rPr>
            </w:pPr>
          </w:p>
        </w:tc>
      </w:tr>
      <w:tr w:rsidR="00BB68E1" w14:paraId="42A12C90" w14:textId="77777777">
        <w:trPr>
          <w:jc w:val="center"/>
        </w:trPr>
        <w:tc>
          <w:tcPr>
            <w:tcW w:w="0" w:type="auto"/>
            <w:shd w:val="clear" w:color="auto" w:fill="auto"/>
            <w:tcMar>
              <w:top w:w="40" w:type="dxa"/>
              <w:left w:w="40" w:type="dxa"/>
              <w:bottom w:w="40" w:type="dxa"/>
              <w:right w:w="40" w:type="dxa"/>
            </w:tcMar>
            <w:vAlign w:val="center"/>
          </w:tcPr>
          <w:p w14:paraId="42A12C84"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Share-based compensation expense</w:t>
            </w:r>
          </w:p>
        </w:tc>
        <w:tc>
          <w:tcPr>
            <w:tcW w:w="0" w:type="auto"/>
            <w:tcBorders>
              <w:bottom w:val="double" w:sz="6" w:space="0" w:color="000000"/>
            </w:tcBorders>
            <w:shd w:val="clear" w:color="auto" w:fill="auto"/>
            <w:tcMar>
              <w:top w:w="40" w:type="dxa"/>
              <w:left w:w="40" w:type="dxa"/>
              <w:bottom w:w="40" w:type="dxa"/>
            </w:tcMar>
            <w:vAlign w:val="center"/>
          </w:tcPr>
          <w:p w14:paraId="42A12C8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2A12C8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854</w:t>
            </w:r>
          </w:p>
        </w:tc>
        <w:tc>
          <w:tcPr>
            <w:tcW w:w="0" w:type="auto"/>
            <w:tcBorders>
              <w:bottom w:val="double" w:sz="6" w:space="0" w:color="000000"/>
            </w:tcBorders>
            <w:shd w:val="clear" w:color="auto" w:fill="auto"/>
            <w:vAlign w:val="bottom"/>
          </w:tcPr>
          <w:p w14:paraId="42A12C8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C8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2C8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2A12C8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773</w:t>
            </w:r>
          </w:p>
        </w:tc>
        <w:tc>
          <w:tcPr>
            <w:tcW w:w="0" w:type="auto"/>
            <w:tcBorders>
              <w:bottom w:val="double" w:sz="6" w:space="0" w:color="000000"/>
            </w:tcBorders>
            <w:shd w:val="clear" w:color="auto" w:fill="auto"/>
            <w:vAlign w:val="bottom"/>
          </w:tcPr>
          <w:p w14:paraId="42A12C8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C8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2C8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2A12C8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626</w:t>
            </w:r>
          </w:p>
        </w:tc>
        <w:tc>
          <w:tcPr>
            <w:tcW w:w="0" w:type="auto"/>
            <w:tcBorders>
              <w:bottom w:val="double" w:sz="6" w:space="0" w:color="000000"/>
            </w:tcBorders>
            <w:shd w:val="clear" w:color="auto" w:fill="auto"/>
            <w:vAlign w:val="bottom"/>
          </w:tcPr>
          <w:p w14:paraId="42A12C8F" w14:textId="77777777" w:rsidR="00BB68E1" w:rsidRDefault="00BB68E1">
            <w:pPr>
              <w:textAlignment w:val="bottom"/>
              <w:rPr>
                <w:rFonts w:ascii="Times New Roman" w:hAnsi="Times New Roman"/>
                <w:sz w:val="20"/>
                <w:szCs w:val="20"/>
              </w:rPr>
            </w:pPr>
          </w:p>
        </w:tc>
      </w:tr>
    </w:tbl>
    <w:p w14:paraId="42A12C91" w14:textId="77777777" w:rsidR="00BB68E1" w:rsidRDefault="00BB68E1">
      <w:pPr>
        <w:spacing w:line="288" w:lineRule="auto"/>
        <w:jc w:val="center"/>
        <w:rPr>
          <w:rFonts w:ascii="Times New Roman" w:hAnsi="Times New Roman"/>
          <w:sz w:val="20"/>
          <w:szCs w:val="20"/>
        </w:rPr>
      </w:pPr>
    </w:p>
    <w:p w14:paraId="42A12C9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Walmart Inc. Stock Incentive Plan of 2015 (the "Plan"), as amended and restated effective February 23, 2016, as amended further as of February 1, 2017, and as renamed on February 1, 2018, </w:t>
      </w:r>
      <w:r>
        <w:rPr>
          <w:rFonts w:ascii="Times New Roman" w:eastAsia="宋体" w:hAnsi="Times New Roman"/>
          <w:sz w:val="20"/>
          <w:szCs w:val="20"/>
        </w:rPr>
        <w:t>was established to grant stock options, restricted (non-vested) stock, performance share units and other equity compensation awards for which 260 million shares of Walmart common stock issued or to be issued under the Plan have been registered under the Se</w:t>
      </w:r>
      <w:r>
        <w:rPr>
          <w:rFonts w:ascii="Times New Roman" w:eastAsia="宋体" w:hAnsi="Times New Roman"/>
          <w:sz w:val="20"/>
          <w:szCs w:val="20"/>
        </w:rPr>
        <w:t>curities Act of 1933, as amended. The Company believes that such awards serve to align the interests of its associates with those of its shareholders.</w:t>
      </w:r>
    </w:p>
    <w:p w14:paraId="42A12C9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Plan's award types are summarized as follows:</w:t>
      </w:r>
    </w:p>
    <w:tbl>
      <w:tblPr>
        <w:tblW w:w="0" w:type="auto"/>
        <w:tblCellSpacing w:w="0" w:type="dxa"/>
        <w:tblCellMar>
          <w:left w:w="0" w:type="dxa"/>
          <w:right w:w="0" w:type="dxa"/>
        </w:tblCellMar>
        <w:tblLook w:val="04A0" w:firstRow="1" w:lastRow="0" w:firstColumn="1" w:lastColumn="0" w:noHBand="0" w:noVBand="1"/>
      </w:tblPr>
      <w:tblGrid>
        <w:gridCol w:w="840"/>
        <w:gridCol w:w="7466"/>
      </w:tblGrid>
      <w:tr w:rsidR="00BB68E1" w14:paraId="42A12C96" w14:textId="77777777">
        <w:trPr>
          <w:tblCellSpacing w:w="0" w:type="dxa"/>
        </w:trPr>
        <w:tc>
          <w:tcPr>
            <w:tcW w:w="840" w:type="dxa"/>
            <w:shd w:val="clear" w:color="auto" w:fill="auto"/>
            <w:vAlign w:val="center"/>
          </w:tcPr>
          <w:p w14:paraId="42A12C94" w14:textId="77777777" w:rsidR="00BB68E1" w:rsidRDefault="00BB68E1">
            <w:pPr>
              <w:rPr>
                <w:rFonts w:ascii="Times New Roman" w:hAnsi="Times New Roman"/>
                <w:sz w:val="20"/>
                <w:szCs w:val="20"/>
              </w:rPr>
            </w:pPr>
          </w:p>
        </w:tc>
        <w:tc>
          <w:tcPr>
            <w:tcW w:w="0" w:type="auto"/>
            <w:shd w:val="clear" w:color="auto" w:fill="auto"/>
            <w:vAlign w:val="center"/>
          </w:tcPr>
          <w:p w14:paraId="42A12C95" w14:textId="77777777" w:rsidR="00BB68E1" w:rsidRDefault="00BB68E1">
            <w:pPr>
              <w:rPr>
                <w:rFonts w:ascii="Times New Roman" w:hAnsi="Times New Roman"/>
                <w:sz w:val="20"/>
                <w:szCs w:val="20"/>
              </w:rPr>
            </w:pPr>
          </w:p>
        </w:tc>
      </w:tr>
      <w:tr w:rsidR="00BB68E1" w14:paraId="42A12C99" w14:textId="77777777">
        <w:trPr>
          <w:tblCellSpacing w:w="0" w:type="dxa"/>
        </w:trPr>
        <w:tc>
          <w:tcPr>
            <w:tcW w:w="0" w:type="auto"/>
            <w:shd w:val="clear" w:color="auto" w:fill="auto"/>
          </w:tcPr>
          <w:p w14:paraId="42A12C97"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2C98"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i/>
                <w:iCs/>
                <w:sz w:val="20"/>
                <w:szCs w:val="20"/>
              </w:rPr>
              <w:t xml:space="preserve">Restricted Stock and Performance Share Units. </w:t>
            </w:r>
            <w:r>
              <w:rPr>
                <w:rFonts w:ascii="Times New Roman" w:eastAsia="宋体" w:hAnsi="Times New Roman"/>
                <w:sz w:val="20"/>
                <w:szCs w:val="20"/>
              </w:rPr>
              <w:t>Restricted stock awards are for shares that vest based on the passage of time and include restrictions related to employment. Performance share units vest based on the passage of time and achievement of perform</w:t>
            </w:r>
            <w:r>
              <w:rPr>
                <w:rFonts w:ascii="Times New Roman" w:eastAsia="宋体" w:hAnsi="Times New Roman"/>
                <w:sz w:val="20"/>
                <w:szCs w:val="20"/>
              </w:rPr>
              <w:t xml:space="preserve">ance criteria and may range from 0% to 150% of the original award amount. Vesting periods for these awards are generally between one and three years. Restricted stock and performance share units may be settled or deferred in stock and are accounted for as </w:t>
            </w:r>
            <w:r>
              <w:rPr>
                <w:rFonts w:ascii="Times New Roman" w:eastAsia="宋体" w:hAnsi="Times New Roman"/>
                <w:sz w:val="20"/>
                <w:szCs w:val="20"/>
              </w:rPr>
              <w:t xml:space="preserve">equity in the Company's Consolidated Balance Sheets. The fair value of restricted stock awards is determined on the date of grant and is expensed ratably over the vesting period. The fair value of performance share units is determined on the date of grant </w:t>
            </w:r>
            <w:r>
              <w:rPr>
                <w:rFonts w:ascii="Times New Roman" w:eastAsia="宋体" w:hAnsi="Times New Roman"/>
                <w:sz w:val="20"/>
                <w:szCs w:val="20"/>
              </w:rPr>
              <w:t>using the Company's stock price discounted for the expected dividend yield through the vesting period and is recognized over the vesting period. The weighted-average discount for the dividend yield used to determine the fair value of performance share unit</w:t>
            </w:r>
            <w:r>
              <w:rPr>
                <w:rFonts w:ascii="Times New Roman" w:eastAsia="宋体" w:hAnsi="Times New Roman"/>
                <w:sz w:val="20"/>
                <w:szCs w:val="20"/>
              </w:rPr>
              <w:t>s in fiscal 2020, 2019 and 2018 was 5.1%, 6.2% and 7.2%, respectively.</w:t>
            </w:r>
          </w:p>
        </w:tc>
      </w:tr>
    </w:tbl>
    <w:p w14:paraId="42A12C9A"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840"/>
        <w:gridCol w:w="7466"/>
      </w:tblGrid>
      <w:tr w:rsidR="00BB68E1" w14:paraId="42A12C9D" w14:textId="77777777">
        <w:trPr>
          <w:tblCellSpacing w:w="0" w:type="dxa"/>
        </w:trPr>
        <w:tc>
          <w:tcPr>
            <w:tcW w:w="840" w:type="dxa"/>
            <w:shd w:val="clear" w:color="auto" w:fill="auto"/>
            <w:vAlign w:val="center"/>
          </w:tcPr>
          <w:p w14:paraId="42A12C9B" w14:textId="77777777" w:rsidR="00BB68E1" w:rsidRDefault="00BB68E1">
            <w:pPr>
              <w:rPr>
                <w:rFonts w:ascii="Times New Roman" w:hAnsi="Times New Roman"/>
                <w:sz w:val="20"/>
                <w:szCs w:val="20"/>
              </w:rPr>
            </w:pPr>
          </w:p>
        </w:tc>
        <w:tc>
          <w:tcPr>
            <w:tcW w:w="0" w:type="auto"/>
            <w:shd w:val="clear" w:color="auto" w:fill="auto"/>
            <w:vAlign w:val="center"/>
          </w:tcPr>
          <w:p w14:paraId="42A12C9C" w14:textId="77777777" w:rsidR="00BB68E1" w:rsidRDefault="00BB68E1">
            <w:pPr>
              <w:rPr>
                <w:rFonts w:ascii="Times New Roman" w:hAnsi="Times New Roman"/>
                <w:sz w:val="20"/>
                <w:szCs w:val="20"/>
              </w:rPr>
            </w:pPr>
          </w:p>
        </w:tc>
      </w:tr>
      <w:tr w:rsidR="00BB68E1" w14:paraId="42A12CA0" w14:textId="77777777">
        <w:trPr>
          <w:tblCellSpacing w:w="0" w:type="dxa"/>
        </w:trPr>
        <w:tc>
          <w:tcPr>
            <w:tcW w:w="0" w:type="auto"/>
            <w:shd w:val="clear" w:color="auto" w:fill="auto"/>
          </w:tcPr>
          <w:p w14:paraId="42A12C9E"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2C9F"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i/>
                <w:iCs/>
                <w:sz w:val="20"/>
                <w:szCs w:val="20"/>
              </w:rPr>
              <w:t xml:space="preserve">Restricted Stock Units. </w:t>
            </w:r>
            <w:r>
              <w:rPr>
                <w:rFonts w:ascii="Times New Roman" w:eastAsia="宋体" w:hAnsi="Times New Roman"/>
                <w:sz w:val="20"/>
                <w:szCs w:val="20"/>
              </w:rPr>
              <w:t>Restricted stock units provide rights to Company stock after a specified service period. Beginning in fiscal 2020, restricted stock units generally vest a</w:t>
            </w:r>
            <w:r>
              <w:rPr>
                <w:rFonts w:ascii="Times New Roman" w:eastAsia="宋体" w:hAnsi="Times New Roman"/>
                <w:sz w:val="20"/>
                <w:szCs w:val="20"/>
              </w:rPr>
              <w:t>t a rate of 25% each year over a four year period from the date of the grant. Prior to fiscal 2020, 50% of restricted stock units generally vested three years from the grant date and the remaining 50% were vested five years from the grant date. The fair va</w:t>
            </w:r>
            <w:r>
              <w:rPr>
                <w:rFonts w:ascii="Times New Roman" w:eastAsia="宋体" w:hAnsi="Times New Roman"/>
                <w:sz w:val="20"/>
                <w:szCs w:val="20"/>
              </w:rPr>
              <w:t xml:space="preserve">lue of each restricted stock unit is determined on the date of grant using the stock price discounted for the expected dividend yield through the vesting period and is recognized ratably over the vesting period. The expected dividend yield is based on the </w:t>
            </w:r>
            <w:r>
              <w:rPr>
                <w:rFonts w:ascii="Times New Roman" w:eastAsia="宋体" w:hAnsi="Times New Roman"/>
                <w:sz w:val="20"/>
                <w:szCs w:val="20"/>
              </w:rPr>
              <w:t xml:space="preserve">anticipated </w:t>
            </w:r>
          </w:p>
        </w:tc>
      </w:tr>
    </w:tbl>
    <w:p w14:paraId="42A12CA1" w14:textId="77777777" w:rsidR="00BB68E1" w:rsidRDefault="00BB68E1">
      <w:pPr>
        <w:rPr>
          <w:rFonts w:ascii="Times New Roman" w:hAnsi="Times New Roman"/>
          <w:sz w:val="20"/>
          <w:szCs w:val="20"/>
        </w:rPr>
      </w:pPr>
    </w:p>
    <w:p w14:paraId="42A12CA2"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61</w:t>
      </w:r>
    </w:p>
    <w:p w14:paraId="42A12CA3" w14:textId="77777777" w:rsidR="00BB68E1" w:rsidRDefault="00BB68E1">
      <w:pPr>
        <w:spacing w:line="288" w:lineRule="auto"/>
        <w:jc w:val="center"/>
        <w:rPr>
          <w:rFonts w:ascii="Times New Roman" w:hAnsi="Times New Roman"/>
          <w:sz w:val="20"/>
          <w:szCs w:val="20"/>
        </w:rPr>
      </w:pPr>
    </w:p>
    <w:p w14:paraId="42A12CA4" w14:textId="77777777" w:rsidR="00BB68E1" w:rsidRDefault="005D2D5E">
      <w:r>
        <w:rPr>
          <w:rFonts w:ascii="Times New Roman" w:hAnsi="Times New Roman"/>
          <w:sz w:val="20"/>
          <w:szCs w:val="20"/>
        </w:rPr>
        <w:pict w14:anchorId="42A142B4">
          <v:rect id="_x0000_i1085" style="width:415.3pt;height:1.5pt" o:hralign="center" o:hrstd="t" o:hr="t" fillcolor="#a0a0a0" stroked="f"/>
        </w:pict>
      </w:r>
    </w:p>
    <w:p w14:paraId="42A12CA5" w14:textId="77777777" w:rsidR="00BB68E1" w:rsidRDefault="00BB68E1">
      <w:pPr>
        <w:spacing w:line="288" w:lineRule="auto"/>
        <w:rPr>
          <w:rFonts w:ascii="Times New Roman" w:hAnsi="Times New Roman"/>
          <w:sz w:val="20"/>
          <w:szCs w:val="20"/>
        </w:rPr>
      </w:pPr>
    </w:p>
    <w:p w14:paraId="42A12CA6" w14:textId="77777777" w:rsidR="00BB68E1" w:rsidRDefault="00BB68E1">
      <w:pPr>
        <w:rPr>
          <w:rFonts w:ascii="Times New Roman" w:hAnsi="Times New Roman"/>
          <w:sz w:val="20"/>
          <w:szCs w:val="20"/>
        </w:rPr>
      </w:pPr>
    </w:p>
    <w:p w14:paraId="42A12CA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 xml:space="preserve">dividends over the vesting period. The weighted-average discount for the dividend yield used to determine the fair value of restricted stock units granted in fiscal 2020, 2019 and 2018 was 4.9%, 7.2% and 9.0%, </w:t>
      </w:r>
      <w:r>
        <w:rPr>
          <w:rFonts w:ascii="Times New Roman" w:eastAsia="宋体" w:hAnsi="Times New Roman"/>
          <w:sz w:val="20"/>
          <w:szCs w:val="20"/>
        </w:rPr>
        <w:t>respectively.</w:t>
      </w:r>
    </w:p>
    <w:p w14:paraId="42A12CA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In addition to the Plan, the Company's United Kingdom subsidiary has stock option plans for certain colleagues which generally vest over three years. The stock option share-based compensation expense is included in the Other line in the </w:t>
      </w:r>
      <w:r>
        <w:rPr>
          <w:rFonts w:ascii="Times New Roman" w:eastAsia="宋体" w:hAnsi="Times New Roman"/>
          <w:sz w:val="20"/>
          <w:szCs w:val="20"/>
        </w:rPr>
        <w:t>table above.</w:t>
      </w:r>
    </w:p>
    <w:p w14:paraId="42A12CA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Flipkart also maintains a stock option plan primarily for the benefit of employees and nonemployee directors under which options to acquire Flipkart common shares may be issued. The grants have no exercise price and no compensation expense was</w:t>
      </w:r>
      <w:r>
        <w:rPr>
          <w:rFonts w:ascii="Times New Roman" w:eastAsia="宋体" w:hAnsi="Times New Roman"/>
          <w:sz w:val="20"/>
          <w:szCs w:val="20"/>
        </w:rPr>
        <w:t xml:space="preserve"> recognized during fiscal 2020 or fiscal 2019 where a performance condition was not deemed probable of occurring.</w:t>
      </w:r>
    </w:p>
    <w:p w14:paraId="42A12CA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following table shows the activity for restricted stock and performance share units and restricted stock units during fiscal 2020:</w:t>
      </w:r>
    </w:p>
    <w:tbl>
      <w:tblPr>
        <w:tblW w:w="5000" w:type="pct"/>
        <w:jc w:val="center"/>
        <w:tblCellMar>
          <w:left w:w="0" w:type="dxa"/>
          <w:right w:w="0" w:type="dxa"/>
        </w:tblCellMar>
        <w:tblLook w:val="04A0" w:firstRow="1" w:lastRow="0" w:firstColumn="1" w:lastColumn="0" w:noHBand="0" w:noVBand="1"/>
      </w:tblPr>
      <w:tblGrid>
        <w:gridCol w:w="2678"/>
        <w:gridCol w:w="130"/>
        <w:gridCol w:w="1266"/>
        <w:gridCol w:w="94"/>
        <w:gridCol w:w="130"/>
        <w:gridCol w:w="120"/>
        <w:gridCol w:w="1200"/>
        <w:gridCol w:w="80"/>
        <w:gridCol w:w="130"/>
        <w:gridCol w:w="859"/>
        <w:gridCol w:w="94"/>
        <w:gridCol w:w="130"/>
        <w:gridCol w:w="120"/>
        <w:gridCol w:w="1190"/>
        <w:gridCol w:w="85"/>
      </w:tblGrid>
      <w:tr w:rsidR="00BB68E1" w14:paraId="42A12CAC" w14:textId="77777777">
        <w:trPr>
          <w:jc w:val="center"/>
        </w:trPr>
        <w:tc>
          <w:tcPr>
            <w:tcW w:w="0" w:type="auto"/>
            <w:gridSpan w:val="15"/>
            <w:shd w:val="clear" w:color="auto" w:fill="auto"/>
            <w:vAlign w:val="center"/>
          </w:tcPr>
          <w:p w14:paraId="42A12CAB" w14:textId="77777777" w:rsidR="00BB68E1" w:rsidRDefault="00BB68E1">
            <w:pPr>
              <w:rPr>
                <w:rFonts w:ascii="Times New Roman" w:hAnsi="Times New Roman"/>
                <w:sz w:val="20"/>
                <w:szCs w:val="20"/>
              </w:rPr>
            </w:pPr>
          </w:p>
        </w:tc>
      </w:tr>
      <w:tr w:rsidR="00BB68E1" w14:paraId="42A12CBC" w14:textId="77777777">
        <w:trPr>
          <w:jc w:val="center"/>
        </w:trPr>
        <w:tc>
          <w:tcPr>
            <w:tcW w:w="1650" w:type="pct"/>
            <w:shd w:val="clear" w:color="auto" w:fill="auto"/>
            <w:vAlign w:val="center"/>
          </w:tcPr>
          <w:p w14:paraId="42A12CAD" w14:textId="77777777" w:rsidR="00BB68E1" w:rsidRDefault="00BB68E1">
            <w:pPr>
              <w:rPr>
                <w:rFonts w:ascii="Times New Roman" w:hAnsi="Times New Roman"/>
                <w:sz w:val="20"/>
                <w:szCs w:val="20"/>
              </w:rPr>
            </w:pPr>
          </w:p>
        </w:tc>
        <w:tc>
          <w:tcPr>
            <w:tcW w:w="50" w:type="pct"/>
            <w:shd w:val="clear" w:color="auto" w:fill="auto"/>
            <w:vAlign w:val="center"/>
          </w:tcPr>
          <w:p w14:paraId="42A12CAE" w14:textId="77777777" w:rsidR="00BB68E1" w:rsidRDefault="00BB68E1">
            <w:pPr>
              <w:rPr>
                <w:rFonts w:ascii="Times New Roman" w:hAnsi="Times New Roman"/>
                <w:sz w:val="20"/>
                <w:szCs w:val="20"/>
              </w:rPr>
            </w:pPr>
          </w:p>
        </w:tc>
        <w:tc>
          <w:tcPr>
            <w:tcW w:w="800" w:type="pct"/>
            <w:shd w:val="clear" w:color="auto" w:fill="auto"/>
            <w:vAlign w:val="center"/>
          </w:tcPr>
          <w:p w14:paraId="42A12CAF" w14:textId="77777777" w:rsidR="00BB68E1" w:rsidRDefault="00BB68E1">
            <w:pPr>
              <w:rPr>
                <w:rFonts w:ascii="Times New Roman" w:hAnsi="Times New Roman"/>
                <w:sz w:val="20"/>
                <w:szCs w:val="20"/>
              </w:rPr>
            </w:pPr>
          </w:p>
        </w:tc>
        <w:tc>
          <w:tcPr>
            <w:tcW w:w="50" w:type="pct"/>
            <w:shd w:val="clear" w:color="auto" w:fill="auto"/>
            <w:vAlign w:val="center"/>
          </w:tcPr>
          <w:p w14:paraId="42A12CB0" w14:textId="77777777" w:rsidR="00BB68E1" w:rsidRDefault="00BB68E1">
            <w:pPr>
              <w:rPr>
                <w:rFonts w:ascii="Times New Roman" w:hAnsi="Times New Roman"/>
                <w:sz w:val="20"/>
                <w:szCs w:val="20"/>
              </w:rPr>
            </w:pPr>
          </w:p>
        </w:tc>
        <w:tc>
          <w:tcPr>
            <w:tcW w:w="50" w:type="pct"/>
            <w:shd w:val="clear" w:color="auto" w:fill="auto"/>
            <w:vAlign w:val="center"/>
          </w:tcPr>
          <w:p w14:paraId="42A12CB1" w14:textId="77777777" w:rsidR="00BB68E1" w:rsidRDefault="00BB68E1">
            <w:pPr>
              <w:rPr>
                <w:rFonts w:ascii="Times New Roman" w:hAnsi="Times New Roman"/>
                <w:sz w:val="20"/>
                <w:szCs w:val="20"/>
              </w:rPr>
            </w:pPr>
          </w:p>
        </w:tc>
        <w:tc>
          <w:tcPr>
            <w:tcW w:w="50" w:type="pct"/>
            <w:shd w:val="clear" w:color="auto" w:fill="auto"/>
            <w:vAlign w:val="center"/>
          </w:tcPr>
          <w:p w14:paraId="42A12CB2" w14:textId="77777777" w:rsidR="00BB68E1" w:rsidRDefault="00BB68E1">
            <w:pPr>
              <w:rPr>
                <w:rFonts w:ascii="Times New Roman" w:hAnsi="Times New Roman"/>
                <w:sz w:val="20"/>
                <w:szCs w:val="20"/>
              </w:rPr>
            </w:pPr>
          </w:p>
        </w:tc>
        <w:tc>
          <w:tcPr>
            <w:tcW w:w="750" w:type="pct"/>
            <w:shd w:val="clear" w:color="auto" w:fill="auto"/>
            <w:vAlign w:val="center"/>
          </w:tcPr>
          <w:p w14:paraId="42A12CB3" w14:textId="77777777" w:rsidR="00BB68E1" w:rsidRDefault="00BB68E1">
            <w:pPr>
              <w:rPr>
                <w:rFonts w:ascii="Times New Roman" w:hAnsi="Times New Roman"/>
                <w:sz w:val="20"/>
                <w:szCs w:val="20"/>
              </w:rPr>
            </w:pPr>
          </w:p>
        </w:tc>
        <w:tc>
          <w:tcPr>
            <w:tcW w:w="50" w:type="pct"/>
            <w:shd w:val="clear" w:color="auto" w:fill="auto"/>
            <w:vAlign w:val="center"/>
          </w:tcPr>
          <w:p w14:paraId="42A12CB4" w14:textId="77777777" w:rsidR="00BB68E1" w:rsidRDefault="00BB68E1">
            <w:pPr>
              <w:rPr>
                <w:rFonts w:ascii="Times New Roman" w:hAnsi="Times New Roman"/>
                <w:sz w:val="20"/>
                <w:szCs w:val="20"/>
              </w:rPr>
            </w:pPr>
          </w:p>
        </w:tc>
        <w:tc>
          <w:tcPr>
            <w:tcW w:w="50" w:type="pct"/>
            <w:shd w:val="clear" w:color="auto" w:fill="auto"/>
            <w:vAlign w:val="center"/>
          </w:tcPr>
          <w:p w14:paraId="42A12CB5" w14:textId="77777777" w:rsidR="00BB68E1" w:rsidRDefault="00BB68E1">
            <w:pPr>
              <w:rPr>
                <w:rFonts w:ascii="Times New Roman" w:hAnsi="Times New Roman"/>
                <w:sz w:val="20"/>
                <w:szCs w:val="20"/>
              </w:rPr>
            </w:pPr>
          </w:p>
        </w:tc>
        <w:tc>
          <w:tcPr>
            <w:tcW w:w="600" w:type="pct"/>
            <w:shd w:val="clear" w:color="auto" w:fill="auto"/>
            <w:vAlign w:val="center"/>
          </w:tcPr>
          <w:p w14:paraId="42A12CB6" w14:textId="77777777" w:rsidR="00BB68E1" w:rsidRDefault="00BB68E1">
            <w:pPr>
              <w:rPr>
                <w:rFonts w:ascii="Times New Roman" w:hAnsi="Times New Roman"/>
                <w:sz w:val="20"/>
                <w:szCs w:val="20"/>
              </w:rPr>
            </w:pPr>
          </w:p>
        </w:tc>
        <w:tc>
          <w:tcPr>
            <w:tcW w:w="50" w:type="pct"/>
            <w:shd w:val="clear" w:color="auto" w:fill="auto"/>
            <w:vAlign w:val="center"/>
          </w:tcPr>
          <w:p w14:paraId="42A12CB7" w14:textId="77777777" w:rsidR="00BB68E1" w:rsidRDefault="00BB68E1">
            <w:pPr>
              <w:rPr>
                <w:rFonts w:ascii="Times New Roman" w:hAnsi="Times New Roman"/>
                <w:sz w:val="20"/>
                <w:szCs w:val="20"/>
              </w:rPr>
            </w:pPr>
          </w:p>
        </w:tc>
        <w:tc>
          <w:tcPr>
            <w:tcW w:w="50" w:type="pct"/>
            <w:shd w:val="clear" w:color="auto" w:fill="auto"/>
            <w:vAlign w:val="center"/>
          </w:tcPr>
          <w:p w14:paraId="42A12CB8" w14:textId="77777777" w:rsidR="00BB68E1" w:rsidRDefault="00BB68E1">
            <w:pPr>
              <w:rPr>
                <w:rFonts w:ascii="Times New Roman" w:hAnsi="Times New Roman"/>
                <w:sz w:val="20"/>
                <w:szCs w:val="20"/>
              </w:rPr>
            </w:pPr>
          </w:p>
        </w:tc>
        <w:tc>
          <w:tcPr>
            <w:tcW w:w="50" w:type="pct"/>
            <w:shd w:val="clear" w:color="auto" w:fill="auto"/>
            <w:vAlign w:val="center"/>
          </w:tcPr>
          <w:p w14:paraId="42A12CB9" w14:textId="77777777" w:rsidR="00BB68E1" w:rsidRDefault="00BB68E1">
            <w:pPr>
              <w:rPr>
                <w:rFonts w:ascii="Times New Roman" w:hAnsi="Times New Roman"/>
                <w:sz w:val="20"/>
                <w:szCs w:val="20"/>
              </w:rPr>
            </w:pPr>
          </w:p>
        </w:tc>
        <w:tc>
          <w:tcPr>
            <w:tcW w:w="700" w:type="pct"/>
            <w:shd w:val="clear" w:color="auto" w:fill="auto"/>
            <w:vAlign w:val="center"/>
          </w:tcPr>
          <w:p w14:paraId="42A12CBA" w14:textId="77777777" w:rsidR="00BB68E1" w:rsidRDefault="00BB68E1">
            <w:pPr>
              <w:rPr>
                <w:rFonts w:ascii="Times New Roman" w:hAnsi="Times New Roman"/>
                <w:sz w:val="20"/>
                <w:szCs w:val="20"/>
              </w:rPr>
            </w:pPr>
          </w:p>
        </w:tc>
        <w:tc>
          <w:tcPr>
            <w:tcW w:w="50" w:type="pct"/>
            <w:shd w:val="clear" w:color="auto" w:fill="auto"/>
            <w:vAlign w:val="center"/>
          </w:tcPr>
          <w:p w14:paraId="42A12CBB" w14:textId="77777777" w:rsidR="00BB68E1" w:rsidRDefault="00BB68E1">
            <w:pPr>
              <w:rPr>
                <w:rFonts w:ascii="Times New Roman" w:hAnsi="Times New Roman"/>
                <w:sz w:val="20"/>
                <w:szCs w:val="20"/>
              </w:rPr>
            </w:pPr>
          </w:p>
        </w:tc>
      </w:tr>
      <w:tr w:rsidR="00BB68E1" w14:paraId="42A12CC2" w14:textId="77777777">
        <w:trPr>
          <w:jc w:val="center"/>
        </w:trPr>
        <w:tc>
          <w:tcPr>
            <w:tcW w:w="0" w:type="auto"/>
            <w:shd w:val="clear" w:color="auto" w:fill="auto"/>
            <w:tcMar>
              <w:top w:w="40" w:type="dxa"/>
              <w:left w:w="40" w:type="dxa"/>
              <w:bottom w:w="40" w:type="dxa"/>
              <w:right w:w="40" w:type="dxa"/>
            </w:tcMar>
            <w:vAlign w:val="bottom"/>
          </w:tcPr>
          <w:p w14:paraId="42A12CB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CB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42A12CB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Restricted Stock and Performance Share Units</w:t>
            </w:r>
          </w:p>
        </w:tc>
        <w:tc>
          <w:tcPr>
            <w:tcW w:w="0" w:type="auto"/>
            <w:shd w:val="clear" w:color="auto" w:fill="auto"/>
            <w:tcMar>
              <w:top w:w="40" w:type="dxa"/>
              <w:left w:w="40" w:type="dxa"/>
              <w:bottom w:w="40" w:type="dxa"/>
              <w:right w:w="40" w:type="dxa"/>
            </w:tcMar>
            <w:vAlign w:val="bottom"/>
          </w:tcPr>
          <w:p w14:paraId="42A12C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42A12CC1"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Restricted Stock Units</w:t>
            </w:r>
          </w:p>
        </w:tc>
      </w:tr>
      <w:tr w:rsidR="00BB68E1" w14:paraId="42A12CCC" w14:textId="77777777">
        <w:trPr>
          <w:jc w:val="center"/>
        </w:trPr>
        <w:tc>
          <w:tcPr>
            <w:tcW w:w="0" w:type="auto"/>
            <w:shd w:val="clear" w:color="auto" w:fill="auto"/>
            <w:tcMar>
              <w:top w:w="40" w:type="dxa"/>
              <w:left w:w="40" w:type="dxa"/>
              <w:bottom w:w="40" w:type="dxa"/>
              <w:right w:w="40" w:type="dxa"/>
            </w:tcMar>
            <w:vAlign w:val="bottom"/>
          </w:tcPr>
          <w:p w14:paraId="42A12CC3"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(Shares in thousands)</w:t>
            </w:r>
          </w:p>
        </w:tc>
        <w:tc>
          <w:tcPr>
            <w:tcW w:w="0" w:type="auto"/>
            <w:shd w:val="clear" w:color="auto" w:fill="auto"/>
            <w:tcMar>
              <w:top w:w="40" w:type="dxa"/>
              <w:left w:w="40" w:type="dxa"/>
              <w:bottom w:w="40" w:type="dxa"/>
              <w:right w:w="40" w:type="dxa"/>
            </w:tcMar>
            <w:vAlign w:val="bottom"/>
          </w:tcPr>
          <w:p w14:paraId="42A12CC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2CC5"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42A12C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CC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Weighted-Average Grant-Date Fair Value Per Share</w:t>
            </w:r>
          </w:p>
        </w:tc>
        <w:tc>
          <w:tcPr>
            <w:tcW w:w="0" w:type="auto"/>
            <w:shd w:val="clear" w:color="auto" w:fill="auto"/>
            <w:tcMar>
              <w:top w:w="40" w:type="dxa"/>
              <w:left w:w="40" w:type="dxa"/>
              <w:bottom w:w="40" w:type="dxa"/>
              <w:right w:w="40" w:type="dxa"/>
            </w:tcMar>
            <w:vAlign w:val="bottom"/>
          </w:tcPr>
          <w:p w14:paraId="42A12C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2CC9"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42A12CC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CC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Weighted-Average Grant-Date Fair Value Per Share</w:t>
            </w:r>
          </w:p>
        </w:tc>
      </w:tr>
      <w:tr w:rsidR="00BB68E1" w14:paraId="42A12CDC" w14:textId="77777777">
        <w:trPr>
          <w:jc w:val="center"/>
        </w:trPr>
        <w:tc>
          <w:tcPr>
            <w:tcW w:w="0" w:type="auto"/>
            <w:shd w:val="clear" w:color="auto" w:fill="CCEEFF"/>
            <w:tcMar>
              <w:top w:w="40" w:type="dxa"/>
              <w:left w:w="40" w:type="dxa"/>
              <w:bottom w:w="40" w:type="dxa"/>
              <w:right w:w="40" w:type="dxa"/>
            </w:tcMar>
            <w:vAlign w:val="center"/>
          </w:tcPr>
          <w:p w14:paraId="42A12CC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Outstanding as of </w:t>
            </w:r>
            <w:r>
              <w:rPr>
                <w:rFonts w:ascii="Times New Roman" w:eastAsia="宋体" w:hAnsi="Times New Roman"/>
                <w:sz w:val="16"/>
                <w:szCs w:val="16"/>
              </w:rPr>
              <w:t>February 1, 2019</w:t>
            </w:r>
          </w:p>
        </w:tc>
        <w:tc>
          <w:tcPr>
            <w:tcW w:w="0" w:type="auto"/>
            <w:shd w:val="clear" w:color="auto" w:fill="CCEEFF"/>
            <w:tcMar>
              <w:top w:w="40" w:type="dxa"/>
              <w:left w:w="40" w:type="dxa"/>
              <w:bottom w:w="40" w:type="dxa"/>
              <w:right w:w="40" w:type="dxa"/>
            </w:tcMar>
            <w:vAlign w:val="bottom"/>
          </w:tcPr>
          <w:p w14:paraId="42A12CC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2CC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8,799</w:t>
            </w:r>
          </w:p>
        </w:tc>
        <w:tc>
          <w:tcPr>
            <w:tcW w:w="0" w:type="auto"/>
            <w:tcBorders>
              <w:top w:val="single" w:sz="8" w:space="0" w:color="000000"/>
            </w:tcBorders>
            <w:shd w:val="clear" w:color="auto" w:fill="CCEEFF"/>
            <w:vAlign w:val="bottom"/>
          </w:tcPr>
          <w:p w14:paraId="42A12CD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CD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2CD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2CD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75.39</w:t>
            </w:r>
          </w:p>
        </w:tc>
        <w:tc>
          <w:tcPr>
            <w:tcW w:w="0" w:type="auto"/>
            <w:tcBorders>
              <w:top w:val="single" w:sz="8" w:space="0" w:color="000000"/>
            </w:tcBorders>
            <w:shd w:val="clear" w:color="auto" w:fill="CCEEFF"/>
            <w:vAlign w:val="bottom"/>
          </w:tcPr>
          <w:p w14:paraId="42A12CD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CD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2CD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23,955</w:t>
            </w:r>
          </w:p>
        </w:tc>
        <w:tc>
          <w:tcPr>
            <w:tcW w:w="0" w:type="auto"/>
            <w:tcBorders>
              <w:top w:val="single" w:sz="8" w:space="0" w:color="000000"/>
            </w:tcBorders>
            <w:shd w:val="clear" w:color="auto" w:fill="CCEEFF"/>
            <w:vAlign w:val="bottom"/>
          </w:tcPr>
          <w:p w14:paraId="42A12CD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CD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CD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CD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70.47</w:t>
            </w:r>
          </w:p>
        </w:tc>
        <w:tc>
          <w:tcPr>
            <w:tcW w:w="0" w:type="auto"/>
            <w:shd w:val="clear" w:color="auto" w:fill="CCEEFF"/>
            <w:vAlign w:val="bottom"/>
          </w:tcPr>
          <w:p w14:paraId="42A12CDB" w14:textId="77777777" w:rsidR="00BB68E1" w:rsidRDefault="00BB68E1">
            <w:pPr>
              <w:textAlignment w:val="bottom"/>
              <w:rPr>
                <w:rFonts w:ascii="Times New Roman" w:hAnsi="Times New Roman"/>
                <w:sz w:val="20"/>
                <w:szCs w:val="20"/>
              </w:rPr>
            </w:pPr>
          </w:p>
        </w:tc>
      </w:tr>
      <w:tr w:rsidR="00BB68E1" w14:paraId="42A12CEA" w14:textId="77777777">
        <w:trPr>
          <w:jc w:val="center"/>
        </w:trPr>
        <w:tc>
          <w:tcPr>
            <w:tcW w:w="0" w:type="auto"/>
            <w:shd w:val="clear" w:color="auto" w:fill="auto"/>
            <w:tcMar>
              <w:top w:w="40" w:type="dxa"/>
              <w:left w:w="560" w:type="dxa"/>
              <w:bottom w:w="40" w:type="dxa"/>
              <w:right w:w="40" w:type="dxa"/>
            </w:tcMar>
            <w:vAlign w:val="center"/>
          </w:tcPr>
          <w:p w14:paraId="42A12CD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Granted</w:t>
            </w:r>
          </w:p>
        </w:tc>
        <w:tc>
          <w:tcPr>
            <w:tcW w:w="0" w:type="auto"/>
            <w:shd w:val="clear" w:color="auto" w:fill="auto"/>
            <w:tcMar>
              <w:top w:w="40" w:type="dxa"/>
              <w:left w:w="40" w:type="dxa"/>
              <w:bottom w:w="40" w:type="dxa"/>
              <w:right w:w="40" w:type="dxa"/>
            </w:tcMar>
            <w:vAlign w:val="bottom"/>
          </w:tcPr>
          <w:p w14:paraId="42A12CD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CD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3,354</w:t>
            </w:r>
          </w:p>
        </w:tc>
        <w:tc>
          <w:tcPr>
            <w:tcW w:w="0" w:type="auto"/>
            <w:shd w:val="clear" w:color="auto" w:fill="auto"/>
            <w:vAlign w:val="bottom"/>
          </w:tcPr>
          <w:p w14:paraId="42A12CE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CE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CE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100.38</w:t>
            </w:r>
          </w:p>
        </w:tc>
        <w:tc>
          <w:tcPr>
            <w:tcW w:w="0" w:type="auto"/>
            <w:shd w:val="clear" w:color="auto" w:fill="auto"/>
            <w:vAlign w:val="bottom"/>
          </w:tcPr>
          <w:p w14:paraId="42A12CE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CE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CE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8,504</w:t>
            </w:r>
          </w:p>
        </w:tc>
        <w:tc>
          <w:tcPr>
            <w:tcW w:w="0" w:type="auto"/>
            <w:shd w:val="clear" w:color="auto" w:fill="auto"/>
            <w:vAlign w:val="bottom"/>
          </w:tcPr>
          <w:p w14:paraId="42A12CE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CE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CE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95.92</w:t>
            </w:r>
          </w:p>
        </w:tc>
        <w:tc>
          <w:tcPr>
            <w:tcW w:w="0" w:type="auto"/>
            <w:shd w:val="clear" w:color="auto" w:fill="auto"/>
            <w:vAlign w:val="bottom"/>
          </w:tcPr>
          <w:p w14:paraId="42A12CE9" w14:textId="77777777" w:rsidR="00BB68E1" w:rsidRDefault="00BB68E1">
            <w:pPr>
              <w:textAlignment w:val="bottom"/>
              <w:rPr>
                <w:rFonts w:ascii="Times New Roman" w:hAnsi="Times New Roman"/>
                <w:sz w:val="20"/>
                <w:szCs w:val="20"/>
              </w:rPr>
            </w:pPr>
          </w:p>
        </w:tc>
      </w:tr>
      <w:tr w:rsidR="00BB68E1" w14:paraId="42A12CF8" w14:textId="77777777">
        <w:trPr>
          <w:jc w:val="center"/>
        </w:trPr>
        <w:tc>
          <w:tcPr>
            <w:tcW w:w="0" w:type="auto"/>
            <w:shd w:val="clear" w:color="auto" w:fill="CCEEFF"/>
            <w:tcMar>
              <w:top w:w="40" w:type="dxa"/>
              <w:left w:w="560" w:type="dxa"/>
              <w:bottom w:w="40" w:type="dxa"/>
              <w:right w:w="40" w:type="dxa"/>
            </w:tcMar>
            <w:vAlign w:val="center"/>
          </w:tcPr>
          <w:p w14:paraId="42A12CE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Adjustment for performance achievement</w:t>
            </w:r>
            <w:r>
              <w:rPr>
                <w:rFonts w:ascii="Times New Roman" w:eastAsia="宋体" w:hAnsi="Times New Roman"/>
                <w:sz w:val="10"/>
                <w:szCs w:val="10"/>
              </w:rPr>
              <w:t>(1)</w:t>
            </w:r>
          </w:p>
        </w:tc>
        <w:tc>
          <w:tcPr>
            <w:tcW w:w="0" w:type="auto"/>
            <w:shd w:val="clear" w:color="auto" w:fill="CCEEFF"/>
            <w:tcMar>
              <w:top w:w="40" w:type="dxa"/>
              <w:left w:w="40" w:type="dxa"/>
              <w:bottom w:w="40" w:type="dxa"/>
              <w:right w:w="40" w:type="dxa"/>
            </w:tcMar>
            <w:vAlign w:val="bottom"/>
          </w:tcPr>
          <w:p w14:paraId="42A12CE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CE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898</w:t>
            </w:r>
          </w:p>
        </w:tc>
        <w:tc>
          <w:tcPr>
            <w:tcW w:w="0" w:type="auto"/>
            <w:shd w:val="clear" w:color="auto" w:fill="CCEEFF"/>
            <w:vAlign w:val="bottom"/>
          </w:tcPr>
          <w:p w14:paraId="42A12CE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CE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CF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64.50</w:t>
            </w:r>
          </w:p>
        </w:tc>
        <w:tc>
          <w:tcPr>
            <w:tcW w:w="0" w:type="auto"/>
            <w:shd w:val="clear" w:color="auto" w:fill="CCEEFF"/>
            <w:vAlign w:val="bottom"/>
          </w:tcPr>
          <w:p w14:paraId="42A12CF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CF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CF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CF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CF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CF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CF7" w14:textId="77777777" w:rsidR="00BB68E1" w:rsidRDefault="00BB68E1">
            <w:pPr>
              <w:textAlignment w:val="bottom"/>
              <w:rPr>
                <w:rFonts w:ascii="Times New Roman" w:hAnsi="Times New Roman"/>
                <w:sz w:val="20"/>
                <w:szCs w:val="20"/>
              </w:rPr>
            </w:pPr>
          </w:p>
        </w:tc>
      </w:tr>
      <w:tr w:rsidR="00BB68E1" w14:paraId="42A12D06" w14:textId="77777777">
        <w:trPr>
          <w:jc w:val="center"/>
        </w:trPr>
        <w:tc>
          <w:tcPr>
            <w:tcW w:w="0" w:type="auto"/>
            <w:shd w:val="clear" w:color="auto" w:fill="auto"/>
            <w:tcMar>
              <w:top w:w="40" w:type="dxa"/>
              <w:left w:w="560" w:type="dxa"/>
              <w:bottom w:w="40" w:type="dxa"/>
              <w:right w:w="40" w:type="dxa"/>
            </w:tcMar>
            <w:vAlign w:val="center"/>
          </w:tcPr>
          <w:p w14:paraId="42A12CF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Vested/exercised</w:t>
            </w:r>
          </w:p>
        </w:tc>
        <w:tc>
          <w:tcPr>
            <w:tcW w:w="0" w:type="auto"/>
            <w:shd w:val="clear" w:color="auto" w:fill="auto"/>
            <w:tcMar>
              <w:top w:w="40" w:type="dxa"/>
              <w:left w:w="40" w:type="dxa"/>
              <w:bottom w:w="40" w:type="dxa"/>
              <w:right w:w="40" w:type="dxa"/>
            </w:tcMar>
            <w:vAlign w:val="bottom"/>
          </w:tcPr>
          <w:p w14:paraId="42A12CF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CF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(5,365</w:t>
            </w:r>
          </w:p>
        </w:tc>
        <w:tc>
          <w:tcPr>
            <w:tcW w:w="0" w:type="auto"/>
            <w:shd w:val="clear" w:color="auto" w:fill="auto"/>
            <w:tcMar>
              <w:top w:w="40" w:type="dxa"/>
              <w:bottom w:w="40" w:type="dxa"/>
              <w:right w:w="40" w:type="dxa"/>
            </w:tcMar>
            <w:vAlign w:val="center"/>
          </w:tcPr>
          <w:p w14:paraId="42A12CF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CF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CF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67.96</w:t>
            </w:r>
          </w:p>
        </w:tc>
        <w:tc>
          <w:tcPr>
            <w:tcW w:w="0" w:type="auto"/>
            <w:shd w:val="clear" w:color="auto" w:fill="auto"/>
            <w:vAlign w:val="bottom"/>
          </w:tcPr>
          <w:p w14:paraId="42A12CF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D0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2D0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(6,496</w:t>
            </w:r>
          </w:p>
        </w:tc>
        <w:tc>
          <w:tcPr>
            <w:tcW w:w="0" w:type="auto"/>
            <w:shd w:val="clear" w:color="auto" w:fill="auto"/>
            <w:tcMar>
              <w:top w:w="40" w:type="dxa"/>
              <w:bottom w:w="40" w:type="dxa"/>
              <w:right w:w="40" w:type="dxa"/>
            </w:tcMar>
            <w:vAlign w:val="center"/>
          </w:tcPr>
          <w:p w14:paraId="42A12D0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D0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D0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68.13</w:t>
            </w:r>
          </w:p>
        </w:tc>
        <w:tc>
          <w:tcPr>
            <w:tcW w:w="0" w:type="auto"/>
            <w:shd w:val="clear" w:color="auto" w:fill="auto"/>
            <w:vAlign w:val="bottom"/>
          </w:tcPr>
          <w:p w14:paraId="42A12D05" w14:textId="77777777" w:rsidR="00BB68E1" w:rsidRDefault="00BB68E1">
            <w:pPr>
              <w:textAlignment w:val="bottom"/>
              <w:rPr>
                <w:rFonts w:ascii="Times New Roman" w:hAnsi="Times New Roman"/>
                <w:sz w:val="20"/>
                <w:szCs w:val="20"/>
              </w:rPr>
            </w:pPr>
          </w:p>
        </w:tc>
      </w:tr>
      <w:tr w:rsidR="00BB68E1" w14:paraId="42A12D14" w14:textId="77777777">
        <w:trPr>
          <w:jc w:val="center"/>
        </w:trPr>
        <w:tc>
          <w:tcPr>
            <w:tcW w:w="0" w:type="auto"/>
            <w:shd w:val="clear" w:color="auto" w:fill="CCEEFF"/>
            <w:tcMar>
              <w:top w:w="40" w:type="dxa"/>
              <w:left w:w="560" w:type="dxa"/>
              <w:bottom w:w="40" w:type="dxa"/>
              <w:right w:w="40" w:type="dxa"/>
            </w:tcMar>
            <w:vAlign w:val="center"/>
          </w:tcPr>
          <w:p w14:paraId="42A12D0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Forfeited </w:t>
            </w:r>
          </w:p>
        </w:tc>
        <w:tc>
          <w:tcPr>
            <w:tcW w:w="0" w:type="auto"/>
            <w:shd w:val="clear" w:color="auto" w:fill="CCEEFF"/>
            <w:tcMar>
              <w:top w:w="40" w:type="dxa"/>
              <w:left w:w="40" w:type="dxa"/>
              <w:bottom w:w="40" w:type="dxa"/>
              <w:right w:w="40" w:type="dxa"/>
            </w:tcMar>
            <w:vAlign w:val="bottom"/>
          </w:tcPr>
          <w:p w14:paraId="42A12D0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center"/>
          </w:tcPr>
          <w:p w14:paraId="42A12D0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(1,641</w:t>
            </w:r>
          </w:p>
        </w:tc>
        <w:tc>
          <w:tcPr>
            <w:tcW w:w="0" w:type="auto"/>
            <w:tcBorders>
              <w:bottom w:val="single" w:sz="8" w:space="0" w:color="000000"/>
            </w:tcBorders>
            <w:shd w:val="clear" w:color="auto" w:fill="CCEEFF"/>
            <w:tcMar>
              <w:top w:w="40" w:type="dxa"/>
              <w:bottom w:w="40" w:type="dxa"/>
              <w:right w:w="40" w:type="dxa"/>
            </w:tcMar>
            <w:vAlign w:val="center"/>
          </w:tcPr>
          <w:p w14:paraId="42A12D0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D0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D0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82.77</w:t>
            </w:r>
          </w:p>
        </w:tc>
        <w:tc>
          <w:tcPr>
            <w:tcW w:w="0" w:type="auto"/>
            <w:tcBorders>
              <w:bottom w:val="single" w:sz="8" w:space="0" w:color="000000"/>
            </w:tcBorders>
            <w:shd w:val="clear" w:color="auto" w:fill="CCEEFF"/>
            <w:vAlign w:val="bottom"/>
          </w:tcPr>
          <w:p w14:paraId="42A12D0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D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center"/>
          </w:tcPr>
          <w:p w14:paraId="42A12D0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(2,702</w:t>
            </w:r>
          </w:p>
        </w:tc>
        <w:tc>
          <w:tcPr>
            <w:tcW w:w="0" w:type="auto"/>
            <w:tcBorders>
              <w:bottom w:val="single" w:sz="8" w:space="0" w:color="000000"/>
            </w:tcBorders>
            <w:shd w:val="clear" w:color="auto" w:fill="CCEEFF"/>
            <w:tcMar>
              <w:top w:w="40" w:type="dxa"/>
              <w:bottom w:w="40" w:type="dxa"/>
              <w:right w:w="40" w:type="dxa"/>
            </w:tcMar>
            <w:vAlign w:val="center"/>
          </w:tcPr>
          <w:p w14:paraId="42A12D1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D1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D1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78.86</w:t>
            </w:r>
          </w:p>
        </w:tc>
        <w:tc>
          <w:tcPr>
            <w:tcW w:w="0" w:type="auto"/>
            <w:tcBorders>
              <w:bottom w:val="single" w:sz="8" w:space="0" w:color="000000"/>
            </w:tcBorders>
            <w:shd w:val="clear" w:color="auto" w:fill="CCEEFF"/>
            <w:vAlign w:val="bottom"/>
          </w:tcPr>
          <w:p w14:paraId="42A12D13" w14:textId="77777777" w:rsidR="00BB68E1" w:rsidRDefault="00BB68E1">
            <w:pPr>
              <w:textAlignment w:val="bottom"/>
              <w:rPr>
                <w:rFonts w:ascii="Times New Roman" w:hAnsi="Times New Roman"/>
                <w:sz w:val="20"/>
                <w:szCs w:val="20"/>
              </w:rPr>
            </w:pPr>
          </w:p>
        </w:tc>
      </w:tr>
      <w:tr w:rsidR="00BB68E1" w14:paraId="42A12D24" w14:textId="77777777">
        <w:trPr>
          <w:jc w:val="center"/>
        </w:trPr>
        <w:tc>
          <w:tcPr>
            <w:tcW w:w="0" w:type="auto"/>
            <w:shd w:val="clear" w:color="auto" w:fill="auto"/>
            <w:tcMar>
              <w:top w:w="40" w:type="dxa"/>
              <w:left w:w="40" w:type="dxa"/>
              <w:bottom w:w="40" w:type="dxa"/>
              <w:right w:w="40" w:type="dxa"/>
            </w:tcMar>
            <w:vAlign w:val="center"/>
          </w:tcPr>
          <w:p w14:paraId="42A12D15"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Outstand</w:t>
            </w:r>
            <w:r>
              <w:rPr>
                <w:rFonts w:ascii="Times New Roman" w:eastAsia="宋体" w:hAnsi="Times New Roman"/>
                <w:b/>
                <w:bCs/>
                <w:sz w:val="16"/>
                <w:szCs w:val="16"/>
              </w:rPr>
              <w:t>ing as of January 31, 2020</w:t>
            </w:r>
          </w:p>
        </w:tc>
        <w:tc>
          <w:tcPr>
            <w:tcW w:w="0" w:type="auto"/>
            <w:shd w:val="clear" w:color="auto" w:fill="auto"/>
            <w:tcMar>
              <w:top w:w="40" w:type="dxa"/>
              <w:left w:w="40" w:type="dxa"/>
              <w:bottom w:w="40" w:type="dxa"/>
              <w:right w:w="40" w:type="dxa"/>
            </w:tcMar>
            <w:vAlign w:val="bottom"/>
          </w:tcPr>
          <w:p w14:paraId="42A12D1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2D1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6,045</w:t>
            </w:r>
          </w:p>
        </w:tc>
        <w:tc>
          <w:tcPr>
            <w:tcW w:w="0" w:type="auto"/>
            <w:tcBorders>
              <w:bottom w:val="double" w:sz="6" w:space="0" w:color="000000"/>
            </w:tcBorders>
            <w:shd w:val="clear" w:color="auto" w:fill="auto"/>
            <w:vAlign w:val="bottom"/>
          </w:tcPr>
          <w:p w14:paraId="42A12D1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D1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2D1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2D1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93.04</w:t>
            </w:r>
          </w:p>
        </w:tc>
        <w:tc>
          <w:tcPr>
            <w:tcW w:w="0" w:type="auto"/>
            <w:tcBorders>
              <w:top w:val="single" w:sz="8" w:space="0" w:color="000000"/>
              <w:bottom w:val="double" w:sz="6" w:space="0" w:color="000000"/>
            </w:tcBorders>
            <w:shd w:val="clear" w:color="auto" w:fill="auto"/>
            <w:vAlign w:val="bottom"/>
          </w:tcPr>
          <w:p w14:paraId="42A12D1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D1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2D1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23,261</w:t>
            </w:r>
          </w:p>
        </w:tc>
        <w:tc>
          <w:tcPr>
            <w:tcW w:w="0" w:type="auto"/>
            <w:tcBorders>
              <w:top w:val="single" w:sz="8" w:space="0" w:color="000000"/>
              <w:bottom w:val="double" w:sz="6" w:space="0" w:color="000000"/>
            </w:tcBorders>
            <w:shd w:val="clear" w:color="auto" w:fill="auto"/>
            <w:vAlign w:val="bottom"/>
          </w:tcPr>
          <w:p w14:paraId="42A12D1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D2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2D2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2A12D2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79.51</w:t>
            </w:r>
          </w:p>
        </w:tc>
        <w:tc>
          <w:tcPr>
            <w:tcW w:w="0" w:type="auto"/>
            <w:tcBorders>
              <w:bottom w:val="double" w:sz="6" w:space="0" w:color="000000"/>
            </w:tcBorders>
            <w:shd w:val="clear" w:color="auto" w:fill="auto"/>
            <w:vAlign w:val="bottom"/>
          </w:tcPr>
          <w:p w14:paraId="42A12D23" w14:textId="77777777" w:rsidR="00BB68E1" w:rsidRDefault="00BB68E1">
            <w:pPr>
              <w:textAlignment w:val="bottom"/>
              <w:rPr>
                <w:rFonts w:ascii="Times New Roman" w:hAnsi="Times New Roman"/>
                <w:sz w:val="20"/>
                <w:szCs w:val="20"/>
              </w:rPr>
            </w:pPr>
          </w:p>
        </w:tc>
      </w:tr>
    </w:tbl>
    <w:p w14:paraId="42A12D25"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6620"/>
      </w:tblGrid>
      <w:tr w:rsidR="00BB68E1" w14:paraId="42A12D28" w14:textId="77777777">
        <w:trPr>
          <w:tblCellSpacing w:w="0" w:type="dxa"/>
        </w:trPr>
        <w:tc>
          <w:tcPr>
            <w:tcW w:w="480" w:type="dxa"/>
            <w:shd w:val="clear" w:color="auto" w:fill="auto"/>
            <w:vAlign w:val="center"/>
          </w:tcPr>
          <w:p w14:paraId="42A12D26" w14:textId="77777777" w:rsidR="00BB68E1" w:rsidRDefault="00BB68E1">
            <w:pPr>
              <w:rPr>
                <w:rFonts w:ascii="Times New Roman" w:hAnsi="Times New Roman"/>
                <w:sz w:val="20"/>
                <w:szCs w:val="20"/>
              </w:rPr>
            </w:pPr>
          </w:p>
        </w:tc>
        <w:tc>
          <w:tcPr>
            <w:tcW w:w="0" w:type="auto"/>
            <w:shd w:val="clear" w:color="auto" w:fill="auto"/>
            <w:vAlign w:val="center"/>
          </w:tcPr>
          <w:p w14:paraId="42A12D27" w14:textId="77777777" w:rsidR="00BB68E1" w:rsidRDefault="00BB68E1">
            <w:pPr>
              <w:rPr>
                <w:rFonts w:ascii="Times New Roman" w:hAnsi="Times New Roman"/>
                <w:sz w:val="20"/>
                <w:szCs w:val="20"/>
              </w:rPr>
            </w:pPr>
          </w:p>
        </w:tc>
      </w:tr>
      <w:tr w:rsidR="00BB68E1" w14:paraId="42A12D2B" w14:textId="77777777">
        <w:trPr>
          <w:tblCellSpacing w:w="0" w:type="dxa"/>
        </w:trPr>
        <w:tc>
          <w:tcPr>
            <w:tcW w:w="0" w:type="auto"/>
            <w:shd w:val="clear" w:color="auto" w:fill="auto"/>
          </w:tcPr>
          <w:p w14:paraId="42A12D29"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(1)</w:t>
            </w:r>
          </w:p>
        </w:tc>
        <w:tc>
          <w:tcPr>
            <w:tcW w:w="0" w:type="auto"/>
            <w:shd w:val="clear" w:color="auto" w:fill="auto"/>
          </w:tcPr>
          <w:p w14:paraId="42A12D2A"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 xml:space="preserve">Represents the adjustment to previously granted performance share units for performance achievement. </w:t>
            </w:r>
          </w:p>
        </w:tc>
      </w:tr>
    </w:tbl>
    <w:p w14:paraId="42A12D2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following table includes additional information related to restricted stock and performance share units and restricted </w:t>
      </w:r>
      <w:r>
        <w:rPr>
          <w:rFonts w:ascii="Times New Roman" w:eastAsia="宋体" w:hAnsi="Times New Roman"/>
          <w:sz w:val="20"/>
          <w:szCs w:val="20"/>
        </w:rPr>
        <w:t>stock units:</w:t>
      </w:r>
      <w:r>
        <w:rPr>
          <w:rFonts w:ascii="Times New Roman" w:eastAsia="宋体" w:hAnsi="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5529"/>
        <w:gridCol w:w="130"/>
        <w:gridCol w:w="120"/>
        <w:gridCol w:w="628"/>
        <w:gridCol w:w="47"/>
        <w:gridCol w:w="130"/>
        <w:gridCol w:w="120"/>
        <w:gridCol w:w="628"/>
        <w:gridCol w:w="47"/>
        <w:gridCol w:w="130"/>
        <w:gridCol w:w="120"/>
        <w:gridCol w:w="629"/>
        <w:gridCol w:w="48"/>
      </w:tblGrid>
      <w:tr w:rsidR="00BB68E1" w14:paraId="42A12D2E" w14:textId="77777777">
        <w:trPr>
          <w:jc w:val="center"/>
        </w:trPr>
        <w:tc>
          <w:tcPr>
            <w:tcW w:w="0" w:type="auto"/>
            <w:gridSpan w:val="13"/>
            <w:shd w:val="clear" w:color="auto" w:fill="auto"/>
            <w:vAlign w:val="center"/>
          </w:tcPr>
          <w:p w14:paraId="42A12D2D" w14:textId="77777777" w:rsidR="00BB68E1" w:rsidRDefault="00BB68E1">
            <w:pPr>
              <w:rPr>
                <w:rFonts w:ascii="Times New Roman" w:hAnsi="Times New Roman"/>
                <w:sz w:val="20"/>
                <w:szCs w:val="20"/>
              </w:rPr>
            </w:pPr>
          </w:p>
        </w:tc>
      </w:tr>
      <w:tr w:rsidR="00BB68E1" w14:paraId="42A12D3C" w14:textId="77777777">
        <w:trPr>
          <w:jc w:val="center"/>
        </w:trPr>
        <w:tc>
          <w:tcPr>
            <w:tcW w:w="3350" w:type="pct"/>
            <w:shd w:val="clear" w:color="auto" w:fill="auto"/>
            <w:vAlign w:val="center"/>
          </w:tcPr>
          <w:p w14:paraId="42A12D2F" w14:textId="77777777" w:rsidR="00BB68E1" w:rsidRDefault="00BB68E1">
            <w:pPr>
              <w:rPr>
                <w:rFonts w:ascii="Times New Roman" w:hAnsi="Times New Roman"/>
                <w:sz w:val="20"/>
                <w:szCs w:val="20"/>
              </w:rPr>
            </w:pPr>
          </w:p>
        </w:tc>
        <w:tc>
          <w:tcPr>
            <w:tcW w:w="50" w:type="pct"/>
            <w:shd w:val="clear" w:color="auto" w:fill="auto"/>
            <w:vAlign w:val="center"/>
          </w:tcPr>
          <w:p w14:paraId="42A12D30" w14:textId="77777777" w:rsidR="00BB68E1" w:rsidRDefault="00BB68E1">
            <w:pPr>
              <w:rPr>
                <w:rFonts w:ascii="Times New Roman" w:hAnsi="Times New Roman"/>
                <w:sz w:val="20"/>
                <w:szCs w:val="20"/>
              </w:rPr>
            </w:pPr>
          </w:p>
        </w:tc>
        <w:tc>
          <w:tcPr>
            <w:tcW w:w="50" w:type="pct"/>
            <w:shd w:val="clear" w:color="auto" w:fill="auto"/>
            <w:vAlign w:val="center"/>
          </w:tcPr>
          <w:p w14:paraId="42A12D31" w14:textId="77777777" w:rsidR="00BB68E1" w:rsidRDefault="00BB68E1">
            <w:pPr>
              <w:rPr>
                <w:rFonts w:ascii="Times New Roman" w:hAnsi="Times New Roman"/>
                <w:sz w:val="20"/>
                <w:szCs w:val="20"/>
              </w:rPr>
            </w:pPr>
          </w:p>
        </w:tc>
        <w:tc>
          <w:tcPr>
            <w:tcW w:w="400" w:type="pct"/>
            <w:shd w:val="clear" w:color="auto" w:fill="auto"/>
            <w:vAlign w:val="center"/>
          </w:tcPr>
          <w:p w14:paraId="42A12D32" w14:textId="77777777" w:rsidR="00BB68E1" w:rsidRDefault="00BB68E1">
            <w:pPr>
              <w:rPr>
                <w:rFonts w:ascii="Times New Roman" w:hAnsi="Times New Roman"/>
                <w:sz w:val="20"/>
                <w:szCs w:val="20"/>
              </w:rPr>
            </w:pPr>
          </w:p>
        </w:tc>
        <w:tc>
          <w:tcPr>
            <w:tcW w:w="50" w:type="pct"/>
            <w:shd w:val="clear" w:color="auto" w:fill="auto"/>
            <w:vAlign w:val="center"/>
          </w:tcPr>
          <w:p w14:paraId="42A12D33" w14:textId="77777777" w:rsidR="00BB68E1" w:rsidRDefault="00BB68E1">
            <w:pPr>
              <w:rPr>
                <w:rFonts w:ascii="Times New Roman" w:hAnsi="Times New Roman"/>
                <w:sz w:val="20"/>
                <w:szCs w:val="20"/>
              </w:rPr>
            </w:pPr>
          </w:p>
        </w:tc>
        <w:tc>
          <w:tcPr>
            <w:tcW w:w="50" w:type="pct"/>
            <w:shd w:val="clear" w:color="auto" w:fill="auto"/>
            <w:vAlign w:val="center"/>
          </w:tcPr>
          <w:p w14:paraId="42A12D34" w14:textId="77777777" w:rsidR="00BB68E1" w:rsidRDefault="00BB68E1">
            <w:pPr>
              <w:rPr>
                <w:rFonts w:ascii="Times New Roman" w:hAnsi="Times New Roman"/>
                <w:sz w:val="20"/>
                <w:szCs w:val="20"/>
              </w:rPr>
            </w:pPr>
          </w:p>
        </w:tc>
        <w:tc>
          <w:tcPr>
            <w:tcW w:w="50" w:type="pct"/>
            <w:shd w:val="clear" w:color="auto" w:fill="auto"/>
            <w:vAlign w:val="center"/>
          </w:tcPr>
          <w:p w14:paraId="42A12D35" w14:textId="77777777" w:rsidR="00BB68E1" w:rsidRDefault="00BB68E1">
            <w:pPr>
              <w:rPr>
                <w:rFonts w:ascii="Times New Roman" w:hAnsi="Times New Roman"/>
                <w:sz w:val="20"/>
                <w:szCs w:val="20"/>
              </w:rPr>
            </w:pPr>
          </w:p>
        </w:tc>
        <w:tc>
          <w:tcPr>
            <w:tcW w:w="400" w:type="pct"/>
            <w:shd w:val="clear" w:color="auto" w:fill="auto"/>
            <w:vAlign w:val="center"/>
          </w:tcPr>
          <w:p w14:paraId="42A12D36" w14:textId="77777777" w:rsidR="00BB68E1" w:rsidRDefault="00BB68E1">
            <w:pPr>
              <w:rPr>
                <w:rFonts w:ascii="Times New Roman" w:hAnsi="Times New Roman"/>
                <w:sz w:val="20"/>
                <w:szCs w:val="20"/>
              </w:rPr>
            </w:pPr>
          </w:p>
        </w:tc>
        <w:tc>
          <w:tcPr>
            <w:tcW w:w="50" w:type="pct"/>
            <w:shd w:val="clear" w:color="auto" w:fill="auto"/>
            <w:vAlign w:val="center"/>
          </w:tcPr>
          <w:p w14:paraId="42A12D37" w14:textId="77777777" w:rsidR="00BB68E1" w:rsidRDefault="00BB68E1">
            <w:pPr>
              <w:rPr>
                <w:rFonts w:ascii="Times New Roman" w:hAnsi="Times New Roman"/>
                <w:sz w:val="20"/>
                <w:szCs w:val="20"/>
              </w:rPr>
            </w:pPr>
          </w:p>
        </w:tc>
        <w:tc>
          <w:tcPr>
            <w:tcW w:w="50" w:type="pct"/>
            <w:shd w:val="clear" w:color="auto" w:fill="auto"/>
            <w:vAlign w:val="center"/>
          </w:tcPr>
          <w:p w14:paraId="42A12D38" w14:textId="77777777" w:rsidR="00BB68E1" w:rsidRDefault="00BB68E1">
            <w:pPr>
              <w:rPr>
                <w:rFonts w:ascii="Times New Roman" w:hAnsi="Times New Roman"/>
                <w:sz w:val="20"/>
                <w:szCs w:val="20"/>
              </w:rPr>
            </w:pPr>
          </w:p>
        </w:tc>
        <w:tc>
          <w:tcPr>
            <w:tcW w:w="50" w:type="pct"/>
            <w:shd w:val="clear" w:color="auto" w:fill="auto"/>
            <w:vAlign w:val="center"/>
          </w:tcPr>
          <w:p w14:paraId="42A12D39" w14:textId="77777777" w:rsidR="00BB68E1" w:rsidRDefault="00BB68E1">
            <w:pPr>
              <w:rPr>
                <w:rFonts w:ascii="Times New Roman" w:hAnsi="Times New Roman"/>
                <w:sz w:val="20"/>
                <w:szCs w:val="20"/>
              </w:rPr>
            </w:pPr>
          </w:p>
        </w:tc>
        <w:tc>
          <w:tcPr>
            <w:tcW w:w="400" w:type="pct"/>
            <w:shd w:val="clear" w:color="auto" w:fill="auto"/>
            <w:vAlign w:val="center"/>
          </w:tcPr>
          <w:p w14:paraId="42A12D3A" w14:textId="77777777" w:rsidR="00BB68E1" w:rsidRDefault="00BB68E1">
            <w:pPr>
              <w:rPr>
                <w:rFonts w:ascii="Times New Roman" w:hAnsi="Times New Roman"/>
                <w:sz w:val="20"/>
                <w:szCs w:val="20"/>
              </w:rPr>
            </w:pPr>
          </w:p>
        </w:tc>
        <w:tc>
          <w:tcPr>
            <w:tcW w:w="50" w:type="pct"/>
            <w:shd w:val="clear" w:color="auto" w:fill="auto"/>
            <w:vAlign w:val="center"/>
          </w:tcPr>
          <w:p w14:paraId="42A12D3B" w14:textId="77777777" w:rsidR="00BB68E1" w:rsidRDefault="00BB68E1">
            <w:pPr>
              <w:rPr>
                <w:rFonts w:ascii="Times New Roman" w:hAnsi="Times New Roman"/>
                <w:sz w:val="20"/>
                <w:szCs w:val="20"/>
              </w:rPr>
            </w:pPr>
          </w:p>
        </w:tc>
      </w:tr>
      <w:tr w:rsidR="00BB68E1" w14:paraId="42A12D40" w14:textId="77777777">
        <w:trPr>
          <w:jc w:val="center"/>
        </w:trPr>
        <w:tc>
          <w:tcPr>
            <w:tcW w:w="0" w:type="auto"/>
            <w:shd w:val="clear" w:color="auto" w:fill="auto"/>
            <w:tcMar>
              <w:top w:w="40" w:type="dxa"/>
              <w:left w:w="40" w:type="dxa"/>
              <w:bottom w:w="40" w:type="dxa"/>
              <w:right w:w="40" w:type="dxa"/>
            </w:tcMar>
            <w:vAlign w:val="bottom"/>
          </w:tcPr>
          <w:p w14:paraId="42A12D3D"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2D3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2D3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2D48" w14:textId="77777777">
        <w:trPr>
          <w:jc w:val="center"/>
        </w:trPr>
        <w:tc>
          <w:tcPr>
            <w:tcW w:w="0" w:type="auto"/>
            <w:shd w:val="clear" w:color="auto" w:fill="auto"/>
            <w:tcMar>
              <w:top w:w="40" w:type="dxa"/>
              <w:left w:w="40" w:type="dxa"/>
              <w:bottom w:w="40" w:type="dxa"/>
              <w:right w:w="40" w:type="dxa"/>
            </w:tcMar>
            <w:vAlign w:val="bottom"/>
          </w:tcPr>
          <w:p w14:paraId="42A12D41"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 except years)</w:t>
            </w:r>
          </w:p>
        </w:tc>
        <w:tc>
          <w:tcPr>
            <w:tcW w:w="0" w:type="auto"/>
            <w:shd w:val="clear" w:color="auto" w:fill="auto"/>
            <w:tcMar>
              <w:top w:w="40" w:type="dxa"/>
              <w:left w:w="40" w:type="dxa"/>
              <w:bottom w:w="40" w:type="dxa"/>
              <w:right w:w="40" w:type="dxa"/>
            </w:tcMar>
            <w:vAlign w:val="bottom"/>
          </w:tcPr>
          <w:p w14:paraId="42A12D4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D4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2D4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D45"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2D4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D4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2D56" w14:textId="77777777">
        <w:trPr>
          <w:jc w:val="center"/>
        </w:trPr>
        <w:tc>
          <w:tcPr>
            <w:tcW w:w="0" w:type="auto"/>
            <w:shd w:val="clear" w:color="auto" w:fill="CCEEFF"/>
            <w:tcMar>
              <w:top w:w="40" w:type="dxa"/>
              <w:left w:w="40" w:type="dxa"/>
              <w:bottom w:w="40" w:type="dxa"/>
              <w:right w:w="40" w:type="dxa"/>
            </w:tcMar>
            <w:vAlign w:val="center"/>
          </w:tcPr>
          <w:p w14:paraId="42A12D4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Fair value of restricted stock and performance share units vested</w:t>
            </w:r>
          </w:p>
        </w:tc>
        <w:tc>
          <w:tcPr>
            <w:tcW w:w="0" w:type="auto"/>
            <w:shd w:val="clear" w:color="auto" w:fill="CCEEFF"/>
            <w:tcMar>
              <w:top w:w="40" w:type="dxa"/>
              <w:left w:w="40" w:type="dxa"/>
              <w:bottom w:w="40" w:type="dxa"/>
              <w:right w:w="40" w:type="dxa"/>
            </w:tcMar>
            <w:vAlign w:val="bottom"/>
          </w:tcPr>
          <w:p w14:paraId="42A12D4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2D4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2D4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365</w:t>
            </w:r>
          </w:p>
        </w:tc>
        <w:tc>
          <w:tcPr>
            <w:tcW w:w="0" w:type="auto"/>
            <w:tcBorders>
              <w:top w:val="single" w:sz="8" w:space="0" w:color="000000"/>
            </w:tcBorders>
            <w:shd w:val="clear" w:color="auto" w:fill="CCEEFF"/>
            <w:vAlign w:val="bottom"/>
          </w:tcPr>
          <w:p w14:paraId="42A12D4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D4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D4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D5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183</w:t>
            </w:r>
          </w:p>
        </w:tc>
        <w:tc>
          <w:tcPr>
            <w:tcW w:w="0" w:type="auto"/>
            <w:shd w:val="clear" w:color="auto" w:fill="CCEEFF"/>
            <w:vAlign w:val="bottom"/>
          </w:tcPr>
          <w:p w14:paraId="42A12D5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D5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D5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D5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181</w:t>
            </w:r>
          </w:p>
        </w:tc>
        <w:tc>
          <w:tcPr>
            <w:tcW w:w="0" w:type="auto"/>
            <w:shd w:val="clear" w:color="auto" w:fill="CCEEFF"/>
            <w:vAlign w:val="bottom"/>
          </w:tcPr>
          <w:p w14:paraId="42A12D55" w14:textId="77777777" w:rsidR="00BB68E1" w:rsidRDefault="00BB68E1">
            <w:pPr>
              <w:textAlignment w:val="bottom"/>
              <w:rPr>
                <w:rFonts w:ascii="Times New Roman" w:hAnsi="Times New Roman"/>
                <w:sz w:val="20"/>
                <w:szCs w:val="20"/>
              </w:rPr>
            </w:pPr>
          </w:p>
        </w:tc>
      </w:tr>
      <w:tr w:rsidR="00BB68E1" w14:paraId="42A12D61" w14:textId="77777777">
        <w:trPr>
          <w:jc w:val="center"/>
        </w:trPr>
        <w:tc>
          <w:tcPr>
            <w:tcW w:w="0" w:type="auto"/>
            <w:shd w:val="clear" w:color="auto" w:fill="auto"/>
            <w:tcMar>
              <w:top w:w="40" w:type="dxa"/>
              <w:left w:w="40" w:type="dxa"/>
              <w:bottom w:w="40" w:type="dxa"/>
              <w:right w:w="40" w:type="dxa"/>
            </w:tcMar>
            <w:vAlign w:val="center"/>
          </w:tcPr>
          <w:p w14:paraId="42A12D5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Fair value of restricted stock </w:t>
            </w:r>
            <w:r>
              <w:rPr>
                <w:rFonts w:ascii="Times New Roman" w:eastAsia="宋体" w:hAnsi="Times New Roman"/>
                <w:sz w:val="16"/>
                <w:szCs w:val="16"/>
              </w:rPr>
              <w:t>units vested</w:t>
            </w:r>
          </w:p>
        </w:tc>
        <w:tc>
          <w:tcPr>
            <w:tcW w:w="0" w:type="auto"/>
            <w:shd w:val="clear" w:color="auto" w:fill="auto"/>
            <w:tcMar>
              <w:top w:w="40" w:type="dxa"/>
              <w:left w:w="40" w:type="dxa"/>
              <w:bottom w:w="40" w:type="dxa"/>
              <w:right w:w="40" w:type="dxa"/>
            </w:tcMar>
            <w:vAlign w:val="bottom"/>
          </w:tcPr>
          <w:p w14:paraId="42A12D5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D5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442</w:t>
            </w:r>
          </w:p>
        </w:tc>
        <w:tc>
          <w:tcPr>
            <w:tcW w:w="0" w:type="auto"/>
            <w:shd w:val="clear" w:color="auto" w:fill="auto"/>
            <w:vAlign w:val="bottom"/>
          </w:tcPr>
          <w:p w14:paraId="42A12D5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D5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D5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386</w:t>
            </w:r>
          </w:p>
        </w:tc>
        <w:tc>
          <w:tcPr>
            <w:tcW w:w="0" w:type="auto"/>
            <w:shd w:val="clear" w:color="auto" w:fill="auto"/>
            <w:vAlign w:val="bottom"/>
          </w:tcPr>
          <w:p w14:paraId="42A12D5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D5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D5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344</w:t>
            </w:r>
          </w:p>
        </w:tc>
        <w:tc>
          <w:tcPr>
            <w:tcW w:w="0" w:type="auto"/>
            <w:shd w:val="clear" w:color="auto" w:fill="auto"/>
            <w:vAlign w:val="bottom"/>
          </w:tcPr>
          <w:p w14:paraId="42A12D60" w14:textId="77777777" w:rsidR="00BB68E1" w:rsidRDefault="00BB68E1">
            <w:pPr>
              <w:textAlignment w:val="bottom"/>
              <w:rPr>
                <w:rFonts w:ascii="Times New Roman" w:hAnsi="Times New Roman"/>
                <w:sz w:val="20"/>
                <w:szCs w:val="20"/>
              </w:rPr>
            </w:pPr>
          </w:p>
        </w:tc>
      </w:tr>
      <w:tr w:rsidR="00BB68E1" w14:paraId="42A12D6C" w14:textId="77777777">
        <w:trPr>
          <w:jc w:val="center"/>
        </w:trPr>
        <w:tc>
          <w:tcPr>
            <w:tcW w:w="0" w:type="auto"/>
            <w:shd w:val="clear" w:color="auto" w:fill="CCEEFF"/>
            <w:tcMar>
              <w:top w:w="40" w:type="dxa"/>
              <w:left w:w="40" w:type="dxa"/>
              <w:bottom w:w="40" w:type="dxa"/>
              <w:right w:w="40" w:type="dxa"/>
            </w:tcMar>
            <w:vAlign w:val="center"/>
          </w:tcPr>
          <w:p w14:paraId="42A12D6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Unrecognized compensation cost for restricted stock and performance share units</w:t>
            </w:r>
          </w:p>
        </w:tc>
        <w:tc>
          <w:tcPr>
            <w:tcW w:w="0" w:type="auto"/>
            <w:shd w:val="clear" w:color="auto" w:fill="CCEEFF"/>
            <w:tcMar>
              <w:top w:w="40" w:type="dxa"/>
              <w:left w:w="40" w:type="dxa"/>
              <w:bottom w:w="40" w:type="dxa"/>
              <w:right w:w="40" w:type="dxa"/>
            </w:tcMar>
            <w:vAlign w:val="bottom"/>
          </w:tcPr>
          <w:p w14:paraId="42A12D6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D6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326</w:t>
            </w:r>
          </w:p>
        </w:tc>
        <w:tc>
          <w:tcPr>
            <w:tcW w:w="0" w:type="auto"/>
            <w:shd w:val="clear" w:color="auto" w:fill="CCEEFF"/>
            <w:vAlign w:val="bottom"/>
          </w:tcPr>
          <w:p w14:paraId="42A12D6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D6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D6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362</w:t>
            </w:r>
          </w:p>
        </w:tc>
        <w:tc>
          <w:tcPr>
            <w:tcW w:w="0" w:type="auto"/>
            <w:shd w:val="clear" w:color="auto" w:fill="CCEEFF"/>
            <w:vAlign w:val="bottom"/>
          </w:tcPr>
          <w:p w14:paraId="42A12D6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D6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D6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291</w:t>
            </w:r>
          </w:p>
        </w:tc>
        <w:tc>
          <w:tcPr>
            <w:tcW w:w="0" w:type="auto"/>
            <w:shd w:val="clear" w:color="auto" w:fill="CCEEFF"/>
            <w:vAlign w:val="bottom"/>
          </w:tcPr>
          <w:p w14:paraId="42A12D6B" w14:textId="77777777" w:rsidR="00BB68E1" w:rsidRDefault="00BB68E1">
            <w:pPr>
              <w:textAlignment w:val="bottom"/>
              <w:rPr>
                <w:rFonts w:ascii="Times New Roman" w:hAnsi="Times New Roman"/>
                <w:sz w:val="20"/>
                <w:szCs w:val="20"/>
              </w:rPr>
            </w:pPr>
          </w:p>
        </w:tc>
      </w:tr>
      <w:tr w:rsidR="00BB68E1" w14:paraId="42A12D77" w14:textId="77777777">
        <w:trPr>
          <w:jc w:val="center"/>
        </w:trPr>
        <w:tc>
          <w:tcPr>
            <w:tcW w:w="0" w:type="auto"/>
            <w:shd w:val="clear" w:color="auto" w:fill="auto"/>
            <w:tcMar>
              <w:top w:w="40" w:type="dxa"/>
              <w:left w:w="40" w:type="dxa"/>
              <w:bottom w:w="40" w:type="dxa"/>
              <w:right w:w="40" w:type="dxa"/>
            </w:tcMar>
            <w:vAlign w:val="center"/>
          </w:tcPr>
          <w:p w14:paraId="42A12D6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Unrecognized compensation cost for restricted stock units</w:t>
            </w:r>
          </w:p>
        </w:tc>
        <w:tc>
          <w:tcPr>
            <w:tcW w:w="0" w:type="auto"/>
            <w:shd w:val="clear" w:color="auto" w:fill="auto"/>
            <w:tcMar>
              <w:top w:w="40" w:type="dxa"/>
              <w:left w:w="40" w:type="dxa"/>
              <w:bottom w:w="40" w:type="dxa"/>
              <w:right w:w="40" w:type="dxa"/>
            </w:tcMar>
            <w:vAlign w:val="bottom"/>
          </w:tcPr>
          <w:p w14:paraId="42A12D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D6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1,096</w:t>
            </w:r>
          </w:p>
        </w:tc>
        <w:tc>
          <w:tcPr>
            <w:tcW w:w="0" w:type="auto"/>
            <w:shd w:val="clear" w:color="auto" w:fill="auto"/>
            <w:vAlign w:val="bottom"/>
          </w:tcPr>
          <w:p w14:paraId="42A12D7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D7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D7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1,002</w:t>
            </w:r>
          </w:p>
        </w:tc>
        <w:tc>
          <w:tcPr>
            <w:tcW w:w="0" w:type="auto"/>
            <w:shd w:val="clear" w:color="auto" w:fill="auto"/>
            <w:vAlign w:val="bottom"/>
          </w:tcPr>
          <w:p w14:paraId="42A12D7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D7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D7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972</w:t>
            </w:r>
          </w:p>
        </w:tc>
        <w:tc>
          <w:tcPr>
            <w:tcW w:w="0" w:type="auto"/>
            <w:shd w:val="clear" w:color="auto" w:fill="auto"/>
            <w:vAlign w:val="bottom"/>
          </w:tcPr>
          <w:p w14:paraId="42A12D76" w14:textId="77777777" w:rsidR="00BB68E1" w:rsidRDefault="00BB68E1">
            <w:pPr>
              <w:textAlignment w:val="bottom"/>
              <w:rPr>
                <w:rFonts w:ascii="Times New Roman" w:hAnsi="Times New Roman"/>
                <w:sz w:val="20"/>
                <w:szCs w:val="20"/>
              </w:rPr>
            </w:pPr>
          </w:p>
        </w:tc>
      </w:tr>
      <w:tr w:rsidR="00BB68E1" w14:paraId="42A12D82" w14:textId="77777777">
        <w:trPr>
          <w:jc w:val="center"/>
        </w:trPr>
        <w:tc>
          <w:tcPr>
            <w:tcW w:w="0" w:type="auto"/>
            <w:shd w:val="clear" w:color="auto" w:fill="CCEEFF"/>
            <w:tcMar>
              <w:top w:w="40" w:type="dxa"/>
              <w:left w:w="40" w:type="dxa"/>
              <w:bottom w:w="40" w:type="dxa"/>
              <w:right w:w="40" w:type="dxa"/>
            </w:tcMar>
            <w:vAlign w:val="center"/>
          </w:tcPr>
          <w:p w14:paraId="42A12D7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Weighted average remaining </w:t>
            </w:r>
            <w:r>
              <w:rPr>
                <w:rFonts w:ascii="Times New Roman" w:eastAsia="宋体" w:hAnsi="Times New Roman"/>
                <w:sz w:val="16"/>
                <w:szCs w:val="16"/>
              </w:rPr>
              <w:t>period to expense for restricted stock and performance share units (years)</w:t>
            </w:r>
          </w:p>
        </w:tc>
        <w:tc>
          <w:tcPr>
            <w:tcW w:w="0" w:type="auto"/>
            <w:shd w:val="clear" w:color="auto" w:fill="CCEEFF"/>
            <w:tcMar>
              <w:top w:w="40" w:type="dxa"/>
              <w:left w:w="40" w:type="dxa"/>
              <w:bottom w:w="40" w:type="dxa"/>
              <w:right w:w="40" w:type="dxa"/>
            </w:tcMar>
            <w:vAlign w:val="bottom"/>
          </w:tcPr>
          <w:p w14:paraId="42A12D7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D7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w:t>
            </w:r>
          </w:p>
        </w:tc>
        <w:tc>
          <w:tcPr>
            <w:tcW w:w="0" w:type="auto"/>
            <w:shd w:val="clear" w:color="auto" w:fill="CCEEFF"/>
            <w:vAlign w:val="bottom"/>
          </w:tcPr>
          <w:p w14:paraId="42A12D7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D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D7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w:t>
            </w:r>
          </w:p>
        </w:tc>
        <w:tc>
          <w:tcPr>
            <w:tcW w:w="0" w:type="auto"/>
            <w:shd w:val="clear" w:color="auto" w:fill="CCEEFF"/>
            <w:vAlign w:val="bottom"/>
          </w:tcPr>
          <w:p w14:paraId="42A12D7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D7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D8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w:t>
            </w:r>
          </w:p>
        </w:tc>
        <w:tc>
          <w:tcPr>
            <w:tcW w:w="0" w:type="auto"/>
            <w:shd w:val="clear" w:color="auto" w:fill="CCEEFF"/>
            <w:vAlign w:val="bottom"/>
          </w:tcPr>
          <w:p w14:paraId="42A12D81" w14:textId="77777777" w:rsidR="00BB68E1" w:rsidRDefault="00BB68E1">
            <w:pPr>
              <w:textAlignment w:val="bottom"/>
              <w:rPr>
                <w:rFonts w:ascii="Times New Roman" w:hAnsi="Times New Roman"/>
                <w:sz w:val="20"/>
                <w:szCs w:val="20"/>
              </w:rPr>
            </w:pPr>
          </w:p>
        </w:tc>
      </w:tr>
      <w:tr w:rsidR="00BB68E1" w14:paraId="42A12D8D" w14:textId="77777777">
        <w:trPr>
          <w:jc w:val="center"/>
        </w:trPr>
        <w:tc>
          <w:tcPr>
            <w:tcW w:w="0" w:type="auto"/>
            <w:shd w:val="clear" w:color="auto" w:fill="auto"/>
            <w:tcMar>
              <w:top w:w="40" w:type="dxa"/>
              <w:left w:w="40" w:type="dxa"/>
              <w:bottom w:w="40" w:type="dxa"/>
              <w:right w:w="40" w:type="dxa"/>
            </w:tcMar>
            <w:vAlign w:val="center"/>
          </w:tcPr>
          <w:p w14:paraId="42A12D8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Weighted average remaining period to expense for restricted stock units (years)</w:t>
            </w:r>
          </w:p>
        </w:tc>
        <w:tc>
          <w:tcPr>
            <w:tcW w:w="0" w:type="auto"/>
            <w:shd w:val="clear" w:color="auto" w:fill="auto"/>
            <w:tcMar>
              <w:top w:w="40" w:type="dxa"/>
              <w:left w:w="40" w:type="dxa"/>
              <w:bottom w:w="40" w:type="dxa"/>
              <w:right w:w="40" w:type="dxa"/>
            </w:tcMar>
            <w:vAlign w:val="bottom"/>
          </w:tcPr>
          <w:p w14:paraId="42A12D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D8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w:t>
            </w:r>
          </w:p>
        </w:tc>
        <w:tc>
          <w:tcPr>
            <w:tcW w:w="0" w:type="auto"/>
            <w:shd w:val="clear" w:color="auto" w:fill="auto"/>
            <w:vAlign w:val="bottom"/>
          </w:tcPr>
          <w:p w14:paraId="42A12D8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D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D8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shd w:val="clear" w:color="auto" w:fill="auto"/>
            <w:vAlign w:val="bottom"/>
          </w:tcPr>
          <w:p w14:paraId="42A12D8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D8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D8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w:t>
            </w:r>
          </w:p>
        </w:tc>
        <w:tc>
          <w:tcPr>
            <w:tcW w:w="0" w:type="auto"/>
            <w:shd w:val="clear" w:color="auto" w:fill="auto"/>
            <w:vAlign w:val="bottom"/>
          </w:tcPr>
          <w:p w14:paraId="42A12D8C" w14:textId="77777777" w:rsidR="00BB68E1" w:rsidRDefault="00BB68E1">
            <w:pPr>
              <w:textAlignment w:val="bottom"/>
              <w:rPr>
                <w:rFonts w:ascii="Times New Roman" w:hAnsi="Times New Roman"/>
                <w:sz w:val="20"/>
                <w:szCs w:val="20"/>
              </w:rPr>
            </w:pPr>
          </w:p>
        </w:tc>
      </w:tr>
    </w:tbl>
    <w:p w14:paraId="42A12D8E" w14:textId="77777777" w:rsidR="00BB68E1" w:rsidRDefault="00BB68E1">
      <w:pPr>
        <w:spacing w:line="288" w:lineRule="auto"/>
        <w:jc w:val="center"/>
        <w:rPr>
          <w:rFonts w:ascii="Times New Roman" w:hAnsi="Times New Roman"/>
          <w:sz w:val="20"/>
          <w:szCs w:val="20"/>
        </w:rPr>
      </w:pPr>
    </w:p>
    <w:p w14:paraId="42A12D8F"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Share Repurchase Program</w:t>
      </w:r>
    </w:p>
    <w:p w14:paraId="42A12D9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From time to time, the </w:t>
      </w:r>
      <w:r>
        <w:rPr>
          <w:rFonts w:ascii="Times New Roman" w:eastAsia="宋体" w:hAnsi="Times New Roman"/>
          <w:sz w:val="20"/>
          <w:szCs w:val="20"/>
        </w:rPr>
        <w:t>Company repurchases shares of its common stock under share repurchase programs authorized by the Company's Board of Directors. All repurchases made during fiscal 2020 were made under the current $20.0 billion share repurchase program approved in October 20</w:t>
      </w:r>
      <w:r>
        <w:rPr>
          <w:rFonts w:ascii="Times New Roman" w:eastAsia="宋体" w:hAnsi="Times New Roman"/>
          <w:sz w:val="20"/>
          <w:szCs w:val="20"/>
        </w:rPr>
        <w:t>17, which has no expiration date or other restrictions limiting the period over which the Company can make share repurchases. As of January 31, 2020, authorization for 5.7 billion of share repurchases remained under the share repurchase program. Any repurc</w:t>
      </w:r>
      <w:r>
        <w:rPr>
          <w:rFonts w:ascii="Times New Roman" w:eastAsia="宋体" w:hAnsi="Times New Roman"/>
          <w:sz w:val="20"/>
          <w:szCs w:val="20"/>
        </w:rPr>
        <w:t>hased shares are constructively retired and returned to an unissued status.</w:t>
      </w:r>
    </w:p>
    <w:p w14:paraId="42A12D9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 xml:space="preserve">The Company regularly reviews share repurchase activity and considers several factors in determining when to execute share repurchases, including, among other things, current cash </w:t>
      </w:r>
      <w:r>
        <w:rPr>
          <w:rFonts w:ascii="Times New Roman" w:eastAsia="宋体" w:hAnsi="Times New Roman"/>
          <w:sz w:val="20"/>
          <w:szCs w:val="20"/>
        </w:rPr>
        <w:t>needs, capacity for leverage, cost of borrowings, results of operations and the market price of the Company's common stock. The following table provides, on a settlement date basis, the number of shares repurchased, average price paid per share and total a</w:t>
      </w:r>
      <w:r>
        <w:rPr>
          <w:rFonts w:ascii="Times New Roman" w:eastAsia="宋体" w:hAnsi="Times New Roman"/>
          <w:sz w:val="20"/>
          <w:szCs w:val="20"/>
        </w:rPr>
        <w:t>mount paid for share repurchases for fiscal 2020, 2019 and 2018:</w:t>
      </w:r>
    </w:p>
    <w:tbl>
      <w:tblPr>
        <w:tblW w:w="5000" w:type="pct"/>
        <w:jc w:val="center"/>
        <w:tblCellMar>
          <w:left w:w="0" w:type="dxa"/>
          <w:right w:w="0" w:type="dxa"/>
        </w:tblCellMar>
        <w:tblLook w:val="04A0" w:firstRow="1" w:lastRow="0" w:firstColumn="1" w:lastColumn="0" w:noHBand="0" w:noVBand="1"/>
      </w:tblPr>
      <w:tblGrid>
        <w:gridCol w:w="5529"/>
        <w:gridCol w:w="130"/>
        <w:gridCol w:w="120"/>
        <w:gridCol w:w="628"/>
        <w:gridCol w:w="47"/>
        <w:gridCol w:w="130"/>
        <w:gridCol w:w="120"/>
        <w:gridCol w:w="628"/>
        <w:gridCol w:w="47"/>
        <w:gridCol w:w="130"/>
        <w:gridCol w:w="120"/>
        <w:gridCol w:w="629"/>
        <w:gridCol w:w="48"/>
      </w:tblGrid>
      <w:tr w:rsidR="00BB68E1" w14:paraId="42A12D93" w14:textId="77777777">
        <w:trPr>
          <w:jc w:val="center"/>
        </w:trPr>
        <w:tc>
          <w:tcPr>
            <w:tcW w:w="0" w:type="auto"/>
            <w:gridSpan w:val="13"/>
            <w:shd w:val="clear" w:color="auto" w:fill="auto"/>
            <w:vAlign w:val="center"/>
          </w:tcPr>
          <w:p w14:paraId="42A12D92" w14:textId="77777777" w:rsidR="00BB68E1" w:rsidRDefault="00BB68E1">
            <w:pPr>
              <w:rPr>
                <w:rFonts w:ascii="Times New Roman" w:hAnsi="Times New Roman"/>
                <w:sz w:val="20"/>
                <w:szCs w:val="20"/>
              </w:rPr>
            </w:pPr>
          </w:p>
        </w:tc>
      </w:tr>
      <w:tr w:rsidR="00BB68E1" w14:paraId="42A12DA1" w14:textId="77777777">
        <w:trPr>
          <w:jc w:val="center"/>
        </w:trPr>
        <w:tc>
          <w:tcPr>
            <w:tcW w:w="3350" w:type="pct"/>
            <w:shd w:val="clear" w:color="auto" w:fill="auto"/>
            <w:vAlign w:val="center"/>
          </w:tcPr>
          <w:p w14:paraId="42A12D94" w14:textId="77777777" w:rsidR="00BB68E1" w:rsidRDefault="00BB68E1">
            <w:pPr>
              <w:rPr>
                <w:rFonts w:ascii="Times New Roman" w:hAnsi="Times New Roman"/>
                <w:sz w:val="20"/>
                <w:szCs w:val="20"/>
              </w:rPr>
            </w:pPr>
          </w:p>
        </w:tc>
        <w:tc>
          <w:tcPr>
            <w:tcW w:w="50" w:type="pct"/>
            <w:shd w:val="clear" w:color="auto" w:fill="auto"/>
            <w:vAlign w:val="center"/>
          </w:tcPr>
          <w:p w14:paraId="42A12D95" w14:textId="77777777" w:rsidR="00BB68E1" w:rsidRDefault="00BB68E1">
            <w:pPr>
              <w:rPr>
                <w:rFonts w:ascii="Times New Roman" w:hAnsi="Times New Roman"/>
                <w:sz w:val="20"/>
                <w:szCs w:val="20"/>
              </w:rPr>
            </w:pPr>
          </w:p>
        </w:tc>
        <w:tc>
          <w:tcPr>
            <w:tcW w:w="50" w:type="pct"/>
            <w:shd w:val="clear" w:color="auto" w:fill="auto"/>
            <w:vAlign w:val="center"/>
          </w:tcPr>
          <w:p w14:paraId="42A12D96" w14:textId="77777777" w:rsidR="00BB68E1" w:rsidRDefault="00BB68E1">
            <w:pPr>
              <w:rPr>
                <w:rFonts w:ascii="Times New Roman" w:hAnsi="Times New Roman"/>
                <w:sz w:val="20"/>
                <w:szCs w:val="20"/>
              </w:rPr>
            </w:pPr>
          </w:p>
        </w:tc>
        <w:tc>
          <w:tcPr>
            <w:tcW w:w="400" w:type="pct"/>
            <w:shd w:val="clear" w:color="auto" w:fill="auto"/>
            <w:vAlign w:val="center"/>
          </w:tcPr>
          <w:p w14:paraId="42A12D97" w14:textId="77777777" w:rsidR="00BB68E1" w:rsidRDefault="00BB68E1">
            <w:pPr>
              <w:rPr>
                <w:rFonts w:ascii="Times New Roman" w:hAnsi="Times New Roman"/>
                <w:sz w:val="20"/>
                <w:szCs w:val="20"/>
              </w:rPr>
            </w:pPr>
          </w:p>
        </w:tc>
        <w:tc>
          <w:tcPr>
            <w:tcW w:w="50" w:type="pct"/>
            <w:shd w:val="clear" w:color="auto" w:fill="auto"/>
            <w:vAlign w:val="center"/>
          </w:tcPr>
          <w:p w14:paraId="42A12D98" w14:textId="77777777" w:rsidR="00BB68E1" w:rsidRDefault="00BB68E1">
            <w:pPr>
              <w:rPr>
                <w:rFonts w:ascii="Times New Roman" w:hAnsi="Times New Roman"/>
                <w:sz w:val="20"/>
                <w:szCs w:val="20"/>
              </w:rPr>
            </w:pPr>
          </w:p>
        </w:tc>
        <w:tc>
          <w:tcPr>
            <w:tcW w:w="50" w:type="pct"/>
            <w:shd w:val="clear" w:color="auto" w:fill="auto"/>
            <w:vAlign w:val="center"/>
          </w:tcPr>
          <w:p w14:paraId="42A12D99" w14:textId="77777777" w:rsidR="00BB68E1" w:rsidRDefault="00BB68E1">
            <w:pPr>
              <w:rPr>
                <w:rFonts w:ascii="Times New Roman" w:hAnsi="Times New Roman"/>
                <w:sz w:val="20"/>
                <w:szCs w:val="20"/>
              </w:rPr>
            </w:pPr>
          </w:p>
        </w:tc>
        <w:tc>
          <w:tcPr>
            <w:tcW w:w="50" w:type="pct"/>
            <w:shd w:val="clear" w:color="auto" w:fill="auto"/>
            <w:vAlign w:val="center"/>
          </w:tcPr>
          <w:p w14:paraId="42A12D9A" w14:textId="77777777" w:rsidR="00BB68E1" w:rsidRDefault="00BB68E1">
            <w:pPr>
              <w:rPr>
                <w:rFonts w:ascii="Times New Roman" w:hAnsi="Times New Roman"/>
                <w:sz w:val="20"/>
                <w:szCs w:val="20"/>
              </w:rPr>
            </w:pPr>
          </w:p>
        </w:tc>
        <w:tc>
          <w:tcPr>
            <w:tcW w:w="400" w:type="pct"/>
            <w:shd w:val="clear" w:color="auto" w:fill="auto"/>
            <w:vAlign w:val="center"/>
          </w:tcPr>
          <w:p w14:paraId="42A12D9B" w14:textId="77777777" w:rsidR="00BB68E1" w:rsidRDefault="00BB68E1">
            <w:pPr>
              <w:rPr>
                <w:rFonts w:ascii="Times New Roman" w:hAnsi="Times New Roman"/>
                <w:sz w:val="20"/>
                <w:szCs w:val="20"/>
              </w:rPr>
            </w:pPr>
          </w:p>
        </w:tc>
        <w:tc>
          <w:tcPr>
            <w:tcW w:w="50" w:type="pct"/>
            <w:shd w:val="clear" w:color="auto" w:fill="auto"/>
            <w:vAlign w:val="center"/>
          </w:tcPr>
          <w:p w14:paraId="42A12D9C" w14:textId="77777777" w:rsidR="00BB68E1" w:rsidRDefault="00BB68E1">
            <w:pPr>
              <w:rPr>
                <w:rFonts w:ascii="Times New Roman" w:hAnsi="Times New Roman"/>
                <w:sz w:val="20"/>
                <w:szCs w:val="20"/>
              </w:rPr>
            </w:pPr>
          </w:p>
        </w:tc>
        <w:tc>
          <w:tcPr>
            <w:tcW w:w="50" w:type="pct"/>
            <w:shd w:val="clear" w:color="auto" w:fill="auto"/>
            <w:vAlign w:val="center"/>
          </w:tcPr>
          <w:p w14:paraId="42A12D9D" w14:textId="77777777" w:rsidR="00BB68E1" w:rsidRDefault="00BB68E1">
            <w:pPr>
              <w:rPr>
                <w:rFonts w:ascii="Times New Roman" w:hAnsi="Times New Roman"/>
                <w:sz w:val="20"/>
                <w:szCs w:val="20"/>
              </w:rPr>
            </w:pPr>
          </w:p>
        </w:tc>
        <w:tc>
          <w:tcPr>
            <w:tcW w:w="50" w:type="pct"/>
            <w:shd w:val="clear" w:color="auto" w:fill="auto"/>
            <w:vAlign w:val="center"/>
          </w:tcPr>
          <w:p w14:paraId="42A12D9E" w14:textId="77777777" w:rsidR="00BB68E1" w:rsidRDefault="00BB68E1">
            <w:pPr>
              <w:rPr>
                <w:rFonts w:ascii="Times New Roman" w:hAnsi="Times New Roman"/>
                <w:sz w:val="20"/>
                <w:szCs w:val="20"/>
              </w:rPr>
            </w:pPr>
          </w:p>
        </w:tc>
        <w:tc>
          <w:tcPr>
            <w:tcW w:w="400" w:type="pct"/>
            <w:shd w:val="clear" w:color="auto" w:fill="auto"/>
            <w:vAlign w:val="center"/>
          </w:tcPr>
          <w:p w14:paraId="42A12D9F" w14:textId="77777777" w:rsidR="00BB68E1" w:rsidRDefault="00BB68E1">
            <w:pPr>
              <w:rPr>
                <w:rFonts w:ascii="Times New Roman" w:hAnsi="Times New Roman"/>
                <w:sz w:val="20"/>
                <w:szCs w:val="20"/>
              </w:rPr>
            </w:pPr>
          </w:p>
        </w:tc>
        <w:tc>
          <w:tcPr>
            <w:tcW w:w="50" w:type="pct"/>
            <w:shd w:val="clear" w:color="auto" w:fill="auto"/>
            <w:vAlign w:val="center"/>
          </w:tcPr>
          <w:p w14:paraId="42A12DA0" w14:textId="77777777" w:rsidR="00BB68E1" w:rsidRDefault="00BB68E1">
            <w:pPr>
              <w:rPr>
                <w:rFonts w:ascii="Times New Roman" w:hAnsi="Times New Roman"/>
                <w:sz w:val="20"/>
                <w:szCs w:val="20"/>
              </w:rPr>
            </w:pPr>
          </w:p>
        </w:tc>
      </w:tr>
      <w:tr w:rsidR="00BB68E1" w14:paraId="42A12DA5" w14:textId="77777777">
        <w:trPr>
          <w:jc w:val="center"/>
        </w:trPr>
        <w:tc>
          <w:tcPr>
            <w:tcW w:w="0" w:type="auto"/>
            <w:shd w:val="clear" w:color="auto" w:fill="auto"/>
            <w:tcMar>
              <w:top w:w="40" w:type="dxa"/>
              <w:left w:w="40" w:type="dxa"/>
              <w:bottom w:w="40" w:type="dxa"/>
              <w:right w:w="40" w:type="dxa"/>
            </w:tcMar>
            <w:vAlign w:val="bottom"/>
          </w:tcPr>
          <w:p w14:paraId="42A12DA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DA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2DA4"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2DAD" w14:textId="77777777">
        <w:trPr>
          <w:jc w:val="center"/>
        </w:trPr>
        <w:tc>
          <w:tcPr>
            <w:tcW w:w="0" w:type="auto"/>
            <w:shd w:val="clear" w:color="auto" w:fill="auto"/>
            <w:tcMar>
              <w:top w:w="40" w:type="dxa"/>
              <w:left w:w="40" w:type="dxa"/>
              <w:bottom w:w="40" w:type="dxa"/>
              <w:right w:w="40" w:type="dxa"/>
            </w:tcMar>
            <w:vAlign w:val="bottom"/>
          </w:tcPr>
          <w:p w14:paraId="42A12DA6"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 except per share data)</w:t>
            </w:r>
          </w:p>
        </w:tc>
        <w:tc>
          <w:tcPr>
            <w:tcW w:w="0" w:type="auto"/>
            <w:shd w:val="clear" w:color="auto" w:fill="auto"/>
            <w:tcMar>
              <w:top w:w="40" w:type="dxa"/>
              <w:left w:w="40" w:type="dxa"/>
              <w:bottom w:w="40" w:type="dxa"/>
              <w:right w:w="40" w:type="dxa"/>
            </w:tcMar>
            <w:vAlign w:val="bottom"/>
          </w:tcPr>
          <w:p w14:paraId="42A12DA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DA8"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2DA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DAA"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2DA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DAC"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2DB8" w14:textId="77777777">
        <w:trPr>
          <w:jc w:val="center"/>
        </w:trPr>
        <w:tc>
          <w:tcPr>
            <w:tcW w:w="0" w:type="auto"/>
            <w:shd w:val="clear" w:color="auto" w:fill="CCEEFF"/>
            <w:tcMar>
              <w:top w:w="40" w:type="dxa"/>
              <w:left w:w="40" w:type="dxa"/>
              <w:bottom w:w="40" w:type="dxa"/>
              <w:right w:w="40" w:type="dxa"/>
            </w:tcMar>
            <w:vAlign w:val="bottom"/>
          </w:tcPr>
          <w:p w14:paraId="42A12DAE"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xml:space="preserve">Total number of shares repurchased </w:t>
            </w:r>
          </w:p>
        </w:tc>
        <w:tc>
          <w:tcPr>
            <w:tcW w:w="0" w:type="auto"/>
            <w:shd w:val="clear" w:color="auto" w:fill="CCEEFF"/>
            <w:tcMar>
              <w:top w:w="40" w:type="dxa"/>
              <w:left w:w="40" w:type="dxa"/>
              <w:bottom w:w="40" w:type="dxa"/>
              <w:right w:w="40" w:type="dxa"/>
            </w:tcMar>
            <w:vAlign w:val="bottom"/>
          </w:tcPr>
          <w:p w14:paraId="42A12DA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42A12DB0"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53.9</w:t>
            </w:r>
          </w:p>
        </w:tc>
        <w:tc>
          <w:tcPr>
            <w:tcW w:w="0" w:type="auto"/>
            <w:tcBorders>
              <w:top w:val="single" w:sz="8" w:space="0" w:color="000000"/>
            </w:tcBorders>
            <w:shd w:val="clear" w:color="auto" w:fill="CCEEFF"/>
            <w:vAlign w:val="bottom"/>
          </w:tcPr>
          <w:p w14:paraId="42A12DB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DB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42A12DB3"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79.5</w:t>
            </w:r>
          </w:p>
        </w:tc>
        <w:tc>
          <w:tcPr>
            <w:tcW w:w="0" w:type="auto"/>
            <w:tcBorders>
              <w:top w:val="single" w:sz="8" w:space="0" w:color="000000"/>
            </w:tcBorders>
            <w:shd w:val="clear" w:color="auto" w:fill="CCEEFF"/>
            <w:vAlign w:val="bottom"/>
          </w:tcPr>
          <w:p w14:paraId="42A12DB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DB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42A12DB6"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104.9</w:t>
            </w:r>
          </w:p>
        </w:tc>
        <w:tc>
          <w:tcPr>
            <w:tcW w:w="0" w:type="auto"/>
            <w:tcBorders>
              <w:top w:val="single" w:sz="8" w:space="0" w:color="000000"/>
            </w:tcBorders>
            <w:shd w:val="clear" w:color="auto" w:fill="CCEEFF"/>
            <w:vAlign w:val="bottom"/>
          </w:tcPr>
          <w:p w14:paraId="42A12DB7" w14:textId="77777777" w:rsidR="00BB68E1" w:rsidRDefault="00BB68E1">
            <w:pPr>
              <w:textAlignment w:val="bottom"/>
              <w:rPr>
                <w:rFonts w:ascii="Times New Roman" w:hAnsi="Times New Roman"/>
                <w:sz w:val="20"/>
                <w:szCs w:val="20"/>
              </w:rPr>
            </w:pPr>
          </w:p>
        </w:tc>
      </w:tr>
      <w:tr w:rsidR="00BB68E1" w14:paraId="42A12DC6" w14:textId="77777777">
        <w:trPr>
          <w:jc w:val="center"/>
        </w:trPr>
        <w:tc>
          <w:tcPr>
            <w:tcW w:w="0" w:type="auto"/>
            <w:shd w:val="clear" w:color="auto" w:fill="auto"/>
            <w:tcMar>
              <w:top w:w="40" w:type="dxa"/>
              <w:left w:w="40" w:type="dxa"/>
              <w:bottom w:w="40" w:type="dxa"/>
              <w:right w:w="40" w:type="dxa"/>
            </w:tcMar>
            <w:vAlign w:val="center"/>
          </w:tcPr>
          <w:p w14:paraId="42A12DB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Average price paid per share </w:t>
            </w:r>
          </w:p>
        </w:tc>
        <w:tc>
          <w:tcPr>
            <w:tcW w:w="0" w:type="auto"/>
            <w:shd w:val="clear" w:color="auto" w:fill="auto"/>
            <w:tcMar>
              <w:top w:w="40" w:type="dxa"/>
              <w:left w:w="40" w:type="dxa"/>
              <w:bottom w:w="40" w:type="dxa"/>
              <w:right w:w="40" w:type="dxa"/>
            </w:tcMar>
            <w:vAlign w:val="bottom"/>
          </w:tcPr>
          <w:p w14:paraId="42A12DB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2A12DBB"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bottom"/>
          </w:tcPr>
          <w:p w14:paraId="42A12DBC"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105.98</w:t>
            </w:r>
          </w:p>
        </w:tc>
        <w:tc>
          <w:tcPr>
            <w:tcW w:w="0" w:type="auto"/>
            <w:shd w:val="clear" w:color="auto" w:fill="auto"/>
            <w:vAlign w:val="bottom"/>
          </w:tcPr>
          <w:p w14:paraId="42A12DB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DB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2A12DB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bottom"/>
          </w:tcPr>
          <w:p w14:paraId="42A12DC0"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93.18</w:t>
            </w:r>
          </w:p>
        </w:tc>
        <w:tc>
          <w:tcPr>
            <w:tcW w:w="0" w:type="auto"/>
            <w:shd w:val="clear" w:color="auto" w:fill="auto"/>
            <w:vAlign w:val="bottom"/>
          </w:tcPr>
          <w:p w14:paraId="42A12DC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D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2A12DC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bottom"/>
          </w:tcPr>
          <w:p w14:paraId="42A12DC4"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79.11</w:t>
            </w:r>
          </w:p>
        </w:tc>
        <w:tc>
          <w:tcPr>
            <w:tcW w:w="0" w:type="auto"/>
            <w:shd w:val="clear" w:color="auto" w:fill="auto"/>
            <w:vAlign w:val="bottom"/>
          </w:tcPr>
          <w:p w14:paraId="42A12DC5" w14:textId="77777777" w:rsidR="00BB68E1" w:rsidRDefault="00BB68E1">
            <w:pPr>
              <w:textAlignment w:val="bottom"/>
              <w:rPr>
                <w:rFonts w:ascii="Times New Roman" w:hAnsi="Times New Roman"/>
                <w:sz w:val="20"/>
                <w:szCs w:val="20"/>
              </w:rPr>
            </w:pPr>
          </w:p>
        </w:tc>
      </w:tr>
      <w:tr w:rsidR="00BB68E1" w14:paraId="42A12DD4" w14:textId="77777777">
        <w:trPr>
          <w:jc w:val="center"/>
        </w:trPr>
        <w:tc>
          <w:tcPr>
            <w:tcW w:w="0" w:type="auto"/>
            <w:shd w:val="clear" w:color="auto" w:fill="CCEEFF"/>
            <w:tcMar>
              <w:top w:w="40" w:type="dxa"/>
              <w:left w:w="40" w:type="dxa"/>
              <w:bottom w:w="40" w:type="dxa"/>
              <w:right w:w="40" w:type="dxa"/>
            </w:tcMar>
            <w:vAlign w:val="center"/>
          </w:tcPr>
          <w:p w14:paraId="42A12DC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cash paid for share repurchases</w:t>
            </w:r>
          </w:p>
        </w:tc>
        <w:tc>
          <w:tcPr>
            <w:tcW w:w="0" w:type="auto"/>
            <w:shd w:val="clear" w:color="auto" w:fill="CCEEFF"/>
            <w:tcMar>
              <w:top w:w="40" w:type="dxa"/>
              <w:left w:w="40" w:type="dxa"/>
              <w:bottom w:w="40" w:type="dxa"/>
              <w:right w:w="40" w:type="dxa"/>
            </w:tcMar>
            <w:vAlign w:val="bottom"/>
          </w:tcPr>
          <w:p w14:paraId="42A12D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2A12DC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bottom"/>
          </w:tcPr>
          <w:p w14:paraId="42A12DCA"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5,717</w:t>
            </w:r>
          </w:p>
        </w:tc>
        <w:tc>
          <w:tcPr>
            <w:tcW w:w="0" w:type="auto"/>
            <w:shd w:val="clear" w:color="auto" w:fill="CCEEFF"/>
            <w:vAlign w:val="bottom"/>
          </w:tcPr>
          <w:p w14:paraId="42A12DC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DC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2A12DCD"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bottom"/>
          </w:tcPr>
          <w:p w14:paraId="42A12DCE"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7,410</w:t>
            </w:r>
          </w:p>
        </w:tc>
        <w:tc>
          <w:tcPr>
            <w:tcW w:w="0" w:type="auto"/>
            <w:shd w:val="clear" w:color="auto" w:fill="CCEEFF"/>
            <w:vAlign w:val="bottom"/>
          </w:tcPr>
          <w:p w14:paraId="42A12DC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DD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2A12DD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bottom"/>
          </w:tcPr>
          <w:p w14:paraId="42A12DD2"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8,296</w:t>
            </w:r>
          </w:p>
        </w:tc>
        <w:tc>
          <w:tcPr>
            <w:tcW w:w="0" w:type="auto"/>
            <w:shd w:val="clear" w:color="auto" w:fill="CCEEFF"/>
            <w:vAlign w:val="bottom"/>
          </w:tcPr>
          <w:p w14:paraId="42A12DD3" w14:textId="77777777" w:rsidR="00BB68E1" w:rsidRDefault="00BB68E1">
            <w:pPr>
              <w:textAlignment w:val="bottom"/>
              <w:rPr>
                <w:rFonts w:ascii="Times New Roman" w:hAnsi="Times New Roman"/>
                <w:sz w:val="20"/>
                <w:szCs w:val="20"/>
              </w:rPr>
            </w:pPr>
          </w:p>
        </w:tc>
      </w:tr>
    </w:tbl>
    <w:p w14:paraId="42A12DD5" w14:textId="77777777" w:rsidR="00BB68E1" w:rsidRDefault="00BB68E1">
      <w:pPr>
        <w:spacing w:line="288" w:lineRule="auto"/>
        <w:jc w:val="center"/>
        <w:rPr>
          <w:rFonts w:ascii="Times New Roman" w:hAnsi="Times New Roman"/>
          <w:sz w:val="20"/>
          <w:szCs w:val="20"/>
        </w:rPr>
      </w:pPr>
    </w:p>
    <w:p w14:paraId="42A12DD6" w14:textId="77777777" w:rsidR="00BB68E1" w:rsidRDefault="00BB68E1">
      <w:pPr>
        <w:rPr>
          <w:rFonts w:ascii="Times New Roman" w:hAnsi="Times New Roman"/>
          <w:sz w:val="20"/>
          <w:szCs w:val="20"/>
        </w:rPr>
      </w:pPr>
    </w:p>
    <w:p w14:paraId="42A12DD7"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62</w:t>
      </w:r>
    </w:p>
    <w:p w14:paraId="42A12DD8" w14:textId="77777777" w:rsidR="00BB68E1" w:rsidRDefault="00BB68E1">
      <w:pPr>
        <w:spacing w:line="288" w:lineRule="auto"/>
        <w:jc w:val="center"/>
        <w:rPr>
          <w:rFonts w:ascii="Times New Roman" w:hAnsi="Times New Roman"/>
          <w:sz w:val="20"/>
          <w:szCs w:val="20"/>
        </w:rPr>
      </w:pPr>
    </w:p>
    <w:p w14:paraId="42A12DD9" w14:textId="77777777" w:rsidR="00BB68E1" w:rsidRDefault="005D2D5E">
      <w:r>
        <w:rPr>
          <w:rFonts w:ascii="Times New Roman" w:hAnsi="Times New Roman"/>
          <w:sz w:val="20"/>
          <w:szCs w:val="20"/>
        </w:rPr>
        <w:pict w14:anchorId="42A142B5">
          <v:rect id="_x0000_i1086" style="width:415.3pt;height:1.5pt" o:hralign="center" o:hrstd="t" o:hr="t" fillcolor="#a0a0a0" stroked="f"/>
        </w:pict>
      </w:r>
    </w:p>
    <w:p w14:paraId="42A12DDA" w14:textId="77777777" w:rsidR="00BB68E1" w:rsidRDefault="00BB68E1">
      <w:pPr>
        <w:spacing w:line="288" w:lineRule="auto"/>
        <w:rPr>
          <w:rFonts w:ascii="Times New Roman" w:hAnsi="Times New Roman"/>
          <w:sz w:val="20"/>
          <w:szCs w:val="20"/>
        </w:rPr>
      </w:pPr>
    </w:p>
    <w:p w14:paraId="42A12DDB" w14:textId="77777777" w:rsidR="00BB68E1" w:rsidRDefault="00BB68E1">
      <w:pPr>
        <w:rPr>
          <w:rFonts w:ascii="Times New Roman" w:hAnsi="Times New Roman"/>
          <w:sz w:val="20"/>
          <w:szCs w:val="20"/>
        </w:rPr>
      </w:pPr>
    </w:p>
    <w:p w14:paraId="42A12DDC"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Note 4. Accumulated Other Comprehensive Loss</w:t>
      </w:r>
    </w:p>
    <w:p w14:paraId="42A12DD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following table provides the changes in the composition of total accumulated other comprehensive loss for fiscal 2020, 2019, and 2018: </w:t>
      </w:r>
    </w:p>
    <w:tbl>
      <w:tblPr>
        <w:tblW w:w="5000" w:type="pct"/>
        <w:tblCellMar>
          <w:left w:w="0" w:type="dxa"/>
          <w:right w:w="0" w:type="dxa"/>
        </w:tblCellMar>
        <w:tblLook w:val="04A0" w:firstRow="1" w:lastRow="0" w:firstColumn="1" w:lastColumn="0" w:noHBand="0" w:noVBand="1"/>
      </w:tblPr>
      <w:tblGrid>
        <w:gridCol w:w="2298"/>
        <w:gridCol w:w="121"/>
        <w:gridCol w:w="704"/>
        <w:gridCol w:w="94"/>
        <w:gridCol w:w="130"/>
        <w:gridCol w:w="121"/>
        <w:gridCol w:w="676"/>
        <w:gridCol w:w="94"/>
        <w:gridCol w:w="130"/>
        <w:gridCol w:w="121"/>
        <w:gridCol w:w="1104"/>
        <w:gridCol w:w="110"/>
        <w:gridCol w:w="130"/>
        <w:gridCol w:w="121"/>
        <w:gridCol w:w="463"/>
        <w:gridCol w:w="94"/>
        <w:gridCol w:w="130"/>
        <w:gridCol w:w="121"/>
        <w:gridCol w:w="612"/>
        <w:gridCol w:w="94"/>
        <w:gridCol w:w="130"/>
        <w:gridCol w:w="120"/>
        <w:gridCol w:w="494"/>
        <w:gridCol w:w="94"/>
      </w:tblGrid>
      <w:tr w:rsidR="00BB68E1" w14:paraId="42A12DDF" w14:textId="77777777">
        <w:tc>
          <w:tcPr>
            <w:tcW w:w="0" w:type="auto"/>
            <w:gridSpan w:val="24"/>
            <w:shd w:val="clear" w:color="auto" w:fill="auto"/>
            <w:vAlign w:val="center"/>
          </w:tcPr>
          <w:p w14:paraId="42A12DDE" w14:textId="77777777" w:rsidR="00BB68E1" w:rsidRDefault="00BB68E1">
            <w:pPr>
              <w:rPr>
                <w:rFonts w:ascii="Times New Roman" w:hAnsi="Times New Roman"/>
                <w:sz w:val="20"/>
                <w:szCs w:val="20"/>
              </w:rPr>
            </w:pPr>
          </w:p>
        </w:tc>
      </w:tr>
      <w:tr w:rsidR="00BB68E1" w14:paraId="42A12DF8" w14:textId="77777777">
        <w:tc>
          <w:tcPr>
            <w:tcW w:w="1650" w:type="pct"/>
            <w:shd w:val="clear" w:color="auto" w:fill="auto"/>
            <w:vAlign w:val="center"/>
          </w:tcPr>
          <w:p w14:paraId="42A12DE0" w14:textId="77777777" w:rsidR="00BB68E1" w:rsidRDefault="00BB68E1">
            <w:pPr>
              <w:rPr>
                <w:rFonts w:ascii="Times New Roman" w:hAnsi="Times New Roman"/>
                <w:sz w:val="20"/>
                <w:szCs w:val="20"/>
              </w:rPr>
            </w:pPr>
          </w:p>
        </w:tc>
        <w:tc>
          <w:tcPr>
            <w:tcW w:w="50" w:type="pct"/>
            <w:shd w:val="clear" w:color="auto" w:fill="auto"/>
            <w:vAlign w:val="center"/>
          </w:tcPr>
          <w:p w14:paraId="42A12DE1" w14:textId="77777777" w:rsidR="00BB68E1" w:rsidRDefault="00BB68E1">
            <w:pPr>
              <w:rPr>
                <w:rFonts w:ascii="Times New Roman" w:hAnsi="Times New Roman"/>
                <w:sz w:val="20"/>
                <w:szCs w:val="20"/>
              </w:rPr>
            </w:pPr>
          </w:p>
        </w:tc>
        <w:tc>
          <w:tcPr>
            <w:tcW w:w="400" w:type="pct"/>
            <w:shd w:val="clear" w:color="auto" w:fill="auto"/>
            <w:vAlign w:val="center"/>
          </w:tcPr>
          <w:p w14:paraId="42A12DE2" w14:textId="77777777" w:rsidR="00BB68E1" w:rsidRDefault="00BB68E1">
            <w:pPr>
              <w:rPr>
                <w:rFonts w:ascii="Times New Roman" w:hAnsi="Times New Roman"/>
                <w:sz w:val="20"/>
                <w:szCs w:val="20"/>
              </w:rPr>
            </w:pPr>
          </w:p>
        </w:tc>
        <w:tc>
          <w:tcPr>
            <w:tcW w:w="50" w:type="pct"/>
            <w:shd w:val="clear" w:color="auto" w:fill="auto"/>
            <w:vAlign w:val="center"/>
          </w:tcPr>
          <w:p w14:paraId="42A12DE3" w14:textId="77777777" w:rsidR="00BB68E1" w:rsidRDefault="00BB68E1">
            <w:pPr>
              <w:rPr>
                <w:rFonts w:ascii="Times New Roman" w:hAnsi="Times New Roman"/>
                <w:sz w:val="20"/>
                <w:szCs w:val="20"/>
              </w:rPr>
            </w:pPr>
          </w:p>
        </w:tc>
        <w:tc>
          <w:tcPr>
            <w:tcW w:w="50" w:type="pct"/>
            <w:shd w:val="clear" w:color="auto" w:fill="auto"/>
            <w:vAlign w:val="center"/>
          </w:tcPr>
          <w:p w14:paraId="42A12DE4" w14:textId="77777777" w:rsidR="00BB68E1" w:rsidRDefault="00BB68E1">
            <w:pPr>
              <w:rPr>
                <w:rFonts w:ascii="Times New Roman" w:hAnsi="Times New Roman"/>
                <w:sz w:val="20"/>
                <w:szCs w:val="20"/>
              </w:rPr>
            </w:pPr>
          </w:p>
        </w:tc>
        <w:tc>
          <w:tcPr>
            <w:tcW w:w="50" w:type="pct"/>
            <w:shd w:val="clear" w:color="auto" w:fill="auto"/>
            <w:vAlign w:val="center"/>
          </w:tcPr>
          <w:p w14:paraId="42A12DE5" w14:textId="77777777" w:rsidR="00BB68E1" w:rsidRDefault="00BB68E1">
            <w:pPr>
              <w:rPr>
                <w:rFonts w:ascii="Times New Roman" w:hAnsi="Times New Roman"/>
                <w:sz w:val="20"/>
                <w:szCs w:val="20"/>
              </w:rPr>
            </w:pPr>
          </w:p>
        </w:tc>
        <w:tc>
          <w:tcPr>
            <w:tcW w:w="400" w:type="pct"/>
            <w:shd w:val="clear" w:color="auto" w:fill="auto"/>
            <w:vAlign w:val="center"/>
          </w:tcPr>
          <w:p w14:paraId="42A12DE6" w14:textId="77777777" w:rsidR="00BB68E1" w:rsidRDefault="00BB68E1">
            <w:pPr>
              <w:rPr>
                <w:rFonts w:ascii="Times New Roman" w:hAnsi="Times New Roman"/>
                <w:sz w:val="20"/>
                <w:szCs w:val="20"/>
              </w:rPr>
            </w:pPr>
          </w:p>
        </w:tc>
        <w:tc>
          <w:tcPr>
            <w:tcW w:w="50" w:type="pct"/>
            <w:shd w:val="clear" w:color="auto" w:fill="auto"/>
            <w:vAlign w:val="center"/>
          </w:tcPr>
          <w:p w14:paraId="42A12DE7" w14:textId="77777777" w:rsidR="00BB68E1" w:rsidRDefault="00BB68E1">
            <w:pPr>
              <w:rPr>
                <w:rFonts w:ascii="Times New Roman" w:hAnsi="Times New Roman"/>
                <w:sz w:val="20"/>
                <w:szCs w:val="20"/>
              </w:rPr>
            </w:pPr>
          </w:p>
        </w:tc>
        <w:tc>
          <w:tcPr>
            <w:tcW w:w="50" w:type="pct"/>
            <w:shd w:val="clear" w:color="auto" w:fill="auto"/>
            <w:vAlign w:val="center"/>
          </w:tcPr>
          <w:p w14:paraId="42A12DE8" w14:textId="77777777" w:rsidR="00BB68E1" w:rsidRDefault="00BB68E1">
            <w:pPr>
              <w:rPr>
                <w:rFonts w:ascii="Times New Roman" w:hAnsi="Times New Roman"/>
                <w:sz w:val="20"/>
                <w:szCs w:val="20"/>
              </w:rPr>
            </w:pPr>
          </w:p>
        </w:tc>
        <w:tc>
          <w:tcPr>
            <w:tcW w:w="50" w:type="pct"/>
            <w:shd w:val="clear" w:color="auto" w:fill="auto"/>
            <w:vAlign w:val="center"/>
          </w:tcPr>
          <w:p w14:paraId="42A12DE9" w14:textId="77777777" w:rsidR="00BB68E1" w:rsidRDefault="00BB68E1">
            <w:pPr>
              <w:rPr>
                <w:rFonts w:ascii="Times New Roman" w:hAnsi="Times New Roman"/>
                <w:sz w:val="20"/>
                <w:szCs w:val="20"/>
              </w:rPr>
            </w:pPr>
          </w:p>
        </w:tc>
        <w:tc>
          <w:tcPr>
            <w:tcW w:w="500" w:type="pct"/>
            <w:shd w:val="clear" w:color="auto" w:fill="auto"/>
            <w:vAlign w:val="center"/>
          </w:tcPr>
          <w:p w14:paraId="42A12DEA" w14:textId="77777777" w:rsidR="00BB68E1" w:rsidRDefault="00BB68E1">
            <w:pPr>
              <w:rPr>
                <w:rFonts w:ascii="Times New Roman" w:hAnsi="Times New Roman"/>
                <w:sz w:val="20"/>
                <w:szCs w:val="20"/>
              </w:rPr>
            </w:pPr>
          </w:p>
        </w:tc>
        <w:tc>
          <w:tcPr>
            <w:tcW w:w="50" w:type="pct"/>
            <w:shd w:val="clear" w:color="auto" w:fill="auto"/>
            <w:vAlign w:val="center"/>
          </w:tcPr>
          <w:p w14:paraId="42A12DEB" w14:textId="77777777" w:rsidR="00BB68E1" w:rsidRDefault="00BB68E1">
            <w:pPr>
              <w:rPr>
                <w:rFonts w:ascii="Times New Roman" w:hAnsi="Times New Roman"/>
                <w:sz w:val="20"/>
                <w:szCs w:val="20"/>
              </w:rPr>
            </w:pPr>
          </w:p>
        </w:tc>
        <w:tc>
          <w:tcPr>
            <w:tcW w:w="50" w:type="pct"/>
            <w:shd w:val="clear" w:color="auto" w:fill="auto"/>
            <w:vAlign w:val="center"/>
          </w:tcPr>
          <w:p w14:paraId="42A12DEC" w14:textId="77777777" w:rsidR="00BB68E1" w:rsidRDefault="00BB68E1">
            <w:pPr>
              <w:rPr>
                <w:rFonts w:ascii="Times New Roman" w:hAnsi="Times New Roman"/>
                <w:sz w:val="20"/>
                <w:szCs w:val="20"/>
              </w:rPr>
            </w:pPr>
          </w:p>
        </w:tc>
        <w:tc>
          <w:tcPr>
            <w:tcW w:w="50" w:type="pct"/>
            <w:shd w:val="clear" w:color="auto" w:fill="auto"/>
            <w:vAlign w:val="center"/>
          </w:tcPr>
          <w:p w14:paraId="42A12DED" w14:textId="77777777" w:rsidR="00BB68E1" w:rsidRDefault="00BB68E1">
            <w:pPr>
              <w:rPr>
                <w:rFonts w:ascii="Times New Roman" w:hAnsi="Times New Roman"/>
                <w:sz w:val="20"/>
                <w:szCs w:val="20"/>
              </w:rPr>
            </w:pPr>
          </w:p>
        </w:tc>
        <w:tc>
          <w:tcPr>
            <w:tcW w:w="400" w:type="pct"/>
            <w:shd w:val="clear" w:color="auto" w:fill="auto"/>
            <w:vAlign w:val="center"/>
          </w:tcPr>
          <w:p w14:paraId="42A12DEE" w14:textId="77777777" w:rsidR="00BB68E1" w:rsidRDefault="00BB68E1">
            <w:pPr>
              <w:rPr>
                <w:rFonts w:ascii="Times New Roman" w:hAnsi="Times New Roman"/>
                <w:sz w:val="20"/>
                <w:szCs w:val="20"/>
              </w:rPr>
            </w:pPr>
          </w:p>
        </w:tc>
        <w:tc>
          <w:tcPr>
            <w:tcW w:w="50" w:type="pct"/>
            <w:shd w:val="clear" w:color="auto" w:fill="auto"/>
            <w:vAlign w:val="center"/>
          </w:tcPr>
          <w:p w14:paraId="42A12DEF" w14:textId="77777777" w:rsidR="00BB68E1" w:rsidRDefault="00BB68E1">
            <w:pPr>
              <w:rPr>
                <w:rFonts w:ascii="Times New Roman" w:hAnsi="Times New Roman"/>
                <w:sz w:val="20"/>
                <w:szCs w:val="20"/>
              </w:rPr>
            </w:pPr>
          </w:p>
        </w:tc>
        <w:tc>
          <w:tcPr>
            <w:tcW w:w="50" w:type="pct"/>
            <w:shd w:val="clear" w:color="auto" w:fill="auto"/>
            <w:vAlign w:val="center"/>
          </w:tcPr>
          <w:p w14:paraId="42A12DF0" w14:textId="77777777" w:rsidR="00BB68E1" w:rsidRDefault="00BB68E1">
            <w:pPr>
              <w:rPr>
                <w:rFonts w:ascii="Times New Roman" w:hAnsi="Times New Roman"/>
                <w:sz w:val="20"/>
                <w:szCs w:val="20"/>
              </w:rPr>
            </w:pPr>
          </w:p>
        </w:tc>
        <w:tc>
          <w:tcPr>
            <w:tcW w:w="50" w:type="pct"/>
            <w:shd w:val="clear" w:color="auto" w:fill="auto"/>
            <w:vAlign w:val="center"/>
          </w:tcPr>
          <w:p w14:paraId="42A12DF1" w14:textId="77777777" w:rsidR="00BB68E1" w:rsidRDefault="00BB68E1">
            <w:pPr>
              <w:rPr>
                <w:rFonts w:ascii="Times New Roman" w:hAnsi="Times New Roman"/>
                <w:sz w:val="20"/>
                <w:szCs w:val="20"/>
              </w:rPr>
            </w:pPr>
          </w:p>
        </w:tc>
        <w:tc>
          <w:tcPr>
            <w:tcW w:w="400" w:type="pct"/>
            <w:shd w:val="clear" w:color="auto" w:fill="auto"/>
            <w:vAlign w:val="center"/>
          </w:tcPr>
          <w:p w14:paraId="42A12DF2" w14:textId="77777777" w:rsidR="00BB68E1" w:rsidRDefault="00BB68E1">
            <w:pPr>
              <w:rPr>
                <w:rFonts w:ascii="Times New Roman" w:hAnsi="Times New Roman"/>
                <w:sz w:val="20"/>
                <w:szCs w:val="20"/>
              </w:rPr>
            </w:pPr>
          </w:p>
        </w:tc>
        <w:tc>
          <w:tcPr>
            <w:tcW w:w="50" w:type="pct"/>
            <w:shd w:val="clear" w:color="auto" w:fill="auto"/>
            <w:vAlign w:val="center"/>
          </w:tcPr>
          <w:p w14:paraId="42A12DF3" w14:textId="77777777" w:rsidR="00BB68E1" w:rsidRDefault="00BB68E1">
            <w:pPr>
              <w:rPr>
                <w:rFonts w:ascii="Times New Roman" w:hAnsi="Times New Roman"/>
                <w:sz w:val="20"/>
                <w:szCs w:val="20"/>
              </w:rPr>
            </w:pPr>
          </w:p>
        </w:tc>
        <w:tc>
          <w:tcPr>
            <w:tcW w:w="50" w:type="pct"/>
            <w:shd w:val="clear" w:color="auto" w:fill="auto"/>
            <w:vAlign w:val="center"/>
          </w:tcPr>
          <w:p w14:paraId="42A12DF4" w14:textId="77777777" w:rsidR="00BB68E1" w:rsidRDefault="00BB68E1">
            <w:pPr>
              <w:rPr>
                <w:rFonts w:ascii="Times New Roman" w:hAnsi="Times New Roman"/>
                <w:sz w:val="20"/>
                <w:szCs w:val="20"/>
              </w:rPr>
            </w:pPr>
          </w:p>
        </w:tc>
        <w:tc>
          <w:tcPr>
            <w:tcW w:w="50" w:type="pct"/>
            <w:shd w:val="clear" w:color="auto" w:fill="auto"/>
            <w:vAlign w:val="center"/>
          </w:tcPr>
          <w:p w14:paraId="42A12DF5" w14:textId="77777777" w:rsidR="00BB68E1" w:rsidRDefault="00BB68E1">
            <w:pPr>
              <w:rPr>
                <w:rFonts w:ascii="Times New Roman" w:hAnsi="Times New Roman"/>
                <w:sz w:val="20"/>
                <w:szCs w:val="20"/>
              </w:rPr>
            </w:pPr>
          </w:p>
        </w:tc>
        <w:tc>
          <w:tcPr>
            <w:tcW w:w="400" w:type="pct"/>
            <w:shd w:val="clear" w:color="auto" w:fill="auto"/>
            <w:vAlign w:val="center"/>
          </w:tcPr>
          <w:p w14:paraId="42A12DF6" w14:textId="77777777" w:rsidR="00BB68E1" w:rsidRDefault="00BB68E1">
            <w:pPr>
              <w:rPr>
                <w:rFonts w:ascii="Times New Roman" w:hAnsi="Times New Roman"/>
                <w:sz w:val="20"/>
                <w:szCs w:val="20"/>
              </w:rPr>
            </w:pPr>
          </w:p>
        </w:tc>
        <w:tc>
          <w:tcPr>
            <w:tcW w:w="50" w:type="pct"/>
            <w:shd w:val="clear" w:color="auto" w:fill="auto"/>
            <w:vAlign w:val="center"/>
          </w:tcPr>
          <w:p w14:paraId="42A12DF7" w14:textId="77777777" w:rsidR="00BB68E1" w:rsidRDefault="00BB68E1">
            <w:pPr>
              <w:rPr>
                <w:rFonts w:ascii="Times New Roman" w:hAnsi="Times New Roman"/>
                <w:sz w:val="20"/>
                <w:szCs w:val="20"/>
              </w:rPr>
            </w:pPr>
          </w:p>
        </w:tc>
      </w:tr>
      <w:tr w:rsidR="00BB68E1" w14:paraId="42A12E05" w14:textId="77777777">
        <w:tc>
          <w:tcPr>
            <w:tcW w:w="0" w:type="auto"/>
            <w:shd w:val="clear" w:color="auto" w:fill="auto"/>
            <w:tcMar>
              <w:top w:w="40" w:type="dxa"/>
              <w:left w:w="40" w:type="dxa"/>
              <w:bottom w:w="40" w:type="dxa"/>
              <w:right w:w="40" w:type="dxa"/>
            </w:tcMar>
            <w:vAlign w:val="bottom"/>
          </w:tcPr>
          <w:p w14:paraId="42A12DF9"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 and net of immaterial income taxes)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DFA"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Currency</w:t>
            </w:r>
            <w:r>
              <w:rPr>
                <w:rFonts w:ascii="Times New Roman" w:eastAsia="宋体" w:hAnsi="Times New Roman"/>
                <w:b/>
                <w:bCs/>
                <w:sz w:val="16"/>
                <w:szCs w:val="16"/>
              </w:rPr>
              <w:br/>
              <w:t>Translation</w:t>
            </w:r>
            <w:r>
              <w:rPr>
                <w:rFonts w:ascii="Times New Roman" w:eastAsia="宋体" w:hAnsi="Times New Roman"/>
                <w:b/>
                <w:bCs/>
                <w:sz w:val="16"/>
                <w:szCs w:val="16"/>
              </w:rPr>
              <w:br/>
              <w:t>and Other</w:t>
            </w:r>
          </w:p>
        </w:tc>
        <w:tc>
          <w:tcPr>
            <w:tcW w:w="0" w:type="auto"/>
            <w:shd w:val="clear" w:color="auto" w:fill="auto"/>
            <w:tcMar>
              <w:top w:w="40" w:type="dxa"/>
              <w:left w:w="40" w:type="dxa"/>
              <w:bottom w:w="40" w:type="dxa"/>
              <w:right w:w="40" w:type="dxa"/>
            </w:tcMar>
            <w:vAlign w:val="bottom"/>
          </w:tcPr>
          <w:p w14:paraId="42A12DF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DFC"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Net Investment Hedges</w:t>
            </w:r>
          </w:p>
        </w:tc>
        <w:tc>
          <w:tcPr>
            <w:tcW w:w="0" w:type="auto"/>
            <w:shd w:val="clear" w:color="auto" w:fill="auto"/>
            <w:tcMar>
              <w:top w:w="40" w:type="dxa"/>
              <w:left w:w="40" w:type="dxa"/>
              <w:bottom w:w="40" w:type="dxa"/>
              <w:right w:w="40" w:type="dxa"/>
            </w:tcMar>
            <w:vAlign w:val="bottom"/>
          </w:tcPr>
          <w:p w14:paraId="42A12DF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DFE"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Unrealized Gain on Available-for-Sale Securities</w:t>
            </w:r>
          </w:p>
        </w:tc>
        <w:tc>
          <w:tcPr>
            <w:tcW w:w="0" w:type="auto"/>
            <w:shd w:val="clear" w:color="auto" w:fill="auto"/>
            <w:tcMar>
              <w:top w:w="40" w:type="dxa"/>
              <w:left w:w="40" w:type="dxa"/>
              <w:bottom w:w="40" w:type="dxa"/>
              <w:right w:w="40" w:type="dxa"/>
            </w:tcMar>
            <w:vAlign w:val="bottom"/>
          </w:tcPr>
          <w:p w14:paraId="42A12DF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E00"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Cash Flow Hedges</w:t>
            </w:r>
          </w:p>
        </w:tc>
        <w:tc>
          <w:tcPr>
            <w:tcW w:w="0" w:type="auto"/>
            <w:shd w:val="clear" w:color="auto" w:fill="auto"/>
            <w:tcMar>
              <w:top w:w="40" w:type="dxa"/>
              <w:left w:w="40" w:type="dxa"/>
              <w:bottom w:w="40" w:type="dxa"/>
              <w:right w:w="40" w:type="dxa"/>
            </w:tcMar>
            <w:vAlign w:val="bottom"/>
          </w:tcPr>
          <w:p w14:paraId="42A12E0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E0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Minimum</w:t>
            </w:r>
            <w:r>
              <w:rPr>
                <w:rFonts w:ascii="Times New Roman" w:eastAsia="宋体" w:hAnsi="Times New Roman"/>
                <w:b/>
                <w:bCs/>
                <w:sz w:val="16"/>
                <w:szCs w:val="16"/>
              </w:rPr>
              <w:br/>
              <w:t>Pension Liability</w:t>
            </w:r>
          </w:p>
        </w:tc>
        <w:tc>
          <w:tcPr>
            <w:tcW w:w="0" w:type="auto"/>
            <w:shd w:val="clear" w:color="auto" w:fill="auto"/>
            <w:tcMar>
              <w:top w:w="40" w:type="dxa"/>
              <w:left w:w="40" w:type="dxa"/>
              <w:bottom w:w="40" w:type="dxa"/>
              <w:right w:w="40" w:type="dxa"/>
            </w:tcMar>
            <w:vAlign w:val="bottom"/>
          </w:tcPr>
          <w:p w14:paraId="42A12E0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E04"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BB68E1" w14:paraId="42A12E1E" w14:textId="77777777">
        <w:tc>
          <w:tcPr>
            <w:tcW w:w="0" w:type="auto"/>
            <w:shd w:val="clear" w:color="auto" w:fill="CCEEFF"/>
            <w:tcMar>
              <w:top w:w="40" w:type="dxa"/>
              <w:left w:w="40" w:type="dxa"/>
              <w:bottom w:w="40" w:type="dxa"/>
              <w:right w:w="40" w:type="dxa"/>
            </w:tcMar>
            <w:vAlign w:val="center"/>
          </w:tcPr>
          <w:p w14:paraId="42A12E06"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Balances as of February 1, 2017</w:t>
            </w:r>
          </w:p>
        </w:tc>
        <w:tc>
          <w:tcPr>
            <w:tcW w:w="0" w:type="auto"/>
            <w:shd w:val="clear" w:color="auto" w:fill="CCEEFF"/>
            <w:tcMar>
              <w:top w:w="40" w:type="dxa"/>
              <w:left w:w="40" w:type="dxa"/>
              <w:bottom w:w="40" w:type="dxa"/>
            </w:tcMar>
            <w:vAlign w:val="center"/>
          </w:tcPr>
          <w:p w14:paraId="42A12E0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E0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(14,507</w:t>
            </w:r>
          </w:p>
        </w:tc>
        <w:tc>
          <w:tcPr>
            <w:tcW w:w="0" w:type="auto"/>
            <w:shd w:val="clear" w:color="auto" w:fill="CCEEFF"/>
            <w:tcMar>
              <w:top w:w="40" w:type="dxa"/>
              <w:bottom w:w="40" w:type="dxa"/>
              <w:right w:w="40" w:type="dxa"/>
            </w:tcMar>
            <w:vAlign w:val="center"/>
          </w:tcPr>
          <w:p w14:paraId="42A12E0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E0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2E0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2E0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1,435</w:t>
            </w:r>
          </w:p>
        </w:tc>
        <w:tc>
          <w:tcPr>
            <w:tcW w:w="0" w:type="auto"/>
            <w:tcBorders>
              <w:top w:val="single" w:sz="8" w:space="0" w:color="000000"/>
            </w:tcBorders>
            <w:shd w:val="clear" w:color="auto" w:fill="CCEEFF"/>
            <w:vAlign w:val="bottom"/>
          </w:tcPr>
          <w:p w14:paraId="42A12E0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E0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E1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145</w:t>
            </w:r>
          </w:p>
        </w:tc>
        <w:tc>
          <w:tcPr>
            <w:tcW w:w="0" w:type="auto"/>
            <w:shd w:val="clear" w:color="auto" w:fill="CCEEFF"/>
            <w:vAlign w:val="bottom"/>
          </w:tcPr>
          <w:p w14:paraId="42A12E1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E1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E1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(315</w:t>
            </w:r>
          </w:p>
        </w:tc>
        <w:tc>
          <w:tcPr>
            <w:tcW w:w="0" w:type="auto"/>
            <w:shd w:val="clear" w:color="auto" w:fill="CCEEFF"/>
            <w:tcMar>
              <w:top w:w="40" w:type="dxa"/>
              <w:bottom w:w="40" w:type="dxa"/>
              <w:right w:w="40" w:type="dxa"/>
            </w:tcMar>
            <w:vAlign w:val="center"/>
          </w:tcPr>
          <w:p w14:paraId="42A12E1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E1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E1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E1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(990</w:t>
            </w:r>
          </w:p>
        </w:tc>
        <w:tc>
          <w:tcPr>
            <w:tcW w:w="0" w:type="auto"/>
            <w:shd w:val="clear" w:color="auto" w:fill="CCEEFF"/>
            <w:tcMar>
              <w:top w:w="40" w:type="dxa"/>
              <w:bottom w:w="40" w:type="dxa"/>
              <w:right w:w="40" w:type="dxa"/>
            </w:tcMar>
            <w:vAlign w:val="center"/>
          </w:tcPr>
          <w:p w14:paraId="42A12E1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E1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E1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E1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(14,232</w:t>
            </w:r>
          </w:p>
        </w:tc>
        <w:tc>
          <w:tcPr>
            <w:tcW w:w="0" w:type="auto"/>
            <w:shd w:val="clear" w:color="auto" w:fill="CCEEFF"/>
            <w:tcMar>
              <w:top w:w="40" w:type="dxa"/>
              <w:bottom w:w="40" w:type="dxa"/>
              <w:right w:w="40" w:type="dxa"/>
            </w:tcMar>
            <w:vAlign w:val="center"/>
          </w:tcPr>
          <w:p w14:paraId="42A12E1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E31" w14:textId="77777777">
        <w:tc>
          <w:tcPr>
            <w:tcW w:w="0" w:type="auto"/>
            <w:shd w:val="clear" w:color="auto" w:fill="auto"/>
            <w:tcMar>
              <w:top w:w="40" w:type="dxa"/>
              <w:left w:w="40" w:type="dxa"/>
              <w:bottom w:w="40" w:type="dxa"/>
              <w:right w:w="40" w:type="dxa"/>
            </w:tcMar>
            <w:vAlign w:val="center"/>
          </w:tcPr>
          <w:p w14:paraId="42A12E1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 comprehensive income (loss) before reclassifications, net</w:t>
            </w:r>
          </w:p>
        </w:tc>
        <w:tc>
          <w:tcPr>
            <w:tcW w:w="0" w:type="auto"/>
            <w:gridSpan w:val="2"/>
            <w:shd w:val="clear" w:color="auto" w:fill="auto"/>
            <w:tcMar>
              <w:top w:w="40" w:type="dxa"/>
              <w:left w:w="40" w:type="dxa"/>
              <w:bottom w:w="40" w:type="dxa"/>
            </w:tcMar>
            <w:vAlign w:val="center"/>
          </w:tcPr>
          <w:p w14:paraId="42A12E2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2,345</w:t>
            </w:r>
          </w:p>
        </w:tc>
        <w:tc>
          <w:tcPr>
            <w:tcW w:w="0" w:type="auto"/>
            <w:shd w:val="clear" w:color="auto" w:fill="auto"/>
            <w:vAlign w:val="bottom"/>
          </w:tcPr>
          <w:p w14:paraId="42A12E2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E2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2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(405</w:t>
            </w:r>
          </w:p>
        </w:tc>
        <w:tc>
          <w:tcPr>
            <w:tcW w:w="0" w:type="auto"/>
            <w:shd w:val="clear" w:color="auto" w:fill="auto"/>
            <w:tcMar>
              <w:top w:w="40" w:type="dxa"/>
              <w:bottom w:w="40" w:type="dxa"/>
              <w:right w:w="40" w:type="dxa"/>
            </w:tcMar>
            <w:vAlign w:val="center"/>
          </w:tcPr>
          <w:p w14:paraId="42A12E2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E2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2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1,501</w:t>
            </w:r>
          </w:p>
        </w:tc>
        <w:tc>
          <w:tcPr>
            <w:tcW w:w="0" w:type="auto"/>
            <w:shd w:val="clear" w:color="auto" w:fill="auto"/>
            <w:vAlign w:val="bottom"/>
          </w:tcPr>
          <w:p w14:paraId="42A12E2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E2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2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436</w:t>
            </w:r>
          </w:p>
        </w:tc>
        <w:tc>
          <w:tcPr>
            <w:tcW w:w="0" w:type="auto"/>
            <w:shd w:val="clear" w:color="auto" w:fill="auto"/>
            <w:vAlign w:val="bottom"/>
          </w:tcPr>
          <w:p w14:paraId="42A12E2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E2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2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83</w:t>
            </w:r>
          </w:p>
        </w:tc>
        <w:tc>
          <w:tcPr>
            <w:tcW w:w="0" w:type="auto"/>
            <w:shd w:val="clear" w:color="auto" w:fill="auto"/>
            <w:vAlign w:val="bottom"/>
          </w:tcPr>
          <w:p w14:paraId="42A12E2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E2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2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3,960</w:t>
            </w:r>
          </w:p>
        </w:tc>
        <w:tc>
          <w:tcPr>
            <w:tcW w:w="0" w:type="auto"/>
            <w:shd w:val="clear" w:color="auto" w:fill="auto"/>
            <w:vAlign w:val="bottom"/>
          </w:tcPr>
          <w:p w14:paraId="42A12E30" w14:textId="77777777" w:rsidR="00BB68E1" w:rsidRDefault="00BB68E1">
            <w:pPr>
              <w:textAlignment w:val="bottom"/>
              <w:rPr>
                <w:rFonts w:ascii="Times New Roman" w:hAnsi="Times New Roman"/>
                <w:sz w:val="20"/>
                <w:szCs w:val="20"/>
              </w:rPr>
            </w:pPr>
          </w:p>
        </w:tc>
      </w:tr>
      <w:tr w:rsidR="00BB68E1" w14:paraId="42A12E44" w14:textId="77777777">
        <w:tc>
          <w:tcPr>
            <w:tcW w:w="0" w:type="auto"/>
            <w:shd w:val="clear" w:color="auto" w:fill="CCEEFF"/>
            <w:tcMar>
              <w:top w:w="40" w:type="dxa"/>
              <w:left w:w="40" w:type="dxa"/>
              <w:bottom w:w="40" w:type="dxa"/>
              <w:right w:w="40" w:type="dxa"/>
            </w:tcMar>
            <w:vAlign w:val="center"/>
          </w:tcPr>
          <w:p w14:paraId="42A12E3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Amounts reclassified from accumulated other comprehensive loss, net</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E3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w:t>
            </w:r>
          </w:p>
        </w:tc>
        <w:tc>
          <w:tcPr>
            <w:tcW w:w="0" w:type="auto"/>
            <w:tcBorders>
              <w:bottom w:val="single" w:sz="8" w:space="0" w:color="000000"/>
            </w:tcBorders>
            <w:shd w:val="clear" w:color="auto" w:fill="CCEEFF"/>
            <w:vAlign w:val="bottom"/>
          </w:tcPr>
          <w:p w14:paraId="42A12E3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3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E3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42A12E3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3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E3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42A12E3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E3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tcBorders>
              <w:bottom w:val="single" w:sz="8" w:space="0" w:color="000000"/>
            </w:tcBorders>
            <w:shd w:val="clear" w:color="auto" w:fill="CCEEFF"/>
            <w:vAlign w:val="bottom"/>
          </w:tcPr>
          <w:p w14:paraId="42A12E3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3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E3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64</w:t>
            </w:r>
          </w:p>
        </w:tc>
        <w:tc>
          <w:tcPr>
            <w:tcW w:w="0" w:type="auto"/>
            <w:tcBorders>
              <w:bottom w:val="single" w:sz="8" w:space="0" w:color="000000"/>
            </w:tcBorders>
            <w:shd w:val="clear" w:color="auto" w:fill="CCEEFF"/>
            <w:vAlign w:val="bottom"/>
          </w:tcPr>
          <w:p w14:paraId="42A12E4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4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E4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91</w:t>
            </w:r>
          </w:p>
        </w:tc>
        <w:tc>
          <w:tcPr>
            <w:tcW w:w="0" w:type="auto"/>
            <w:tcBorders>
              <w:bottom w:val="single" w:sz="8" w:space="0" w:color="000000"/>
            </w:tcBorders>
            <w:shd w:val="clear" w:color="auto" w:fill="CCEEFF"/>
            <w:vAlign w:val="bottom"/>
          </w:tcPr>
          <w:p w14:paraId="42A12E43" w14:textId="77777777" w:rsidR="00BB68E1" w:rsidRDefault="00BB68E1">
            <w:pPr>
              <w:textAlignment w:val="bottom"/>
              <w:rPr>
                <w:rFonts w:ascii="Times New Roman" w:hAnsi="Times New Roman"/>
                <w:sz w:val="20"/>
                <w:szCs w:val="20"/>
              </w:rPr>
            </w:pPr>
          </w:p>
        </w:tc>
      </w:tr>
      <w:tr w:rsidR="00BB68E1" w14:paraId="42A12E57" w14:textId="77777777">
        <w:tc>
          <w:tcPr>
            <w:tcW w:w="0" w:type="auto"/>
            <w:shd w:val="clear" w:color="auto" w:fill="auto"/>
            <w:tcMar>
              <w:top w:w="40" w:type="dxa"/>
              <w:left w:w="40" w:type="dxa"/>
              <w:bottom w:w="40" w:type="dxa"/>
              <w:right w:w="40" w:type="dxa"/>
            </w:tcMar>
            <w:vAlign w:val="center"/>
          </w:tcPr>
          <w:p w14:paraId="42A12E45"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Balances as of January 31, 2018</w:t>
            </w:r>
          </w:p>
        </w:tc>
        <w:tc>
          <w:tcPr>
            <w:tcW w:w="0" w:type="auto"/>
            <w:gridSpan w:val="2"/>
            <w:shd w:val="clear" w:color="auto" w:fill="auto"/>
            <w:tcMar>
              <w:top w:w="40" w:type="dxa"/>
              <w:left w:w="40" w:type="dxa"/>
              <w:bottom w:w="40" w:type="dxa"/>
            </w:tcMar>
            <w:vAlign w:val="center"/>
          </w:tcPr>
          <w:p w14:paraId="42A12E4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(12,136</w:t>
            </w:r>
          </w:p>
        </w:tc>
        <w:tc>
          <w:tcPr>
            <w:tcW w:w="0" w:type="auto"/>
            <w:shd w:val="clear" w:color="auto" w:fill="auto"/>
            <w:tcMar>
              <w:top w:w="40" w:type="dxa"/>
              <w:bottom w:w="40" w:type="dxa"/>
              <w:right w:w="40" w:type="dxa"/>
            </w:tcMar>
            <w:vAlign w:val="center"/>
          </w:tcPr>
          <w:p w14:paraId="42A12E4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E4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4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1,030</w:t>
            </w:r>
          </w:p>
        </w:tc>
        <w:tc>
          <w:tcPr>
            <w:tcW w:w="0" w:type="auto"/>
            <w:shd w:val="clear" w:color="auto" w:fill="auto"/>
            <w:vAlign w:val="bottom"/>
          </w:tcPr>
          <w:p w14:paraId="42A12E4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E4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4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1,646</w:t>
            </w:r>
          </w:p>
        </w:tc>
        <w:tc>
          <w:tcPr>
            <w:tcW w:w="0" w:type="auto"/>
            <w:shd w:val="clear" w:color="auto" w:fill="auto"/>
            <w:vAlign w:val="bottom"/>
          </w:tcPr>
          <w:p w14:paraId="42A12E4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E4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4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122</w:t>
            </w:r>
          </w:p>
        </w:tc>
        <w:tc>
          <w:tcPr>
            <w:tcW w:w="0" w:type="auto"/>
            <w:shd w:val="clear" w:color="auto" w:fill="auto"/>
            <w:vAlign w:val="bottom"/>
          </w:tcPr>
          <w:p w14:paraId="42A12E5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E5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5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(843</w:t>
            </w:r>
          </w:p>
        </w:tc>
        <w:tc>
          <w:tcPr>
            <w:tcW w:w="0" w:type="auto"/>
            <w:shd w:val="clear" w:color="auto" w:fill="auto"/>
            <w:tcMar>
              <w:top w:w="40" w:type="dxa"/>
              <w:bottom w:w="40" w:type="dxa"/>
              <w:right w:w="40" w:type="dxa"/>
            </w:tcMar>
            <w:vAlign w:val="center"/>
          </w:tcPr>
          <w:p w14:paraId="42A12E5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E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5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(10,181</w:t>
            </w:r>
          </w:p>
        </w:tc>
        <w:tc>
          <w:tcPr>
            <w:tcW w:w="0" w:type="auto"/>
            <w:shd w:val="clear" w:color="auto" w:fill="auto"/>
            <w:tcMar>
              <w:top w:w="40" w:type="dxa"/>
              <w:bottom w:w="40" w:type="dxa"/>
              <w:right w:w="40" w:type="dxa"/>
            </w:tcMar>
            <w:vAlign w:val="center"/>
          </w:tcPr>
          <w:p w14:paraId="42A12E5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E6A" w14:textId="77777777">
        <w:tc>
          <w:tcPr>
            <w:tcW w:w="0" w:type="auto"/>
            <w:shd w:val="clear" w:color="auto" w:fill="CCEEFF"/>
            <w:tcMar>
              <w:top w:w="40" w:type="dxa"/>
              <w:left w:w="40" w:type="dxa"/>
              <w:bottom w:w="40" w:type="dxa"/>
              <w:right w:w="40" w:type="dxa"/>
            </w:tcMar>
            <w:vAlign w:val="center"/>
          </w:tcPr>
          <w:p w14:paraId="42A12E5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Adoption of new accounting standards on February 1, 2018</w:t>
            </w:r>
            <w:r>
              <w:rPr>
                <w:rFonts w:ascii="Times New Roman" w:eastAsia="宋体" w:hAnsi="Times New Roman"/>
                <w:sz w:val="10"/>
                <w:szCs w:val="10"/>
              </w:rPr>
              <w:t>(1)</w:t>
            </w:r>
          </w:p>
        </w:tc>
        <w:tc>
          <w:tcPr>
            <w:tcW w:w="0" w:type="auto"/>
            <w:gridSpan w:val="2"/>
            <w:shd w:val="clear" w:color="auto" w:fill="CCEEFF"/>
            <w:tcMar>
              <w:top w:w="40" w:type="dxa"/>
              <w:left w:w="40" w:type="dxa"/>
              <w:bottom w:w="40" w:type="dxa"/>
            </w:tcMar>
            <w:vAlign w:val="center"/>
          </w:tcPr>
          <w:p w14:paraId="42A12E5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89</w:t>
            </w:r>
          </w:p>
        </w:tc>
        <w:tc>
          <w:tcPr>
            <w:tcW w:w="0" w:type="auto"/>
            <w:shd w:val="clear" w:color="auto" w:fill="CCEEFF"/>
            <w:vAlign w:val="bottom"/>
          </w:tcPr>
          <w:p w14:paraId="42A12E5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5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E5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93</w:t>
            </w:r>
          </w:p>
        </w:tc>
        <w:tc>
          <w:tcPr>
            <w:tcW w:w="0" w:type="auto"/>
            <w:shd w:val="clear" w:color="auto" w:fill="CCEEFF"/>
            <w:vAlign w:val="bottom"/>
          </w:tcPr>
          <w:p w14:paraId="42A12E5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5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E5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(1,646</w:t>
            </w:r>
          </w:p>
        </w:tc>
        <w:tc>
          <w:tcPr>
            <w:tcW w:w="0" w:type="auto"/>
            <w:shd w:val="clear" w:color="auto" w:fill="CCEEFF"/>
            <w:tcMar>
              <w:top w:w="40" w:type="dxa"/>
              <w:bottom w:w="40" w:type="dxa"/>
              <w:right w:w="40" w:type="dxa"/>
            </w:tcMar>
            <w:vAlign w:val="center"/>
          </w:tcPr>
          <w:p w14:paraId="42A12E6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E6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E6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CCEEFF"/>
            <w:vAlign w:val="bottom"/>
          </w:tcPr>
          <w:p w14:paraId="42A12E6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6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E6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E6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6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E6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(1,436</w:t>
            </w:r>
          </w:p>
        </w:tc>
        <w:tc>
          <w:tcPr>
            <w:tcW w:w="0" w:type="auto"/>
            <w:shd w:val="clear" w:color="auto" w:fill="CCEEFF"/>
            <w:tcMar>
              <w:top w:w="40" w:type="dxa"/>
              <w:bottom w:w="40" w:type="dxa"/>
              <w:right w:w="40" w:type="dxa"/>
            </w:tcMar>
            <w:vAlign w:val="center"/>
          </w:tcPr>
          <w:p w14:paraId="42A12E6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E7D" w14:textId="77777777">
        <w:tc>
          <w:tcPr>
            <w:tcW w:w="0" w:type="auto"/>
            <w:shd w:val="clear" w:color="auto" w:fill="auto"/>
            <w:tcMar>
              <w:top w:w="40" w:type="dxa"/>
              <w:left w:w="40" w:type="dxa"/>
              <w:bottom w:w="40" w:type="dxa"/>
              <w:right w:w="40" w:type="dxa"/>
            </w:tcMar>
            <w:vAlign w:val="center"/>
          </w:tcPr>
          <w:p w14:paraId="42A12E6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 comprehensive income (loss) before reclassifications, net</w:t>
            </w:r>
          </w:p>
        </w:tc>
        <w:tc>
          <w:tcPr>
            <w:tcW w:w="0" w:type="auto"/>
            <w:gridSpan w:val="2"/>
            <w:shd w:val="clear" w:color="auto" w:fill="auto"/>
            <w:tcMar>
              <w:top w:w="40" w:type="dxa"/>
              <w:left w:w="40" w:type="dxa"/>
              <w:bottom w:w="40" w:type="dxa"/>
            </w:tcMar>
            <w:vAlign w:val="center"/>
          </w:tcPr>
          <w:p w14:paraId="42A12E6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(2,093</w:t>
            </w:r>
          </w:p>
        </w:tc>
        <w:tc>
          <w:tcPr>
            <w:tcW w:w="0" w:type="auto"/>
            <w:shd w:val="clear" w:color="auto" w:fill="auto"/>
            <w:tcMar>
              <w:top w:w="40" w:type="dxa"/>
              <w:bottom w:w="40" w:type="dxa"/>
              <w:right w:w="40" w:type="dxa"/>
            </w:tcMar>
            <w:vAlign w:val="center"/>
          </w:tcPr>
          <w:p w14:paraId="42A12E6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E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6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272</w:t>
            </w:r>
          </w:p>
        </w:tc>
        <w:tc>
          <w:tcPr>
            <w:tcW w:w="0" w:type="auto"/>
            <w:shd w:val="clear" w:color="auto" w:fill="auto"/>
            <w:vAlign w:val="bottom"/>
          </w:tcPr>
          <w:p w14:paraId="42A12E7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E7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7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E7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E7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7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(339</w:t>
            </w:r>
          </w:p>
        </w:tc>
        <w:tc>
          <w:tcPr>
            <w:tcW w:w="0" w:type="auto"/>
            <w:shd w:val="clear" w:color="auto" w:fill="auto"/>
            <w:tcMar>
              <w:top w:w="40" w:type="dxa"/>
              <w:bottom w:w="40" w:type="dxa"/>
              <w:right w:w="40" w:type="dxa"/>
            </w:tcMar>
            <w:vAlign w:val="center"/>
          </w:tcPr>
          <w:p w14:paraId="42A12E7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E7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7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93</w:t>
            </w:r>
          </w:p>
        </w:tc>
        <w:tc>
          <w:tcPr>
            <w:tcW w:w="0" w:type="auto"/>
            <w:shd w:val="clear" w:color="auto" w:fill="auto"/>
            <w:vAlign w:val="bottom"/>
          </w:tcPr>
          <w:p w14:paraId="42A12E7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E7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7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(2,067</w:t>
            </w:r>
          </w:p>
        </w:tc>
        <w:tc>
          <w:tcPr>
            <w:tcW w:w="0" w:type="auto"/>
            <w:shd w:val="clear" w:color="auto" w:fill="auto"/>
            <w:tcMar>
              <w:top w:w="40" w:type="dxa"/>
              <w:bottom w:w="40" w:type="dxa"/>
              <w:right w:w="40" w:type="dxa"/>
            </w:tcMar>
            <w:vAlign w:val="center"/>
          </w:tcPr>
          <w:p w14:paraId="42A12E7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E90" w14:textId="77777777">
        <w:tc>
          <w:tcPr>
            <w:tcW w:w="0" w:type="auto"/>
            <w:shd w:val="clear" w:color="auto" w:fill="CCEEFF"/>
            <w:tcMar>
              <w:top w:w="40" w:type="dxa"/>
              <w:left w:w="40" w:type="dxa"/>
              <w:bottom w:w="40" w:type="dxa"/>
              <w:right w:w="40" w:type="dxa"/>
            </w:tcMar>
          </w:tcPr>
          <w:p w14:paraId="42A12E7E" w14:textId="77777777" w:rsidR="00BB68E1" w:rsidRDefault="005D2D5E">
            <w:pPr>
              <w:textAlignment w:val="top"/>
              <w:rPr>
                <w:rFonts w:ascii="Times New Roman" w:hAnsi="Times New Roman"/>
                <w:sz w:val="16"/>
                <w:szCs w:val="16"/>
              </w:rPr>
            </w:pPr>
            <w:r>
              <w:rPr>
                <w:rFonts w:ascii="Times New Roman" w:eastAsia="宋体" w:hAnsi="Times New Roman"/>
                <w:sz w:val="16"/>
                <w:szCs w:val="16"/>
              </w:rPr>
              <w:t>Reclassifications to income, net</w:t>
            </w:r>
            <w:r>
              <w:rPr>
                <w:rFonts w:ascii="Times New Roman" w:eastAsia="宋体" w:hAnsi="Times New Roman"/>
                <w:sz w:val="10"/>
                <w:szCs w:val="10"/>
              </w:rPr>
              <w:t>(2)</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E7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2,055</w:t>
            </w:r>
          </w:p>
        </w:tc>
        <w:tc>
          <w:tcPr>
            <w:tcW w:w="0" w:type="auto"/>
            <w:tcBorders>
              <w:bottom w:val="single" w:sz="8" w:space="0" w:color="000000"/>
            </w:tcBorders>
            <w:shd w:val="clear" w:color="auto" w:fill="CCEEFF"/>
            <w:vAlign w:val="bottom"/>
          </w:tcPr>
          <w:p w14:paraId="42A12E8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E8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42A12E8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E8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42A12E8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E8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49</w:t>
            </w:r>
          </w:p>
        </w:tc>
        <w:tc>
          <w:tcPr>
            <w:tcW w:w="0" w:type="auto"/>
            <w:tcBorders>
              <w:bottom w:val="single" w:sz="8" w:space="0" w:color="000000"/>
            </w:tcBorders>
            <w:shd w:val="clear" w:color="auto" w:fill="CCEEFF"/>
            <w:vAlign w:val="bottom"/>
          </w:tcPr>
          <w:p w14:paraId="42A12E8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8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E8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38</w:t>
            </w:r>
          </w:p>
        </w:tc>
        <w:tc>
          <w:tcPr>
            <w:tcW w:w="0" w:type="auto"/>
            <w:tcBorders>
              <w:bottom w:val="single" w:sz="8" w:space="0" w:color="000000"/>
            </w:tcBorders>
            <w:shd w:val="clear" w:color="auto" w:fill="CCEEFF"/>
            <w:vAlign w:val="bottom"/>
          </w:tcPr>
          <w:p w14:paraId="42A12E8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8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2E8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2,142</w:t>
            </w:r>
          </w:p>
        </w:tc>
        <w:tc>
          <w:tcPr>
            <w:tcW w:w="0" w:type="auto"/>
            <w:tcBorders>
              <w:bottom w:val="single" w:sz="8" w:space="0" w:color="000000"/>
            </w:tcBorders>
            <w:shd w:val="clear" w:color="auto" w:fill="CCEEFF"/>
            <w:vAlign w:val="bottom"/>
          </w:tcPr>
          <w:p w14:paraId="42A12E8F" w14:textId="77777777" w:rsidR="00BB68E1" w:rsidRDefault="00BB68E1">
            <w:pPr>
              <w:textAlignment w:val="bottom"/>
              <w:rPr>
                <w:rFonts w:ascii="Times New Roman" w:hAnsi="Times New Roman"/>
                <w:sz w:val="20"/>
                <w:szCs w:val="20"/>
              </w:rPr>
            </w:pPr>
          </w:p>
        </w:tc>
      </w:tr>
      <w:tr w:rsidR="00BB68E1" w14:paraId="42A12EA3" w14:textId="77777777">
        <w:tc>
          <w:tcPr>
            <w:tcW w:w="0" w:type="auto"/>
            <w:shd w:val="clear" w:color="auto" w:fill="auto"/>
            <w:tcMar>
              <w:top w:w="40" w:type="dxa"/>
              <w:left w:w="40" w:type="dxa"/>
              <w:bottom w:w="40" w:type="dxa"/>
              <w:right w:w="40" w:type="dxa"/>
            </w:tcMar>
            <w:vAlign w:val="center"/>
          </w:tcPr>
          <w:p w14:paraId="42A12E91"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Balances as of January 31, 2019</w:t>
            </w:r>
          </w:p>
        </w:tc>
        <w:tc>
          <w:tcPr>
            <w:tcW w:w="0" w:type="auto"/>
            <w:gridSpan w:val="2"/>
            <w:shd w:val="clear" w:color="auto" w:fill="auto"/>
            <w:tcMar>
              <w:top w:w="40" w:type="dxa"/>
              <w:left w:w="40" w:type="dxa"/>
              <w:bottom w:w="40" w:type="dxa"/>
            </w:tcMar>
            <w:vAlign w:val="center"/>
          </w:tcPr>
          <w:p w14:paraId="42A12E9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(12,085</w:t>
            </w:r>
          </w:p>
        </w:tc>
        <w:tc>
          <w:tcPr>
            <w:tcW w:w="0" w:type="auto"/>
            <w:shd w:val="clear" w:color="auto" w:fill="auto"/>
            <w:tcMar>
              <w:top w:w="40" w:type="dxa"/>
              <w:bottom w:w="40" w:type="dxa"/>
              <w:right w:w="40" w:type="dxa"/>
            </w:tcMar>
            <w:vAlign w:val="center"/>
          </w:tcPr>
          <w:p w14:paraId="42A12E9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E9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9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1,395</w:t>
            </w:r>
          </w:p>
        </w:tc>
        <w:tc>
          <w:tcPr>
            <w:tcW w:w="0" w:type="auto"/>
            <w:shd w:val="clear" w:color="auto" w:fill="auto"/>
            <w:vAlign w:val="bottom"/>
          </w:tcPr>
          <w:p w14:paraId="42A12E9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E9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9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E9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E9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9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(140</w:t>
            </w:r>
          </w:p>
        </w:tc>
        <w:tc>
          <w:tcPr>
            <w:tcW w:w="0" w:type="auto"/>
            <w:shd w:val="clear" w:color="auto" w:fill="auto"/>
            <w:tcMar>
              <w:top w:w="40" w:type="dxa"/>
              <w:bottom w:w="40" w:type="dxa"/>
              <w:right w:w="40" w:type="dxa"/>
            </w:tcMar>
            <w:vAlign w:val="center"/>
          </w:tcPr>
          <w:p w14:paraId="42A12E9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E9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9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(712</w:t>
            </w:r>
          </w:p>
        </w:tc>
        <w:tc>
          <w:tcPr>
            <w:tcW w:w="0" w:type="auto"/>
            <w:shd w:val="clear" w:color="auto" w:fill="auto"/>
            <w:tcMar>
              <w:top w:w="40" w:type="dxa"/>
              <w:bottom w:w="40" w:type="dxa"/>
              <w:right w:w="40" w:type="dxa"/>
            </w:tcMar>
            <w:vAlign w:val="center"/>
          </w:tcPr>
          <w:p w14:paraId="42A12E9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EA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EA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(11,542</w:t>
            </w:r>
          </w:p>
        </w:tc>
        <w:tc>
          <w:tcPr>
            <w:tcW w:w="0" w:type="auto"/>
            <w:shd w:val="clear" w:color="auto" w:fill="auto"/>
            <w:tcMar>
              <w:top w:w="40" w:type="dxa"/>
              <w:bottom w:w="40" w:type="dxa"/>
              <w:right w:w="40" w:type="dxa"/>
            </w:tcMar>
            <w:vAlign w:val="center"/>
          </w:tcPr>
          <w:p w14:paraId="42A12EA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EB6" w14:textId="77777777">
        <w:tc>
          <w:tcPr>
            <w:tcW w:w="0" w:type="auto"/>
            <w:shd w:val="clear" w:color="auto" w:fill="CCEEFF"/>
            <w:tcMar>
              <w:top w:w="40" w:type="dxa"/>
              <w:left w:w="40" w:type="dxa"/>
              <w:bottom w:w="40" w:type="dxa"/>
              <w:right w:w="40" w:type="dxa"/>
            </w:tcMar>
          </w:tcPr>
          <w:p w14:paraId="42A12EA4" w14:textId="77777777" w:rsidR="00BB68E1" w:rsidRDefault="005D2D5E">
            <w:pPr>
              <w:textAlignment w:val="top"/>
              <w:rPr>
                <w:rFonts w:ascii="Times New Roman" w:hAnsi="Times New Roman"/>
                <w:sz w:val="16"/>
                <w:szCs w:val="16"/>
              </w:rPr>
            </w:pPr>
            <w:r>
              <w:rPr>
                <w:rFonts w:ascii="Times New Roman" w:eastAsia="宋体" w:hAnsi="Times New Roman"/>
                <w:sz w:val="16"/>
                <w:szCs w:val="16"/>
              </w:rPr>
              <w:t>Other comprehensive income (loss) before reclassifications, net</w:t>
            </w:r>
            <w:r>
              <w:rPr>
                <w:rFonts w:ascii="Times New Roman" w:eastAsia="宋体" w:hAnsi="Times New Roman"/>
                <w:sz w:val="10"/>
                <w:szCs w:val="10"/>
              </w:rPr>
              <w:t>(3)</w:t>
            </w:r>
          </w:p>
        </w:tc>
        <w:tc>
          <w:tcPr>
            <w:tcW w:w="0" w:type="auto"/>
            <w:gridSpan w:val="2"/>
            <w:shd w:val="clear" w:color="auto" w:fill="CCEEFF"/>
            <w:tcMar>
              <w:top w:w="40" w:type="dxa"/>
              <w:left w:w="40" w:type="dxa"/>
              <w:bottom w:w="40" w:type="dxa"/>
            </w:tcMar>
            <w:vAlign w:val="center"/>
          </w:tcPr>
          <w:p w14:paraId="42A12EA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281</w:t>
            </w:r>
          </w:p>
        </w:tc>
        <w:tc>
          <w:tcPr>
            <w:tcW w:w="0" w:type="auto"/>
            <w:shd w:val="clear" w:color="auto" w:fill="CCEEFF"/>
            <w:vAlign w:val="bottom"/>
          </w:tcPr>
          <w:p w14:paraId="42A12EA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A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EA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122</w:t>
            </w:r>
          </w:p>
        </w:tc>
        <w:tc>
          <w:tcPr>
            <w:tcW w:w="0" w:type="auto"/>
            <w:shd w:val="clear" w:color="auto" w:fill="CCEEFF"/>
            <w:vAlign w:val="bottom"/>
          </w:tcPr>
          <w:p w14:paraId="42A12EA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A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EA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EA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A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EA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(399</w:t>
            </w:r>
          </w:p>
        </w:tc>
        <w:tc>
          <w:tcPr>
            <w:tcW w:w="0" w:type="auto"/>
            <w:shd w:val="clear" w:color="auto" w:fill="CCEEFF"/>
            <w:tcMar>
              <w:top w:w="40" w:type="dxa"/>
              <w:bottom w:w="40" w:type="dxa"/>
              <w:right w:w="40" w:type="dxa"/>
            </w:tcMar>
            <w:vAlign w:val="center"/>
          </w:tcPr>
          <w:p w14:paraId="42A12EA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EB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EB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(1,283</w:t>
            </w:r>
          </w:p>
        </w:tc>
        <w:tc>
          <w:tcPr>
            <w:tcW w:w="0" w:type="auto"/>
            <w:shd w:val="clear" w:color="auto" w:fill="CCEEFF"/>
            <w:tcMar>
              <w:top w:w="40" w:type="dxa"/>
              <w:bottom w:w="40" w:type="dxa"/>
              <w:right w:w="40" w:type="dxa"/>
            </w:tcMar>
            <w:vAlign w:val="center"/>
          </w:tcPr>
          <w:p w14:paraId="42A12EB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EB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EB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(1,279</w:t>
            </w:r>
          </w:p>
        </w:tc>
        <w:tc>
          <w:tcPr>
            <w:tcW w:w="0" w:type="auto"/>
            <w:shd w:val="clear" w:color="auto" w:fill="CCEEFF"/>
            <w:tcMar>
              <w:top w:w="40" w:type="dxa"/>
              <w:bottom w:w="40" w:type="dxa"/>
              <w:right w:w="40" w:type="dxa"/>
            </w:tcMar>
            <w:vAlign w:val="center"/>
          </w:tcPr>
          <w:p w14:paraId="42A12EB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2EC9" w14:textId="77777777">
        <w:tc>
          <w:tcPr>
            <w:tcW w:w="0" w:type="auto"/>
            <w:shd w:val="clear" w:color="auto" w:fill="auto"/>
            <w:tcMar>
              <w:top w:w="40" w:type="dxa"/>
              <w:left w:w="40" w:type="dxa"/>
              <w:bottom w:w="40" w:type="dxa"/>
              <w:right w:w="40" w:type="dxa"/>
            </w:tcMar>
          </w:tcPr>
          <w:p w14:paraId="42A12EB7" w14:textId="77777777" w:rsidR="00BB68E1" w:rsidRDefault="005D2D5E">
            <w:pPr>
              <w:textAlignment w:val="top"/>
              <w:rPr>
                <w:rFonts w:ascii="Times New Roman" w:hAnsi="Times New Roman"/>
                <w:sz w:val="16"/>
                <w:szCs w:val="16"/>
              </w:rPr>
            </w:pPr>
            <w:r>
              <w:rPr>
                <w:rFonts w:ascii="Times New Roman" w:eastAsia="宋体" w:hAnsi="Times New Roman"/>
                <w:sz w:val="16"/>
                <w:szCs w:val="16"/>
              </w:rPr>
              <w:t>Reclassifications to income, net</w:t>
            </w:r>
          </w:p>
        </w:tc>
        <w:tc>
          <w:tcPr>
            <w:tcW w:w="0" w:type="auto"/>
            <w:gridSpan w:val="2"/>
            <w:tcBorders>
              <w:bottom w:val="single" w:sz="8" w:space="0" w:color="000000"/>
            </w:tcBorders>
            <w:shd w:val="clear" w:color="auto" w:fill="auto"/>
            <w:tcMar>
              <w:top w:w="40" w:type="dxa"/>
              <w:left w:w="40" w:type="dxa"/>
              <w:bottom w:w="40" w:type="dxa"/>
            </w:tcMar>
            <w:vAlign w:val="center"/>
          </w:tcPr>
          <w:p w14:paraId="42A12EB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w:t>
            </w:r>
          </w:p>
        </w:tc>
        <w:tc>
          <w:tcPr>
            <w:tcW w:w="0" w:type="auto"/>
            <w:tcBorders>
              <w:bottom w:val="single" w:sz="8" w:space="0" w:color="000000"/>
            </w:tcBorders>
            <w:shd w:val="clear" w:color="auto" w:fill="auto"/>
            <w:tcMar>
              <w:top w:w="40" w:type="dxa"/>
              <w:bottom w:w="40" w:type="dxa"/>
              <w:right w:w="40" w:type="dxa"/>
            </w:tcMar>
            <w:vAlign w:val="center"/>
          </w:tcPr>
          <w:p w14:paraId="42A12EB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2EB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EB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auto"/>
            <w:vAlign w:val="bottom"/>
          </w:tcPr>
          <w:p w14:paraId="42A12EB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EB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EB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auto"/>
            <w:vAlign w:val="bottom"/>
          </w:tcPr>
          <w:p w14:paraId="42A12EB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E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EC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auto"/>
            <w:vAlign w:val="bottom"/>
          </w:tcPr>
          <w:p w14:paraId="42A12EC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EC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EC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39</w:t>
            </w:r>
          </w:p>
        </w:tc>
        <w:tc>
          <w:tcPr>
            <w:tcW w:w="0" w:type="auto"/>
            <w:tcBorders>
              <w:bottom w:val="single" w:sz="8" w:space="0" w:color="000000"/>
            </w:tcBorders>
            <w:shd w:val="clear" w:color="auto" w:fill="auto"/>
            <w:vAlign w:val="bottom"/>
          </w:tcPr>
          <w:p w14:paraId="42A12EC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E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2EC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tcBorders>
              <w:bottom w:val="single" w:sz="8" w:space="0" w:color="000000"/>
            </w:tcBorders>
            <w:shd w:val="clear" w:color="auto" w:fill="auto"/>
            <w:vAlign w:val="bottom"/>
          </w:tcPr>
          <w:p w14:paraId="42A12EC8" w14:textId="77777777" w:rsidR="00BB68E1" w:rsidRDefault="00BB68E1">
            <w:pPr>
              <w:textAlignment w:val="bottom"/>
              <w:rPr>
                <w:rFonts w:ascii="Times New Roman" w:hAnsi="Times New Roman"/>
                <w:sz w:val="20"/>
                <w:szCs w:val="20"/>
              </w:rPr>
            </w:pPr>
          </w:p>
        </w:tc>
      </w:tr>
      <w:tr w:rsidR="00BB68E1" w14:paraId="42A12EE2" w14:textId="77777777">
        <w:tc>
          <w:tcPr>
            <w:tcW w:w="0" w:type="auto"/>
            <w:shd w:val="clear" w:color="auto" w:fill="CCEEFF"/>
            <w:tcMar>
              <w:top w:w="40" w:type="dxa"/>
              <w:left w:w="40" w:type="dxa"/>
              <w:bottom w:w="40" w:type="dxa"/>
              <w:right w:w="40" w:type="dxa"/>
            </w:tcMar>
            <w:vAlign w:val="center"/>
          </w:tcPr>
          <w:p w14:paraId="42A12ECA"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Balances as of January 31,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2EC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2EC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(11,827</w:t>
            </w:r>
          </w:p>
        </w:tc>
        <w:tc>
          <w:tcPr>
            <w:tcW w:w="0" w:type="auto"/>
            <w:tcBorders>
              <w:top w:val="single" w:sz="8" w:space="0" w:color="000000"/>
              <w:bottom w:val="double" w:sz="6" w:space="0" w:color="000000"/>
            </w:tcBorders>
            <w:shd w:val="clear" w:color="auto" w:fill="CCEEFF"/>
            <w:tcMar>
              <w:top w:w="40" w:type="dxa"/>
              <w:bottom w:w="40" w:type="dxa"/>
              <w:right w:w="40" w:type="dxa"/>
            </w:tcMar>
            <w:vAlign w:val="center"/>
          </w:tcPr>
          <w:p w14:paraId="42A12EC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EC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2EC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2ED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1,517</w:t>
            </w:r>
          </w:p>
        </w:tc>
        <w:tc>
          <w:tcPr>
            <w:tcW w:w="0" w:type="auto"/>
            <w:tcBorders>
              <w:top w:val="single" w:sz="8" w:space="0" w:color="000000"/>
              <w:bottom w:val="double" w:sz="6" w:space="0" w:color="000000"/>
            </w:tcBorders>
            <w:shd w:val="clear" w:color="auto" w:fill="CCEEFF"/>
            <w:vAlign w:val="bottom"/>
          </w:tcPr>
          <w:p w14:paraId="42A12ED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D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2ED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2ED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vAlign w:val="bottom"/>
          </w:tcPr>
          <w:p w14:paraId="42A12ED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E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2ED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2ED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(539</w:t>
            </w:r>
          </w:p>
        </w:tc>
        <w:tc>
          <w:tcPr>
            <w:tcW w:w="0" w:type="auto"/>
            <w:tcBorders>
              <w:top w:val="single" w:sz="8" w:space="0" w:color="000000"/>
              <w:bottom w:val="double" w:sz="6" w:space="0" w:color="000000"/>
            </w:tcBorders>
            <w:shd w:val="clear" w:color="auto" w:fill="CCEEFF"/>
            <w:tcMar>
              <w:top w:w="40" w:type="dxa"/>
              <w:bottom w:w="40" w:type="dxa"/>
              <w:right w:w="40" w:type="dxa"/>
            </w:tcMar>
            <w:vAlign w:val="center"/>
          </w:tcPr>
          <w:p w14:paraId="42A12ED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ED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2ED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2ED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(1,956</w:t>
            </w:r>
          </w:p>
        </w:tc>
        <w:tc>
          <w:tcPr>
            <w:tcW w:w="0" w:type="auto"/>
            <w:tcBorders>
              <w:top w:val="single" w:sz="8" w:space="0" w:color="000000"/>
              <w:bottom w:val="double" w:sz="6" w:space="0" w:color="000000"/>
            </w:tcBorders>
            <w:shd w:val="clear" w:color="auto" w:fill="CCEEFF"/>
            <w:tcMar>
              <w:top w:w="40" w:type="dxa"/>
              <w:bottom w:w="40" w:type="dxa"/>
              <w:right w:w="40" w:type="dxa"/>
            </w:tcMar>
            <w:vAlign w:val="center"/>
          </w:tcPr>
          <w:p w14:paraId="42A12ED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2ED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2ED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2EE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(12,805</w:t>
            </w:r>
          </w:p>
        </w:tc>
        <w:tc>
          <w:tcPr>
            <w:tcW w:w="0" w:type="auto"/>
            <w:tcBorders>
              <w:top w:val="single" w:sz="8" w:space="0" w:color="000000"/>
              <w:bottom w:val="double" w:sz="6" w:space="0" w:color="000000"/>
            </w:tcBorders>
            <w:shd w:val="clear" w:color="auto" w:fill="CCEEFF"/>
            <w:tcMar>
              <w:top w:w="40" w:type="dxa"/>
              <w:bottom w:w="40" w:type="dxa"/>
              <w:right w:w="40" w:type="dxa"/>
            </w:tcMar>
            <w:vAlign w:val="center"/>
          </w:tcPr>
          <w:p w14:paraId="42A12EE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bl>
    <w:p w14:paraId="42A12EE3" w14:textId="77777777" w:rsidR="00BB68E1" w:rsidRDefault="005D2D5E">
      <w:pPr>
        <w:spacing w:line="288" w:lineRule="auto"/>
        <w:ind w:hanging="360"/>
        <w:rPr>
          <w:rFonts w:ascii="Times New Roman" w:hAnsi="Times New Roman"/>
          <w:sz w:val="20"/>
          <w:szCs w:val="20"/>
        </w:rPr>
      </w:pPr>
      <w:r>
        <w:rPr>
          <w:rFonts w:ascii="Times New Roman" w:eastAsia="宋体" w:hAnsi="Times New Roman"/>
          <w:sz w:val="16"/>
          <w:szCs w:val="16"/>
        </w:rPr>
        <w:t xml:space="preserve">(1) Primarily relates to the adoption of ASU 2016-01 and ASU 2018-02, </w:t>
      </w:r>
      <w:r>
        <w:rPr>
          <w:rFonts w:ascii="Times New Roman" w:eastAsia="宋体" w:hAnsi="Times New Roman"/>
          <w:i/>
          <w:iCs/>
          <w:sz w:val="16"/>
          <w:szCs w:val="16"/>
        </w:rPr>
        <w:t>In</w:t>
      </w:r>
      <w:r>
        <w:rPr>
          <w:rFonts w:ascii="Times New Roman" w:eastAsia="宋体" w:hAnsi="Times New Roman"/>
          <w:i/>
          <w:iCs/>
          <w:sz w:val="16"/>
          <w:szCs w:val="16"/>
        </w:rPr>
        <w:t>come Statement</w:t>
      </w:r>
      <w:r>
        <w:rPr>
          <w:rFonts w:ascii="Times New Roman" w:eastAsia="宋体" w:hAnsi="Times New Roman"/>
          <w:i/>
          <w:iCs/>
          <w:sz w:val="20"/>
          <w:szCs w:val="20"/>
        </w:rPr>
        <w:t>–</w:t>
      </w:r>
      <w:r>
        <w:rPr>
          <w:rFonts w:ascii="Times New Roman" w:eastAsia="宋体" w:hAnsi="Times New Roman"/>
          <w:i/>
          <w:iCs/>
          <w:sz w:val="16"/>
          <w:szCs w:val="16"/>
        </w:rPr>
        <w:t xml:space="preserve">Reporting Comprehensive Income (Topic 220): Reclassification of Certain Tax Effects from Accumulated Other Comprehensive Income. </w:t>
      </w:r>
    </w:p>
    <w:p w14:paraId="42A12EE4" w14:textId="77777777" w:rsidR="00BB68E1" w:rsidRDefault="005D2D5E">
      <w:pPr>
        <w:spacing w:line="288" w:lineRule="auto"/>
        <w:ind w:hanging="360"/>
        <w:rPr>
          <w:rFonts w:ascii="Times New Roman" w:hAnsi="Times New Roman"/>
          <w:sz w:val="16"/>
          <w:szCs w:val="16"/>
        </w:rPr>
      </w:pPr>
      <w:r>
        <w:rPr>
          <w:rFonts w:ascii="Times New Roman" w:eastAsia="宋体" w:hAnsi="Times New Roman"/>
          <w:sz w:val="16"/>
          <w:szCs w:val="16"/>
        </w:rPr>
        <w:t>(2) Includes a cumulative foreign currency translation loss of $2.0 billion, for which there was no related inc</w:t>
      </w:r>
      <w:r>
        <w:rPr>
          <w:rFonts w:ascii="Times New Roman" w:eastAsia="宋体" w:hAnsi="Times New Roman"/>
          <w:sz w:val="16"/>
          <w:szCs w:val="16"/>
        </w:rPr>
        <w:t xml:space="preserve">ome taxes, upon sale of the majority stake in Walmart Brazil (see </w:t>
      </w:r>
      <w:hyperlink r:id="rId130" w:anchor="sF3EC33622B9D5E9FA81B9AF6D8900DC8" w:history="1">
        <w:r>
          <w:rPr>
            <w:rStyle w:val="a5"/>
            <w:rFonts w:ascii="Times New Roman" w:eastAsia="宋体" w:hAnsi="Times New Roman"/>
            <w:sz w:val="16"/>
            <w:szCs w:val="16"/>
          </w:rPr>
          <w:t>Note 12</w:t>
        </w:r>
      </w:hyperlink>
      <w:r>
        <w:rPr>
          <w:rFonts w:ascii="Times New Roman" w:eastAsia="宋体" w:hAnsi="Times New Roman"/>
          <w:sz w:val="16"/>
          <w:szCs w:val="16"/>
        </w:rPr>
        <w:t>).</w:t>
      </w:r>
    </w:p>
    <w:p w14:paraId="42A12EE5" w14:textId="77777777" w:rsidR="00BB68E1" w:rsidRDefault="005D2D5E">
      <w:pPr>
        <w:spacing w:line="288" w:lineRule="auto"/>
        <w:ind w:hanging="360"/>
        <w:rPr>
          <w:rFonts w:ascii="Times New Roman" w:hAnsi="Times New Roman"/>
          <w:sz w:val="16"/>
          <w:szCs w:val="16"/>
        </w:rPr>
      </w:pPr>
      <w:r>
        <w:rPr>
          <w:rFonts w:ascii="Times New Roman" w:eastAsia="宋体" w:hAnsi="Times New Roman"/>
          <w:sz w:val="16"/>
          <w:szCs w:val="16"/>
        </w:rPr>
        <w:t xml:space="preserve">(3) Primarily includes the remeasurement of Asda's pension benefit obligation subsequent to the cash contribution made by Asda, as described more fully in </w:t>
      </w:r>
      <w:hyperlink r:id="rId131" w:anchor="s05C5215504E85C4C8AE815B94A409275" w:history="1">
        <w:r>
          <w:rPr>
            <w:rStyle w:val="a5"/>
            <w:rFonts w:ascii="Times New Roman" w:eastAsia="宋体" w:hAnsi="Times New Roman"/>
            <w:sz w:val="16"/>
            <w:szCs w:val="16"/>
          </w:rPr>
          <w:t>Note 11</w:t>
        </w:r>
      </w:hyperlink>
      <w:r>
        <w:rPr>
          <w:rFonts w:ascii="Times New Roman" w:eastAsia="宋体" w:hAnsi="Times New Roman"/>
          <w:sz w:val="16"/>
          <w:szCs w:val="16"/>
        </w:rPr>
        <w:t>.</w:t>
      </w:r>
    </w:p>
    <w:p w14:paraId="42A12EE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Amounts reclassified from accumulated other comprehensive loss for derivatives are recorded in interest, net, in the Company's Consolidated Statements of Income, and the amounts for the minim</w:t>
      </w:r>
      <w:r>
        <w:rPr>
          <w:rFonts w:ascii="Times New Roman" w:eastAsia="宋体" w:hAnsi="Times New Roman"/>
          <w:sz w:val="20"/>
          <w:szCs w:val="20"/>
        </w:rPr>
        <w:t>um pension liability, as well as the cumulative translation resulting from the disposition of a business, are recorded in other gains and losses in the Company's Consolidated Statements of Income. Amounts related to the Company's derivatives expected to be</w:t>
      </w:r>
      <w:r>
        <w:rPr>
          <w:rFonts w:ascii="Times New Roman" w:eastAsia="宋体" w:hAnsi="Times New Roman"/>
          <w:sz w:val="20"/>
          <w:szCs w:val="20"/>
        </w:rPr>
        <w:t xml:space="preserve"> reclassified from accumulated other comprehensive loss to net income during the next 12 months are not significant.</w:t>
      </w:r>
    </w:p>
    <w:p w14:paraId="42A12EE7"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Note 5. Accrued Liabilities</w:t>
      </w:r>
    </w:p>
    <w:p w14:paraId="42A12EE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Company's accrued liabilities consist of the following as of January 31, 2020 and 2019:</w:t>
      </w:r>
    </w:p>
    <w:tbl>
      <w:tblPr>
        <w:tblW w:w="5000" w:type="pct"/>
        <w:tblCellMar>
          <w:left w:w="0" w:type="dxa"/>
          <w:right w:w="0" w:type="dxa"/>
        </w:tblCellMar>
        <w:tblLook w:val="04A0" w:firstRow="1" w:lastRow="0" w:firstColumn="1" w:lastColumn="0" w:noHBand="0" w:noVBand="1"/>
      </w:tblPr>
      <w:tblGrid>
        <w:gridCol w:w="6112"/>
        <w:gridCol w:w="130"/>
        <w:gridCol w:w="120"/>
        <w:gridCol w:w="797"/>
        <w:gridCol w:w="49"/>
        <w:gridCol w:w="130"/>
        <w:gridCol w:w="120"/>
        <w:gridCol w:w="798"/>
        <w:gridCol w:w="50"/>
      </w:tblGrid>
      <w:tr w:rsidR="00BB68E1" w14:paraId="42A12EEA" w14:textId="77777777">
        <w:tc>
          <w:tcPr>
            <w:tcW w:w="0" w:type="auto"/>
            <w:gridSpan w:val="9"/>
            <w:shd w:val="clear" w:color="auto" w:fill="auto"/>
            <w:vAlign w:val="center"/>
          </w:tcPr>
          <w:p w14:paraId="42A12EE9" w14:textId="77777777" w:rsidR="00BB68E1" w:rsidRDefault="00BB68E1">
            <w:pPr>
              <w:rPr>
                <w:rFonts w:ascii="Times New Roman" w:hAnsi="Times New Roman"/>
                <w:sz w:val="20"/>
                <w:szCs w:val="20"/>
              </w:rPr>
            </w:pPr>
          </w:p>
        </w:tc>
      </w:tr>
      <w:tr w:rsidR="00BB68E1" w14:paraId="42A12EF4" w14:textId="77777777">
        <w:tc>
          <w:tcPr>
            <w:tcW w:w="3700" w:type="pct"/>
            <w:shd w:val="clear" w:color="auto" w:fill="auto"/>
            <w:vAlign w:val="center"/>
          </w:tcPr>
          <w:p w14:paraId="42A12EEB" w14:textId="77777777" w:rsidR="00BB68E1" w:rsidRDefault="00BB68E1">
            <w:pPr>
              <w:rPr>
                <w:rFonts w:ascii="Times New Roman" w:hAnsi="Times New Roman"/>
                <w:sz w:val="20"/>
                <w:szCs w:val="20"/>
              </w:rPr>
            </w:pPr>
          </w:p>
        </w:tc>
        <w:tc>
          <w:tcPr>
            <w:tcW w:w="50" w:type="pct"/>
            <w:shd w:val="clear" w:color="auto" w:fill="auto"/>
            <w:vAlign w:val="center"/>
          </w:tcPr>
          <w:p w14:paraId="42A12EEC" w14:textId="77777777" w:rsidR="00BB68E1" w:rsidRDefault="00BB68E1">
            <w:pPr>
              <w:rPr>
                <w:rFonts w:ascii="Times New Roman" w:hAnsi="Times New Roman"/>
                <w:sz w:val="20"/>
                <w:szCs w:val="20"/>
              </w:rPr>
            </w:pPr>
          </w:p>
        </w:tc>
        <w:tc>
          <w:tcPr>
            <w:tcW w:w="50" w:type="pct"/>
            <w:shd w:val="clear" w:color="auto" w:fill="auto"/>
            <w:vAlign w:val="center"/>
          </w:tcPr>
          <w:p w14:paraId="42A12EED" w14:textId="77777777" w:rsidR="00BB68E1" w:rsidRDefault="00BB68E1">
            <w:pPr>
              <w:rPr>
                <w:rFonts w:ascii="Times New Roman" w:hAnsi="Times New Roman"/>
                <w:sz w:val="20"/>
                <w:szCs w:val="20"/>
              </w:rPr>
            </w:pPr>
          </w:p>
        </w:tc>
        <w:tc>
          <w:tcPr>
            <w:tcW w:w="500" w:type="pct"/>
            <w:shd w:val="clear" w:color="auto" w:fill="auto"/>
            <w:vAlign w:val="center"/>
          </w:tcPr>
          <w:p w14:paraId="42A12EEE" w14:textId="77777777" w:rsidR="00BB68E1" w:rsidRDefault="00BB68E1">
            <w:pPr>
              <w:rPr>
                <w:rFonts w:ascii="Times New Roman" w:hAnsi="Times New Roman"/>
                <w:sz w:val="20"/>
                <w:szCs w:val="20"/>
              </w:rPr>
            </w:pPr>
          </w:p>
        </w:tc>
        <w:tc>
          <w:tcPr>
            <w:tcW w:w="50" w:type="pct"/>
            <w:shd w:val="clear" w:color="auto" w:fill="auto"/>
            <w:vAlign w:val="center"/>
          </w:tcPr>
          <w:p w14:paraId="42A12EEF" w14:textId="77777777" w:rsidR="00BB68E1" w:rsidRDefault="00BB68E1">
            <w:pPr>
              <w:rPr>
                <w:rFonts w:ascii="Times New Roman" w:hAnsi="Times New Roman"/>
                <w:sz w:val="20"/>
                <w:szCs w:val="20"/>
              </w:rPr>
            </w:pPr>
          </w:p>
        </w:tc>
        <w:tc>
          <w:tcPr>
            <w:tcW w:w="50" w:type="pct"/>
            <w:shd w:val="clear" w:color="auto" w:fill="auto"/>
            <w:vAlign w:val="center"/>
          </w:tcPr>
          <w:p w14:paraId="42A12EF0" w14:textId="77777777" w:rsidR="00BB68E1" w:rsidRDefault="00BB68E1">
            <w:pPr>
              <w:rPr>
                <w:rFonts w:ascii="Times New Roman" w:hAnsi="Times New Roman"/>
                <w:sz w:val="20"/>
                <w:szCs w:val="20"/>
              </w:rPr>
            </w:pPr>
          </w:p>
        </w:tc>
        <w:tc>
          <w:tcPr>
            <w:tcW w:w="50" w:type="pct"/>
            <w:shd w:val="clear" w:color="auto" w:fill="auto"/>
            <w:vAlign w:val="center"/>
          </w:tcPr>
          <w:p w14:paraId="42A12EF1" w14:textId="77777777" w:rsidR="00BB68E1" w:rsidRDefault="00BB68E1">
            <w:pPr>
              <w:rPr>
                <w:rFonts w:ascii="Times New Roman" w:hAnsi="Times New Roman"/>
                <w:sz w:val="20"/>
                <w:szCs w:val="20"/>
              </w:rPr>
            </w:pPr>
          </w:p>
        </w:tc>
        <w:tc>
          <w:tcPr>
            <w:tcW w:w="500" w:type="pct"/>
            <w:shd w:val="clear" w:color="auto" w:fill="auto"/>
            <w:vAlign w:val="center"/>
          </w:tcPr>
          <w:p w14:paraId="42A12EF2" w14:textId="77777777" w:rsidR="00BB68E1" w:rsidRDefault="00BB68E1">
            <w:pPr>
              <w:rPr>
                <w:rFonts w:ascii="Times New Roman" w:hAnsi="Times New Roman"/>
                <w:sz w:val="20"/>
                <w:szCs w:val="20"/>
              </w:rPr>
            </w:pPr>
          </w:p>
        </w:tc>
        <w:tc>
          <w:tcPr>
            <w:tcW w:w="50" w:type="pct"/>
            <w:shd w:val="clear" w:color="auto" w:fill="auto"/>
            <w:vAlign w:val="center"/>
          </w:tcPr>
          <w:p w14:paraId="42A12EF3" w14:textId="77777777" w:rsidR="00BB68E1" w:rsidRDefault="00BB68E1">
            <w:pPr>
              <w:rPr>
                <w:rFonts w:ascii="Times New Roman" w:hAnsi="Times New Roman"/>
                <w:sz w:val="20"/>
                <w:szCs w:val="20"/>
              </w:rPr>
            </w:pPr>
          </w:p>
        </w:tc>
      </w:tr>
      <w:tr w:rsidR="00BB68E1" w14:paraId="42A12EF8" w14:textId="77777777">
        <w:tc>
          <w:tcPr>
            <w:tcW w:w="0" w:type="auto"/>
            <w:shd w:val="clear" w:color="auto" w:fill="auto"/>
            <w:tcMar>
              <w:top w:w="40" w:type="dxa"/>
              <w:left w:w="40" w:type="dxa"/>
              <w:bottom w:w="40" w:type="dxa"/>
              <w:right w:w="40" w:type="dxa"/>
            </w:tcMar>
            <w:vAlign w:val="bottom"/>
          </w:tcPr>
          <w:p w14:paraId="42A12EF5"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2EF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2A12EF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January 31,</w:t>
            </w:r>
          </w:p>
        </w:tc>
      </w:tr>
      <w:tr w:rsidR="00BB68E1" w14:paraId="42A12EFE" w14:textId="77777777">
        <w:tc>
          <w:tcPr>
            <w:tcW w:w="0" w:type="auto"/>
            <w:shd w:val="clear" w:color="auto" w:fill="auto"/>
            <w:tcMar>
              <w:top w:w="40" w:type="dxa"/>
              <w:left w:w="40" w:type="dxa"/>
              <w:bottom w:w="40" w:type="dxa"/>
              <w:right w:w="40" w:type="dxa"/>
            </w:tcMar>
            <w:vAlign w:val="bottom"/>
          </w:tcPr>
          <w:p w14:paraId="42A12EF9"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2EF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EF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2EF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EFD"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BB68E1" w14:paraId="42A12F08" w14:textId="77777777">
        <w:tc>
          <w:tcPr>
            <w:tcW w:w="0" w:type="auto"/>
            <w:shd w:val="clear" w:color="auto" w:fill="CCEEFF"/>
            <w:tcMar>
              <w:top w:w="40" w:type="dxa"/>
              <w:left w:w="40" w:type="dxa"/>
              <w:bottom w:w="40" w:type="dxa"/>
              <w:right w:w="40" w:type="dxa"/>
            </w:tcMar>
            <w:vAlign w:val="bottom"/>
          </w:tcPr>
          <w:p w14:paraId="42A12EF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Accrued wages and benefits</w:t>
            </w:r>
            <w:r>
              <w:rPr>
                <w:rFonts w:ascii="Times New Roman" w:eastAsia="宋体" w:hAnsi="Times New Roman"/>
                <w:sz w:val="10"/>
                <w:szCs w:val="10"/>
              </w:rPr>
              <w:t>(1)</w:t>
            </w:r>
          </w:p>
        </w:tc>
        <w:tc>
          <w:tcPr>
            <w:tcW w:w="0" w:type="auto"/>
            <w:shd w:val="clear" w:color="auto" w:fill="CCEEFF"/>
            <w:tcMar>
              <w:top w:w="40" w:type="dxa"/>
              <w:left w:w="40" w:type="dxa"/>
              <w:bottom w:w="40" w:type="dxa"/>
              <w:right w:w="40" w:type="dxa"/>
            </w:tcMar>
            <w:vAlign w:val="bottom"/>
          </w:tcPr>
          <w:p w14:paraId="42A12F0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2F0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2F0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6,093</w:t>
            </w:r>
          </w:p>
        </w:tc>
        <w:tc>
          <w:tcPr>
            <w:tcW w:w="0" w:type="auto"/>
            <w:tcBorders>
              <w:top w:val="single" w:sz="8" w:space="0" w:color="000000"/>
            </w:tcBorders>
            <w:shd w:val="clear" w:color="auto" w:fill="CCEEFF"/>
            <w:vAlign w:val="bottom"/>
          </w:tcPr>
          <w:p w14:paraId="42A12F0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F0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F0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F0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6,504</w:t>
            </w:r>
          </w:p>
        </w:tc>
        <w:tc>
          <w:tcPr>
            <w:tcW w:w="0" w:type="auto"/>
            <w:shd w:val="clear" w:color="auto" w:fill="CCEEFF"/>
            <w:vAlign w:val="bottom"/>
          </w:tcPr>
          <w:p w14:paraId="42A12F07" w14:textId="77777777" w:rsidR="00BB68E1" w:rsidRDefault="00BB68E1">
            <w:pPr>
              <w:textAlignment w:val="bottom"/>
              <w:rPr>
                <w:rFonts w:ascii="Times New Roman" w:hAnsi="Times New Roman"/>
                <w:sz w:val="20"/>
                <w:szCs w:val="20"/>
              </w:rPr>
            </w:pPr>
          </w:p>
        </w:tc>
      </w:tr>
      <w:tr w:rsidR="00BB68E1" w14:paraId="42A12F10" w14:textId="77777777">
        <w:tc>
          <w:tcPr>
            <w:tcW w:w="0" w:type="auto"/>
            <w:shd w:val="clear" w:color="auto" w:fill="auto"/>
            <w:tcMar>
              <w:top w:w="40" w:type="dxa"/>
              <w:left w:w="40" w:type="dxa"/>
              <w:bottom w:w="40" w:type="dxa"/>
              <w:right w:w="40" w:type="dxa"/>
            </w:tcMar>
            <w:vAlign w:val="bottom"/>
          </w:tcPr>
          <w:p w14:paraId="42A12F0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Self-insurance</w:t>
            </w:r>
            <w:r>
              <w:rPr>
                <w:rFonts w:ascii="Times New Roman" w:eastAsia="宋体" w:hAnsi="Times New Roman"/>
                <w:sz w:val="10"/>
                <w:szCs w:val="10"/>
              </w:rPr>
              <w:t>(2)</w:t>
            </w:r>
          </w:p>
        </w:tc>
        <w:tc>
          <w:tcPr>
            <w:tcW w:w="0" w:type="auto"/>
            <w:shd w:val="clear" w:color="auto" w:fill="auto"/>
            <w:tcMar>
              <w:top w:w="40" w:type="dxa"/>
              <w:left w:w="40" w:type="dxa"/>
              <w:bottom w:w="40" w:type="dxa"/>
              <w:right w:w="40" w:type="dxa"/>
            </w:tcMar>
            <w:vAlign w:val="bottom"/>
          </w:tcPr>
          <w:p w14:paraId="42A12F0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F0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4,469</w:t>
            </w:r>
          </w:p>
        </w:tc>
        <w:tc>
          <w:tcPr>
            <w:tcW w:w="0" w:type="auto"/>
            <w:shd w:val="clear" w:color="auto" w:fill="auto"/>
            <w:vAlign w:val="bottom"/>
          </w:tcPr>
          <w:p w14:paraId="42A12F0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F0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F0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3,979</w:t>
            </w:r>
          </w:p>
        </w:tc>
        <w:tc>
          <w:tcPr>
            <w:tcW w:w="0" w:type="auto"/>
            <w:shd w:val="clear" w:color="auto" w:fill="auto"/>
            <w:vAlign w:val="bottom"/>
          </w:tcPr>
          <w:p w14:paraId="42A12F0F" w14:textId="77777777" w:rsidR="00BB68E1" w:rsidRDefault="00BB68E1">
            <w:pPr>
              <w:textAlignment w:val="bottom"/>
              <w:rPr>
                <w:rFonts w:ascii="Times New Roman" w:hAnsi="Times New Roman"/>
                <w:sz w:val="20"/>
                <w:szCs w:val="20"/>
              </w:rPr>
            </w:pPr>
          </w:p>
        </w:tc>
      </w:tr>
      <w:tr w:rsidR="00BB68E1" w14:paraId="42A12F18" w14:textId="77777777">
        <w:tc>
          <w:tcPr>
            <w:tcW w:w="0" w:type="auto"/>
            <w:shd w:val="clear" w:color="auto" w:fill="CCEEFF"/>
            <w:tcMar>
              <w:top w:w="40" w:type="dxa"/>
              <w:left w:w="40" w:type="dxa"/>
              <w:bottom w:w="40" w:type="dxa"/>
              <w:right w:w="40" w:type="dxa"/>
            </w:tcMar>
            <w:vAlign w:val="bottom"/>
          </w:tcPr>
          <w:p w14:paraId="42A12F1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Accrued non-income taxes</w:t>
            </w:r>
            <w:r>
              <w:rPr>
                <w:rFonts w:ascii="Times New Roman" w:eastAsia="宋体" w:hAnsi="Times New Roman"/>
                <w:sz w:val="10"/>
                <w:szCs w:val="10"/>
              </w:rPr>
              <w:t>(3)</w:t>
            </w:r>
          </w:p>
        </w:tc>
        <w:tc>
          <w:tcPr>
            <w:tcW w:w="0" w:type="auto"/>
            <w:shd w:val="clear" w:color="auto" w:fill="CCEEFF"/>
            <w:tcMar>
              <w:top w:w="40" w:type="dxa"/>
              <w:left w:w="40" w:type="dxa"/>
              <w:bottom w:w="40" w:type="dxa"/>
              <w:right w:w="40" w:type="dxa"/>
            </w:tcMar>
            <w:vAlign w:val="bottom"/>
          </w:tcPr>
          <w:p w14:paraId="42A12F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F1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3,039</w:t>
            </w:r>
          </w:p>
        </w:tc>
        <w:tc>
          <w:tcPr>
            <w:tcW w:w="0" w:type="auto"/>
            <w:shd w:val="clear" w:color="auto" w:fill="CCEEFF"/>
            <w:vAlign w:val="bottom"/>
          </w:tcPr>
          <w:p w14:paraId="42A12F1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F1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F1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2,979</w:t>
            </w:r>
          </w:p>
        </w:tc>
        <w:tc>
          <w:tcPr>
            <w:tcW w:w="0" w:type="auto"/>
            <w:shd w:val="clear" w:color="auto" w:fill="CCEEFF"/>
            <w:vAlign w:val="bottom"/>
          </w:tcPr>
          <w:p w14:paraId="42A12F17" w14:textId="77777777" w:rsidR="00BB68E1" w:rsidRDefault="00BB68E1">
            <w:pPr>
              <w:textAlignment w:val="bottom"/>
              <w:rPr>
                <w:rFonts w:ascii="Times New Roman" w:hAnsi="Times New Roman"/>
                <w:sz w:val="20"/>
                <w:szCs w:val="20"/>
              </w:rPr>
            </w:pPr>
          </w:p>
        </w:tc>
      </w:tr>
      <w:tr w:rsidR="00BB68E1" w14:paraId="42A12F20" w14:textId="77777777">
        <w:tc>
          <w:tcPr>
            <w:tcW w:w="0" w:type="auto"/>
            <w:shd w:val="clear" w:color="auto" w:fill="auto"/>
            <w:tcMar>
              <w:top w:w="40" w:type="dxa"/>
              <w:left w:w="40" w:type="dxa"/>
              <w:bottom w:w="40" w:type="dxa"/>
              <w:right w:w="40" w:type="dxa"/>
            </w:tcMar>
            <w:vAlign w:val="bottom"/>
          </w:tcPr>
          <w:p w14:paraId="42A12F1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Deferred gift card revenue</w:t>
            </w:r>
          </w:p>
        </w:tc>
        <w:tc>
          <w:tcPr>
            <w:tcW w:w="0" w:type="auto"/>
            <w:shd w:val="clear" w:color="auto" w:fill="auto"/>
            <w:tcMar>
              <w:top w:w="40" w:type="dxa"/>
              <w:left w:w="40" w:type="dxa"/>
              <w:bottom w:w="40" w:type="dxa"/>
              <w:right w:w="40" w:type="dxa"/>
            </w:tcMar>
            <w:vAlign w:val="bottom"/>
          </w:tcPr>
          <w:p w14:paraId="42A12F1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F1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1,990</w:t>
            </w:r>
          </w:p>
        </w:tc>
        <w:tc>
          <w:tcPr>
            <w:tcW w:w="0" w:type="auto"/>
            <w:shd w:val="clear" w:color="auto" w:fill="auto"/>
            <w:vAlign w:val="bottom"/>
          </w:tcPr>
          <w:p w14:paraId="42A12F1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F1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F1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1,932</w:t>
            </w:r>
          </w:p>
        </w:tc>
        <w:tc>
          <w:tcPr>
            <w:tcW w:w="0" w:type="auto"/>
            <w:shd w:val="clear" w:color="auto" w:fill="auto"/>
            <w:vAlign w:val="bottom"/>
          </w:tcPr>
          <w:p w14:paraId="42A12F1F" w14:textId="77777777" w:rsidR="00BB68E1" w:rsidRDefault="00BB68E1">
            <w:pPr>
              <w:textAlignment w:val="bottom"/>
              <w:rPr>
                <w:rFonts w:ascii="Times New Roman" w:hAnsi="Times New Roman"/>
                <w:sz w:val="20"/>
                <w:szCs w:val="20"/>
              </w:rPr>
            </w:pPr>
          </w:p>
        </w:tc>
      </w:tr>
      <w:tr w:rsidR="00BB68E1" w14:paraId="42A12F28" w14:textId="77777777">
        <w:tc>
          <w:tcPr>
            <w:tcW w:w="0" w:type="auto"/>
            <w:shd w:val="clear" w:color="auto" w:fill="CCEEFF"/>
            <w:tcMar>
              <w:top w:w="40" w:type="dxa"/>
              <w:left w:w="40" w:type="dxa"/>
              <w:bottom w:w="40" w:type="dxa"/>
              <w:right w:w="40" w:type="dxa"/>
            </w:tcMar>
            <w:vAlign w:val="bottom"/>
          </w:tcPr>
          <w:p w14:paraId="42A12F2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Other</w:t>
            </w:r>
            <w:r>
              <w:rPr>
                <w:rFonts w:ascii="Times New Roman" w:eastAsia="宋体" w:hAnsi="Times New Roman"/>
                <w:sz w:val="10"/>
                <w:szCs w:val="10"/>
              </w:rPr>
              <w:t>(4)</w:t>
            </w:r>
          </w:p>
        </w:tc>
        <w:tc>
          <w:tcPr>
            <w:tcW w:w="0" w:type="auto"/>
            <w:shd w:val="clear" w:color="auto" w:fill="CCEEFF"/>
            <w:tcMar>
              <w:top w:w="40" w:type="dxa"/>
              <w:left w:w="40" w:type="dxa"/>
              <w:bottom w:w="40" w:type="dxa"/>
              <w:right w:w="40" w:type="dxa"/>
            </w:tcMar>
            <w:vAlign w:val="bottom"/>
          </w:tcPr>
          <w:p w14:paraId="42A12F2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F2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6,705</w:t>
            </w:r>
          </w:p>
        </w:tc>
        <w:tc>
          <w:tcPr>
            <w:tcW w:w="0" w:type="auto"/>
            <w:shd w:val="clear" w:color="auto" w:fill="CCEEFF"/>
            <w:vAlign w:val="bottom"/>
          </w:tcPr>
          <w:p w14:paraId="42A12F2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F2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2F2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6,765</w:t>
            </w:r>
          </w:p>
        </w:tc>
        <w:tc>
          <w:tcPr>
            <w:tcW w:w="0" w:type="auto"/>
            <w:shd w:val="clear" w:color="auto" w:fill="CCEEFF"/>
            <w:vAlign w:val="bottom"/>
          </w:tcPr>
          <w:p w14:paraId="42A12F27" w14:textId="77777777" w:rsidR="00BB68E1" w:rsidRDefault="00BB68E1">
            <w:pPr>
              <w:textAlignment w:val="bottom"/>
              <w:rPr>
                <w:rFonts w:ascii="Times New Roman" w:hAnsi="Times New Roman"/>
                <w:sz w:val="20"/>
                <w:szCs w:val="20"/>
              </w:rPr>
            </w:pPr>
          </w:p>
        </w:tc>
      </w:tr>
      <w:tr w:rsidR="00BB68E1" w14:paraId="42A12F32" w14:textId="77777777">
        <w:tc>
          <w:tcPr>
            <w:tcW w:w="0" w:type="auto"/>
            <w:shd w:val="clear" w:color="auto" w:fill="auto"/>
            <w:tcMar>
              <w:top w:w="40" w:type="dxa"/>
              <w:left w:w="40" w:type="dxa"/>
              <w:bottom w:w="40" w:type="dxa"/>
              <w:right w:w="40" w:type="dxa"/>
            </w:tcMar>
            <w:vAlign w:val="center"/>
          </w:tcPr>
          <w:p w14:paraId="42A12F29"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accrued liabilities</w:t>
            </w:r>
          </w:p>
        </w:tc>
        <w:tc>
          <w:tcPr>
            <w:tcW w:w="0" w:type="auto"/>
            <w:shd w:val="clear" w:color="auto" w:fill="auto"/>
            <w:tcMar>
              <w:top w:w="40" w:type="dxa"/>
              <w:left w:w="40" w:type="dxa"/>
              <w:bottom w:w="40" w:type="dxa"/>
              <w:right w:w="40" w:type="dxa"/>
            </w:tcMar>
            <w:vAlign w:val="bottom"/>
          </w:tcPr>
          <w:p w14:paraId="42A12F2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2F2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2F2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22,296</w:t>
            </w:r>
          </w:p>
        </w:tc>
        <w:tc>
          <w:tcPr>
            <w:tcW w:w="0" w:type="auto"/>
            <w:tcBorders>
              <w:top w:val="single" w:sz="8" w:space="0" w:color="000000"/>
              <w:bottom w:val="double" w:sz="6" w:space="0" w:color="000000"/>
            </w:tcBorders>
            <w:shd w:val="clear" w:color="auto" w:fill="auto"/>
            <w:vAlign w:val="bottom"/>
          </w:tcPr>
          <w:p w14:paraId="42A12F2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F2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2F2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2F3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22,159</w:t>
            </w:r>
          </w:p>
        </w:tc>
        <w:tc>
          <w:tcPr>
            <w:tcW w:w="0" w:type="auto"/>
            <w:tcBorders>
              <w:top w:val="single" w:sz="8" w:space="0" w:color="000000"/>
              <w:bottom w:val="double" w:sz="6" w:space="0" w:color="000000"/>
            </w:tcBorders>
            <w:shd w:val="clear" w:color="auto" w:fill="auto"/>
            <w:vAlign w:val="bottom"/>
          </w:tcPr>
          <w:p w14:paraId="42A12F31" w14:textId="77777777" w:rsidR="00BB68E1" w:rsidRDefault="00BB68E1">
            <w:pPr>
              <w:textAlignment w:val="bottom"/>
              <w:rPr>
                <w:rFonts w:ascii="Times New Roman" w:hAnsi="Times New Roman"/>
                <w:sz w:val="20"/>
                <w:szCs w:val="20"/>
              </w:rPr>
            </w:pPr>
          </w:p>
        </w:tc>
      </w:tr>
    </w:tbl>
    <w:p w14:paraId="42A12F33"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6749"/>
      </w:tblGrid>
      <w:tr w:rsidR="00BB68E1" w14:paraId="42A12F36" w14:textId="77777777">
        <w:trPr>
          <w:tblCellSpacing w:w="0" w:type="dxa"/>
        </w:trPr>
        <w:tc>
          <w:tcPr>
            <w:tcW w:w="480" w:type="dxa"/>
            <w:shd w:val="clear" w:color="auto" w:fill="auto"/>
            <w:vAlign w:val="center"/>
          </w:tcPr>
          <w:p w14:paraId="42A12F34" w14:textId="77777777" w:rsidR="00BB68E1" w:rsidRDefault="00BB68E1">
            <w:pPr>
              <w:rPr>
                <w:rFonts w:ascii="Times New Roman" w:hAnsi="Times New Roman"/>
                <w:sz w:val="20"/>
                <w:szCs w:val="20"/>
              </w:rPr>
            </w:pPr>
          </w:p>
        </w:tc>
        <w:tc>
          <w:tcPr>
            <w:tcW w:w="0" w:type="auto"/>
            <w:shd w:val="clear" w:color="auto" w:fill="auto"/>
            <w:vAlign w:val="center"/>
          </w:tcPr>
          <w:p w14:paraId="42A12F35" w14:textId="77777777" w:rsidR="00BB68E1" w:rsidRDefault="00BB68E1">
            <w:pPr>
              <w:rPr>
                <w:rFonts w:ascii="Times New Roman" w:hAnsi="Times New Roman"/>
                <w:sz w:val="20"/>
                <w:szCs w:val="20"/>
              </w:rPr>
            </w:pPr>
          </w:p>
        </w:tc>
      </w:tr>
      <w:tr w:rsidR="00BB68E1" w14:paraId="42A12F39" w14:textId="77777777">
        <w:trPr>
          <w:tblCellSpacing w:w="0" w:type="dxa"/>
        </w:trPr>
        <w:tc>
          <w:tcPr>
            <w:tcW w:w="0" w:type="auto"/>
            <w:shd w:val="clear" w:color="auto" w:fill="auto"/>
          </w:tcPr>
          <w:p w14:paraId="42A12F37"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(1)</w:t>
            </w:r>
          </w:p>
        </w:tc>
        <w:tc>
          <w:tcPr>
            <w:tcW w:w="0" w:type="auto"/>
            <w:shd w:val="clear" w:color="auto" w:fill="auto"/>
          </w:tcPr>
          <w:p w14:paraId="42A12F38"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Accrued wages and benefits include accrued wages, salaries, vacation, bonuses and other incentive plans.</w:t>
            </w:r>
          </w:p>
        </w:tc>
      </w:tr>
    </w:tbl>
    <w:p w14:paraId="42A12F3A"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BB68E1" w14:paraId="42A12F3D" w14:textId="77777777">
        <w:trPr>
          <w:tblCellSpacing w:w="0" w:type="dxa"/>
        </w:trPr>
        <w:tc>
          <w:tcPr>
            <w:tcW w:w="480" w:type="dxa"/>
            <w:shd w:val="clear" w:color="auto" w:fill="auto"/>
            <w:vAlign w:val="center"/>
          </w:tcPr>
          <w:p w14:paraId="42A12F3B" w14:textId="77777777" w:rsidR="00BB68E1" w:rsidRDefault="00BB68E1">
            <w:pPr>
              <w:rPr>
                <w:rFonts w:ascii="Times New Roman" w:hAnsi="Times New Roman"/>
                <w:sz w:val="20"/>
                <w:szCs w:val="20"/>
              </w:rPr>
            </w:pPr>
          </w:p>
        </w:tc>
        <w:tc>
          <w:tcPr>
            <w:tcW w:w="0" w:type="auto"/>
            <w:shd w:val="clear" w:color="auto" w:fill="auto"/>
            <w:vAlign w:val="center"/>
          </w:tcPr>
          <w:p w14:paraId="42A12F3C" w14:textId="77777777" w:rsidR="00BB68E1" w:rsidRDefault="00BB68E1">
            <w:pPr>
              <w:rPr>
                <w:rFonts w:ascii="Times New Roman" w:hAnsi="Times New Roman"/>
                <w:sz w:val="20"/>
                <w:szCs w:val="20"/>
              </w:rPr>
            </w:pPr>
          </w:p>
        </w:tc>
      </w:tr>
      <w:tr w:rsidR="00BB68E1" w14:paraId="42A12F40" w14:textId="77777777">
        <w:trPr>
          <w:tblCellSpacing w:w="0" w:type="dxa"/>
        </w:trPr>
        <w:tc>
          <w:tcPr>
            <w:tcW w:w="0" w:type="auto"/>
            <w:shd w:val="clear" w:color="auto" w:fill="auto"/>
          </w:tcPr>
          <w:p w14:paraId="42A12F3E"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(2)</w:t>
            </w:r>
          </w:p>
        </w:tc>
        <w:tc>
          <w:tcPr>
            <w:tcW w:w="0" w:type="auto"/>
            <w:shd w:val="clear" w:color="auto" w:fill="auto"/>
          </w:tcPr>
          <w:p w14:paraId="42A12F3F"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 xml:space="preserve">Self-insurance consists of insurance-related liabilities, such as </w:t>
            </w:r>
            <w:r>
              <w:rPr>
                <w:rFonts w:ascii="Times New Roman" w:eastAsia="宋体" w:hAnsi="Times New Roman"/>
                <w:sz w:val="16"/>
                <w:szCs w:val="16"/>
              </w:rPr>
              <w:t>workers' compensation, general liability, auto liability, product liability and certain employee-related healthcare benefits.</w:t>
            </w:r>
          </w:p>
        </w:tc>
      </w:tr>
    </w:tbl>
    <w:p w14:paraId="42A12F41"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127"/>
      </w:tblGrid>
      <w:tr w:rsidR="00BB68E1" w14:paraId="42A12F44" w14:textId="77777777">
        <w:trPr>
          <w:tblCellSpacing w:w="0" w:type="dxa"/>
        </w:trPr>
        <w:tc>
          <w:tcPr>
            <w:tcW w:w="480" w:type="dxa"/>
            <w:shd w:val="clear" w:color="auto" w:fill="auto"/>
            <w:vAlign w:val="center"/>
          </w:tcPr>
          <w:p w14:paraId="42A12F42" w14:textId="77777777" w:rsidR="00BB68E1" w:rsidRDefault="00BB68E1">
            <w:pPr>
              <w:rPr>
                <w:rFonts w:ascii="Times New Roman" w:hAnsi="Times New Roman"/>
                <w:sz w:val="20"/>
                <w:szCs w:val="20"/>
              </w:rPr>
            </w:pPr>
          </w:p>
        </w:tc>
        <w:tc>
          <w:tcPr>
            <w:tcW w:w="0" w:type="auto"/>
            <w:shd w:val="clear" w:color="auto" w:fill="auto"/>
            <w:vAlign w:val="center"/>
          </w:tcPr>
          <w:p w14:paraId="42A12F43" w14:textId="77777777" w:rsidR="00BB68E1" w:rsidRDefault="00BB68E1">
            <w:pPr>
              <w:rPr>
                <w:rFonts w:ascii="Times New Roman" w:hAnsi="Times New Roman"/>
                <w:sz w:val="20"/>
                <w:szCs w:val="20"/>
              </w:rPr>
            </w:pPr>
          </w:p>
        </w:tc>
      </w:tr>
      <w:tr w:rsidR="00BB68E1" w14:paraId="42A12F47" w14:textId="77777777">
        <w:trPr>
          <w:tblCellSpacing w:w="0" w:type="dxa"/>
        </w:trPr>
        <w:tc>
          <w:tcPr>
            <w:tcW w:w="0" w:type="auto"/>
            <w:shd w:val="clear" w:color="auto" w:fill="auto"/>
          </w:tcPr>
          <w:p w14:paraId="42A12F45"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(3)</w:t>
            </w:r>
          </w:p>
        </w:tc>
        <w:tc>
          <w:tcPr>
            <w:tcW w:w="0" w:type="auto"/>
            <w:shd w:val="clear" w:color="auto" w:fill="auto"/>
          </w:tcPr>
          <w:p w14:paraId="42A12F46"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Accrued non-income taxes include accrued payroll, property, value-added, sales and miscellaneous other taxes.</w:t>
            </w:r>
          </w:p>
        </w:tc>
      </w:tr>
    </w:tbl>
    <w:p w14:paraId="42A12F48"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BB68E1" w14:paraId="42A12F4B" w14:textId="77777777">
        <w:trPr>
          <w:tblCellSpacing w:w="0" w:type="dxa"/>
        </w:trPr>
        <w:tc>
          <w:tcPr>
            <w:tcW w:w="480" w:type="dxa"/>
            <w:shd w:val="clear" w:color="auto" w:fill="auto"/>
            <w:vAlign w:val="center"/>
          </w:tcPr>
          <w:p w14:paraId="42A12F49" w14:textId="77777777" w:rsidR="00BB68E1" w:rsidRDefault="00BB68E1">
            <w:pPr>
              <w:rPr>
                <w:rFonts w:ascii="Times New Roman" w:hAnsi="Times New Roman"/>
                <w:sz w:val="20"/>
                <w:szCs w:val="20"/>
              </w:rPr>
            </w:pPr>
          </w:p>
        </w:tc>
        <w:tc>
          <w:tcPr>
            <w:tcW w:w="0" w:type="auto"/>
            <w:shd w:val="clear" w:color="auto" w:fill="auto"/>
            <w:vAlign w:val="center"/>
          </w:tcPr>
          <w:p w14:paraId="42A12F4A" w14:textId="77777777" w:rsidR="00BB68E1" w:rsidRDefault="00BB68E1">
            <w:pPr>
              <w:rPr>
                <w:rFonts w:ascii="Times New Roman" w:hAnsi="Times New Roman"/>
                <w:sz w:val="20"/>
                <w:szCs w:val="20"/>
              </w:rPr>
            </w:pPr>
          </w:p>
        </w:tc>
      </w:tr>
      <w:tr w:rsidR="00BB68E1" w14:paraId="42A12F4E" w14:textId="77777777">
        <w:trPr>
          <w:tblCellSpacing w:w="0" w:type="dxa"/>
        </w:trPr>
        <w:tc>
          <w:tcPr>
            <w:tcW w:w="0" w:type="auto"/>
            <w:shd w:val="clear" w:color="auto" w:fill="auto"/>
          </w:tcPr>
          <w:p w14:paraId="42A12F4C"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(4)</w:t>
            </w:r>
          </w:p>
        </w:tc>
        <w:tc>
          <w:tcPr>
            <w:tcW w:w="0" w:type="auto"/>
            <w:shd w:val="clear" w:color="auto" w:fill="auto"/>
          </w:tcPr>
          <w:p w14:paraId="42A12F4D"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Other accrued liabilities consist of various items such as interest, maintenance, utilities, legal contingencies, and advertising.</w:t>
            </w:r>
          </w:p>
        </w:tc>
      </w:tr>
    </w:tbl>
    <w:p w14:paraId="42A12F4F" w14:textId="77777777" w:rsidR="00BB68E1" w:rsidRDefault="00BB68E1">
      <w:pPr>
        <w:spacing w:line="288" w:lineRule="auto"/>
        <w:rPr>
          <w:rFonts w:ascii="Times New Roman" w:hAnsi="Times New Roman"/>
          <w:sz w:val="20"/>
          <w:szCs w:val="20"/>
        </w:rPr>
      </w:pPr>
    </w:p>
    <w:p w14:paraId="42A12F50" w14:textId="77777777" w:rsidR="00BB68E1" w:rsidRDefault="00BB68E1">
      <w:pPr>
        <w:rPr>
          <w:rFonts w:ascii="Times New Roman" w:hAnsi="Times New Roman"/>
          <w:sz w:val="20"/>
          <w:szCs w:val="20"/>
        </w:rPr>
      </w:pPr>
    </w:p>
    <w:p w14:paraId="42A12F51"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63</w:t>
      </w:r>
    </w:p>
    <w:p w14:paraId="42A12F52" w14:textId="77777777" w:rsidR="00BB68E1" w:rsidRDefault="00BB68E1">
      <w:pPr>
        <w:spacing w:line="288" w:lineRule="auto"/>
        <w:jc w:val="center"/>
        <w:rPr>
          <w:rFonts w:ascii="Times New Roman" w:hAnsi="Times New Roman"/>
          <w:sz w:val="20"/>
          <w:szCs w:val="20"/>
        </w:rPr>
      </w:pPr>
    </w:p>
    <w:p w14:paraId="42A12F53" w14:textId="77777777" w:rsidR="00BB68E1" w:rsidRDefault="005D2D5E">
      <w:r>
        <w:rPr>
          <w:rFonts w:ascii="Times New Roman" w:hAnsi="Times New Roman"/>
          <w:sz w:val="20"/>
          <w:szCs w:val="20"/>
        </w:rPr>
        <w:pict w14:anchorId="42A142B6">
          <v:rect id="_x0000_i1087" style="width:415.3pt;height:1.5pt" o:hralign="center" o:hrstd="t" o:hr="t" fillcolor="#a0a0a0" stroked="f"/>
        </w:pict>
      </w:r>
    </w:p>
    <w:p w14:paraId="42A12F54" w14:textId="77777777" w:rsidR="00BB68E1" w:rsidRDefault="00BB68E1">
      <w:pPr>
        <w:spacing w:line="288" w:lineRule="auto"/>
        <w:rPr>
          <w:rFonts w:ascii="Times New Roman" w:hAnsi="Times New Roman"/>
          <w:sz w:val="20"/>
          <w:szCs w:val="20"/>
        </w:rPr>
      </w:pPr>
    </w:p>
    <w:p w14:paraId="42A12F55" w14:textId="77777777" w:rsidR="00BB68E1" w:rsidRDefault="00BB68E1">
      <w:pPr>
        <w:rPr>
          <w:rFonts w:ascii="Times New Roman" w:hAnsi="Times New Roman"/>
          <w:sz w:val="20"/>
          <w:szCs w:val="20"/>
        </w:rPr>
      </w:pPr>
    </w:p>
    <w:p w14:paraId="42A12F56"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Note 6. Short-term Borrowings and Long-term Debt</w:t>
      </w:r>
    </w:p>
    <w:p w14:paraId="42A12F5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Short-term borrowings consist of commercial paper and lines of </w:t>
      </w:r>
      <w:r>
        <w:rPr>
          <w:rFonts w:ascii="Times New Roman" w:eastAsia="宋体" w:hAnsi="Times New Roman"/>
          <w:sz w:val="20"/>
          <w:szCs w:val="20"/>
        </w:rPr>
        <w:t xml:space="preserve">credit. Short-term borrowings as of January 31, 2020 and 2019 were $0.6 billion and $5.2 billion, respectively, with weighted-average interest rates of 5.0% and 2.7%, respectively. Short-term borrowings as of January 31, 2020 were primarily outside of the </w:t>
      </w:r>
      <w:r>
        <w:rPr>
          <w:rFonts w:ascii="Times New Roman" w:eastAsia="宋体" w:hAnsi="Times New Roman"/>
          <w:sz w:val="20"/>
          <w:szCs w:val="20"/>
        </w:rPr>
        <w:t>U.S.</w:t>
      </w:r>
    </w:p>
    <w:p w14:paraId="42A12F5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has various committed lines of credit in the U.S. totaling $15.0 billion as of January 31, 2020 and 2019, respectively. These committed lines of credit are summarized in the following table:</w:t>
      </w:r>
    </w:p>
    <w:tbl>
      <w:tblPr>
        <w:tblW w:w="5000" w:type="pct"/>
        <w:jc w:val="center"/>
        <w:tblCellMar>
          <w:left w:w="0" w:type="dxa"/>
          <w:right w:w="0" w:type="dxa"/>
        </w:tblCellMar>
        <w:tblLook w:val="04A0" w:firstRow="1" w:lastRow="0" w:firstColumn="1" w:lastColumn="0" w:noHBand="0" w:noVBand="1"/>
      </w:tblPr>
      <w:tblGrid>
        <w:gridCol w:w="3230"/>
        <w:gridCol w:w="130"/>
        <w:gridCol w:w="120"/>
        <w:gridCol w:w="567"/>
        <w:gridCol w:w="81"/>
        <w:gridCol w:w="130"/>
        <w:gridCol w:w="121"/>
        <w:gridCol w:w="429"/>
        <w:gridCol w:w="61"/>
        <w:gridCol w:w="130"/>
        <w:gridCol w:w="121"/>
        <w:gridCol w:w="567"/>
        <w:gridCol w:w="81"/>
        <w:gridCol w:w="130"/>
        <w:gridCol w:w="120"/>
        <w:gridCol w:w="567"/>
        <w:gridCol w:w="81"/>
        <w:gridCol w:w="130"/>
        <w:gridCol w:w="121"/>
        <w:gridCol w:w="429"/>
        <w:gridCol w:w="61"/>
        <w:gridCol w:w="130"/>
        <w:gridCol w:w="121"/>
        <w:gridCol w:w="567"/>
        <w:gridCol w:w="81"/>
      </w:tblGrid>
      <w:tr w:rsidR="00BB68E1" w14:paraId="42A12F5A" w14:textId="77777777">
        <w:trPr>
          <w:jc w:val="center"/>
        </w:trPr>
        <w:tc>
          <w:tcPr>
            <w:tcW w:w="0" w:type="auto"/>
            <w:gridSpan w:val="25"/>
            <w:shd w:val="clear" w:color="auto" w:fill="auto"/>
            <w:vAlign w:val="center"/>
          </w:tcPr>
          <w:p w14:paraId="42A12F59" w14:textId="77777777" w:rsidR="00BB68E1" w:rsidRDefault="00BB68E1">
            <w:pPr>
              <w:rPr>
                <w:rFonts w:ascii="Times New Roman" w:hAnsi="Times New Roman"/>
                <w:sz w:val="20"/>
                <w:szCs w:val="20"/>
              </w:rPr>
            </w:pPr>
          </w:p>
        </w:tc>
      </w:tr>
      <w:tr w:rsidR="00BB68E1" w14:paraId="42A12F74" w14:textId="77777777">
        <w:trPr>
          <w:jc w:val="center"/>
        </w:trPr>
        <w:tc>
          <w:tcPr>
            <w:tcW w:w="2000" w:type="pct"/>
            <w:shd w:val="clear" w:color="auto" w:fill="auto"/>
            <w:vAlign w:val="center"/>
          </w:tcPr>
          <w:p w14:paraId="42A12F5B" w14:textId="77777777" w:rsidR="00BB68E1" w:rsidRDefault="00BB68E1">
            <w:pPr>
              <w:rPr>
                <w:rFonts w:ascii="Times New Roman" w:hAnsi="Times New Roman"/>
                <w:sz w:val="20"/>
                <w:szCs w:val="20"/>
              </w:rPr>
            </w:pPr>
          </w:p>
        </w:tc>
        <w:tc>
          <w:tcPr>
            <w:tcW w:w="50" w:type="pct"/>
            <w:shd w:val="clear" w:color="auto" w:fill="auto"/>
            <w:vAlign w:val="center"/>
          </w:tcPr>
          <w:p w14:paraId="42A12F5C" w14:textId="77777777" w:rsidR="00BB68E1" w:rsidRDefault="00BB68E1">
            <w:pPr>
              <w:rPr>
                <w:rFonts w:ascii="Times New Roman" w:hAnsi="Times New Roman"/>
                <w:sz w:val="20"/>
                <w:szCs w:val="20"/>
              </w:rPr>
            </w:pPr>
          </w:p>
        </w:tc>
        <w:tc>
          <w:tcPr>
            <w:tcW w:w="50" w:type="pct"/>
            <w:shd w:val="clear" w:color="auto" w:fill="auto"/>
            <w:vAlign w:val="center"/>
          </w:tcPr>
          <w:p w14:paraId="42A12F5D" w14:textId="77777777" w:rsidR="00BB68E1" w:rsidRDefault="00BB68E1">
            <w:pPr>
              <w:rPr>
                <w:rFonts w:ascii="Times New Roman" w:hAnsi="Times New Roman"/>
                <w:sz w:val="20"/>
                <w:szCs w:val="20"/>
              </w:rPr>
            </w:pPr>
          </w:p>
        </w:tc>
        <w:tc>
          <w:tcPr>
            <w:tcW w:w="350" w:type="pct"/>
            <w:shd w:val="clear" w:color="auto" w:fill="auto"/>
            <w:vAlign w:val="center"/>
          </w:tcPr>
          <w:p w14:paraId="42A12F5E" w14:textId="77777777" w:rsidR="00BB68E1" w:rsidRDefault="00BB68E1">
            <w:pPr>
              <w:rPr>
                <w:rFonts w:ascii="Times New Roman" w:hAnsi="Times New Roman"/>
                <w:sz w:val="20"/>
                <w:szCs w:val="20"/>
              </w:rPr>
            </w:pPr>
          </w:p>
        </w:tc>
        <w:tc>
          <w:tcPr>
            <w:tcW w:w="50" w:type="pct"/>
            <w:shd w:val="clear" w:color="auto" w:fill="auto"/>
            <w:vAlign w:val="center"/>
          </w:tcPr>
          <w:p w14:paraId="42A12F5F" w14:textId="77777777" w:rsidR="00BB68E1" w:rsidRDefault="00BB68E1">
            <w:pPr>
              <w:rPr>
                <w:rFonts w:ascii="Times New Roman" w:hAnsi="Times New Roman"/>
                <w:sz w:val="20"/>
                <w:szCs w:val="20"/>
              </w:rPr>
            </w:pPr>
          </w:p>
        </w:tc>
        <w:tc>
          <w:tcPr>
            <w:tcW w:w="50" w:type="pct"/>
            <w:shd w:val="clear" w:color="auto" w:fill="auto"/>
            <w:vAlign w:val="center"/>
          </w:tcPr>
          <w:p w14:paraId="42A12F60" w14:textId="77777777" w:rsidR="00BB68E1" w:rsidRDefault="00BB68E1">
            <w:pPr>
              <w:rPr>
                <w:rFonts w:ascii="Times New Roman" w:hAnsi="Times New Roman"/>
                <w:sz w:val="20"/>
                <w:szCs w:val="20"/>
              </w:rPr>
            </w:pPr>
          </w:p>
        </w:tc>
        <w:tc>
          <w:tcPr>
            <w:tcW w:w="50" w:type="pct"/>
            <w:shd w:val="clear" w:color="auto" w:fill="auto"/>
            <w:vAlign w:val="center"/>
          </w:tcPr>
          <w:p w14:paraId="42A12F61" w14:textId="77777777" w:rsidR="00BB68E1" w:rsidRDefault="00BB68E1">
            <w:pPr>
              <w:rPr>
                <w:rFonts w:ascii="Times New Roman" w:hAnsi="Times New Roman"/>
                <w:sz w:val="20"/>
                <w:szCs w:val="20"/>
              </w:rPr>
            </w:pPr>
          </w:p>
        </w:tc>
        <w:tc>
          <w:tcPr>
            <w:tcW w:w="350" w:type="pct"/>
            <w:shd w:val="clear" w:color="auto" w:fill="auto"/>
            <w:vAlign w:val="center"/>
          </w:tcPr>
          <w:p w14:paraId="42A12F62" w14:textId="77777777" w:rsidR="00BB68E1" w:rsidRDefault="00BB68E1">
            <w:pPr>
              <w:rPr>
                <w:rFonts w:ascii="Times New Roman" w:hAnsi="Times New Roman"/>
                <w:sz w:val="20"/>
                <w:szCs w:val="20"/>
              </w:rPr>
            </w:pPr>
          </w:p>
        </w:tc>
        <w:tc>
          <w:tcPr>
            <w:tcW w:w="50" w:type="pct"/>
            <w:shd w:val="clear" w:color="auto" w:fill="auto"/>
            <w:vAlign w:val="center"/>
          </w:tcPr>
          <w:p w14:paraId="42A12F63" w14:textId="77777777" w:rsidR="00BB68E1" w:rsidRDefault="00BB68E1">
            <w:pPr>
              <w:rPr>
                <w:rFonts w:ascii="Times New Roman" w:hAnsi="Times New Roman"/>
                <w:sz w:val="20"/>
                <w:szCs w:val="20"/>
              </w:rPr>
            </w:pPr>
          </w:p>
        </w:tc>
        <w:tc>
          <w:tcPr>
            <w:tcW w:w="50" w:type="pct"/>
            <w:shd w:val="clear" w:color="auto" w:fill="auto"/>
            <w:vAlign w:val="center"/>
          </w:tcPr>
          <w:p w14:paraId="42A12F64" w14:textId="77777777" w:rsidR="00BB68E1" w:rsidRDefault="00BB68E1">
            <w:pPr>
              <w:rPr>
                <w:rFonts w:ascii="Times New Roman" w:hAnsi="Times New Roman"/>
                <w:sz w:val="20"/>
                <w:szCs w:val="20"/>
              </w:rPr>
            </w:pPr>
          </w:p>
        </w:tc>
        <w:tc>
          <w:tcPr>
            <w:tcW w:w="50" w:type="pct"/>
            <w:shd w:val="clear" w:color="auto" w:fill="auto"/>
            <w:vAlign w:val="center"/>
          </w:tcPr>
          <w:p w14:paraId="42A12F65" w14:textId="77777777" w:rsidR="00BB68E1" w:rsidRDefault="00BB68E1">
            <w:pPr>
              <w:rPr>
                <w:rFonts w:ascii="Times New Roman" w:hAnsi="Times New Roman"/>
                <w:sz w:val="20"/>
                <w:szCs w:val="20"/>
              </w:rPr>
            </w:pPr>
          </w:p>
        </w:tc>
        <w:tc>
          <w:tcPr>
            <w:tcW w:w="350" w:type="pct"/>
            <w:shd w:val="clear" w:color="auto" w:fill="auto"/>
            <w:vAlign w:val="center"/>
          </w:tcPr>
          <w:p w14:paraId="42A12F66" w14:textId="77777777" w:rsidR="00BB68E1" w:rsidRDefault="00BB68E1">
            <w:pPr>
              <w:rPr>
                <w:rFonts w:ascii="Times New Roman" w:hAnsi="Times New Roman"/>
                <w:sz w:val="20"/>
                <w:szCs w:val="20"/>
              </w:rPr>
            </w:pPr>
          </w:p>
        </w:tc>
        <w:tc>
          <w:tcPr>
            <w:tcW w:w="50" w:type="pct"/>
            <w:shd w:val="clear" w:color="auto" w:fill="auto"/>
            <w:vAlign w:val="center"/>
          </w:tcPr>
          <w:p w14:paraId="42A12F67" w14:textId="77777777" w:rsidR="00BB68E1" w:rsidRDefault="00BB68E1">
            <w:pPr>
              <w:rPr>
                <w:rFonts w:ascii="Times New Roman" w:hAnsi="Times New Roman"/>
                <w:sz w:val="20"/>
                <w:szCs w:val="20"/>
              </w:rPr>
            </w:pPr>
          </w:p>
        </w:tc>
        <w:tc>
          <w:tcPr>
            <w:tcW w:w="50" w:type="pct"/>
            <w:shd w:val="clear" w:color="auto" w:fill="auto"/>
            <w:vAlign w:val="center"/>
          </w:tcPr>
          <w:p w14:paraId="42A12F68" w14:textId="77777777" w:rsidR="00BB68E1" w:rsidRDefault="00BB68E1">
            <w:pPr>
              <w:rPr>
                <w:rFonts w:ascii="Times New Roman" w:hAnsi="Times New Roman"/>
                <w:sz w:val="20"/>
                <w:szCs w:val="20"/>
              </w:rPr>
            </w:pPr>
          </w:p>
        </w:tc>
        <w:tc>
          <w:tcPr>
            <w:tcW w:w="50" w:type="pct"/>
            <w:shd w:val="clear" w:color="auto" w:fill="auto"/>
            <w:vAlign w:val="center"/>
          </w:tcPr>
          <w:p w14:paraId="42A12F69" w14:textId="77777777" w:rsidR="00BB68E1" w:rsidRDefault="00BB68E1">
            <w:pPr>
              <w:rPr>
                <w:rFonts w:ascii="Times New Roman" w:hAnsi="Times New Roman"/>
                <w:sz w:val="20"/>
                <w:szCs w:val="20"/>
              </w:rPr>
            </w:pPr>
          </w:p>
        </w:tc>
        <w:tc>
          <w:tcPr>
            <w:tcW w:w="350" w:type="pct"/>
            <w:shd w:val="clear" w:color="auto" w:fill="auto"/>
            <w:vAlign w:val="center"/>
          </w:tcPr>
          <w:p w14:paraId="42A12F6A" w14:textId="77777777" w:rsidR="00BB68E1" w:rsidRDefault="00BB68E1">
            <w:pPr>
              <w:rPr>
                <w:rFonts w:ascii="Times New Roman" w:hAnsi="Times New Roman"/>
                <w:sz w:val="20"/>
                <w:szCs w:val="20"/>
              </w:rPr>
            </w:pPr>
          </w:p>
        </w:tc>
        <w:tc>
          <w:tcPr>
            <w:tcW w:w="50" w:type="pct"/>
            <w:shd w:val="clear" w:color="auto" w:fill="auto"/>
            <w:vAlign w:val="center"/>
          </w:tcPr>
          <w:p w14:paraId="42A12F6B" w14:textId="77777777" w:rsidR="00BB68E1" w:rsidRDefault="00BB68E1">
            <w:pPr>
              <w:rPr>
                <w:rFonts w:ascii="Times New Roman" w:hAnsi="Times New Roman"/>
                <w:sz w:val="20"/>
                <w:szCs w:val="20"/>
              </w:rPr>
            </w:pPr>
          </w:p>
        </w:tc>
        <w:tc>
          <w:tcPr>
            <w:tcW w:w="50" w:type="pct"/>
            <w:shd w:val="clear" w:color="auto" w:fill="auto"/>
            <w:vAlign w:val="center"/>
          </w:tcPr>
          <w:p w14:paraId="42A12F6C" w14:textId="77777777" w:rsidR="00BB68E1" w:rsidRDefault="00BB68E1">
            <w:pPr>
              <w:rPr>
                <w:rFonts w:ascii="Times New Roman" w:hAnsi="Times New Roman"/>
                <w:sz w:val="20"/>
                <w:szCs w:val="20"/>
              </w:rPr>
            </w:pPr>
          </w:p>
        </w:tc>
        <w:tc>
          <w:tcPr>
            <w:tcW w:w="50" w:type="pct"/>
            <w:shd w:val="clear" w:color="auto" w:fill="auto"/>
            <w:vAlign w:val="center"/>
          </w:tcPr>
          <w:p w14:paraId="42A12F6D" w14:textId="77777777" w:rsidR="00BB68E1" w:rsidRDefault="00BB68E1">
            <w:pPr>
              <w:rPr>
                <w:rFonts w:ascii="Times New Roman" w:hAnsi="Times New Roman"/>
                <w:sz w:val="20"/>
                <w:szCs w:val="20"/>
              </w:rPr>
            </w:pPr>
          </w:p>
        </w:tc>
        <w:tc>
          <w:tcPr>
            <w:tcW w:w="350" w:type="pct"/>
            <w:shd w:val="clear" w:color="auto" w:fill="auto"/>
            <w:vAlign w:val="center"/>
          </w:tcPr>
          <w:p w14:paraId="42A12F6E" w14:textId="77777777" w:rsidR="00BB68E1" w:rsidRDefault="00BB68E1">
            <w:pPr>
              <w:rPr>
                <w:rFonts w:ascii="Times New Roman" w:hAnsi="Times New Roman"/>
                <w:sz w:val="20"/>
                <w:szCs w:val="20"/>
              </w:rPr>
            </w:pPr>
          </w:p>
        </w:tc>
        <w:tc>
          <w:tcPr>
            <w:tcW w:w="50" w:type="pct"/>
            <w:shd w:val="clear" w:color="auto" w:fill="auto"/>
            <w:vAlign w:val="center"/>
          </w:tcPr>
          <w:p w14:paraId="42A12F6F" w14:textId="77777777" w:rsidR="00BB68E1" w:rsidRDefault="00BB68E1">
            <w:pPr>
              <w:rPr>
                <w:rFonts w:ascii="Times New Roman" w:hAnsi="Times New Roman"/>
                <w:sz w:val="20"/>
                <w:szCs w:val="20"/>
              </w:rPr>
            </w:pPr>
          </w:p>
        </w:tc>
        <w:tc>
          <w:tcPr>
            <w:tcW w:w="50" w:type="pct"/>
            <w:shd w:val="clear" w:color="auto" w:fill="auto"/>
            <w:vAlign w:val="center"/>
          </w:tcPr>
          <w:p w14:paraId="42A12F70" w14:textId="77777777" w:rsidR="00BB68E1" w:rsidRDefault="00BB68E1">
            <w:pPr>
              <w:rPr>
                <w:rFonts w:ascii="Times New Roman" w:hAnsi="Times New Roman"/>
                <w:sz w:val="20"/>
                <w:szCs w:val="20"/>
              </w:rPr>
            </w:pPr>
          </w:p>
        </w:tc>
        <w:tc>
          <w:tcPr>
            <w:tcW w:w="50" w:type="pct"/>
            <w:shd w:val="clear" w:color="auto" w:fill="auto"/>
            <w:vAlign w:val="center"/>
          </w:tcPr>
          <w:p w14:paraId="42A12F71" w14:textId="77777777" w:rsidR="00BB68E1" w:rsidRDefault="00BB68E1">
            <w:pPr>
              <w:rPr>
                <w:rFonts w:ascii="Times New Roman" w:hAnsi="Times New Roman"/>
                <w:sz w:val="20"/>
                <w:szCs w:val="20"/>
              </w:rPr>
            </w:pPr>
          </w:p>
        </w:tc>
        <w:tc>
          <w:tcPr>
            <w:tcW w:w="350" w:type="pct"/>
            <w:shd w:val="clear" w:color="auto" w:fill="auto"/>
            <w:vAlign w:val="center"/>
          </w:tcPr>
          <w:p w14:paraId="42A12F72" w14:textId="77777777" w:rsidR="00BB68E1" w:rsidRDefault="00BB68E1">
            <w:pPr>
              <w:rPr>
                <w:rFonts w:ascii="Times New Roman" w:hAnsi="Times New Roman"/>
                <w:sz w:val="20"/>
                <w:szCs w:val="20"/>
              </w:rPr>
            </w:pPr>
          </w:p>
        </w:tc>
        <w:tc>
          <w:tcPr>
            <w:tcW w:w="50" w:type="pct"/>
            <w:shd w:val="clear" w:color="auto" w:fill="auto"/>
            <w:vAlign w:val="center"/>
          </w:tcPr>
          <w:p w14:paraId="42A12F73" w14:textId="77777777" w:rsidR="00BB68E1" w:rsidRDefault="00BB68E1">
            <w:pPr>
              <w:rPr>
                <w:rFonts w:ascii="Times New Roman" w:hAnsi="Times New Roman"/>
                <w:sz w:val="20"/>
                <w:szCs w:val="20"/>
              </w:rPr>
            </w:pPr>
          </w:p>
        </w:tc>
      </w:tr>
      <w:tr w:rsidR="00BB68E1" w14:paraId="42A12F7A" w14:textId="77777777">
        <w:trPr>
          <w:jc w:val="center"/>
        </w:trPr>
        <w:tc>
          <w:tcPr>
            <w:tcW w:w="0" w:type="auto"/>
            <w:shd w:val="clear" w:color="auto" w:fill="auto"/>
            <w:tcMar>
              <w:top w:w="40" w:type="dxa"/>
              <w:left w:w="40" w:type="dxa"/>
              <w:bottom w:w="40" w:type="dxa"/>
              <w:right w:w="40" w:type="dxa"/>
            </w:tcMar>
            <w:vAlign w:val="bottom"/>
          </w:tcPr>
          <w:p w14:paraId="42A12F7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F7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2F7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January 31, 2020</w:t>
            </w:r>
          </w:p>
        </w:tc>
        <w:tc>
          <w:tcPr>
            <w:tcW w:w="0" w:type="auto"/>
            <w:shd w:val="clear" w:color="auto" w:fill="auto"/>
            <w:tcMar>
              <w:top w:w="40" w:type="dxa"/>
              <w:left w:w="40" w:type="dxa"/>
              <w:bottom w:w="40" w:type="dxa"/>
              <w:right w:w="40" w:type="dxa"/>
            </w:tcMar>
            <w:vAlign w:val="bottom"/>
          </w:tcPr>
          <w:p w14:paraId="42A12F7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2F79"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January 31, 2019</w:t>
            </w:r>
          </w:p>
        </w:tc>
      </w:tr>
      <w:tr w:rsidR="00BB68E1" w14:paraId="42A12F88" w14:textId="77777777">
        <w:trPr>
          <w:jc w:val="center"/>
        </w:trPr>
        <w:tc>
          <w:tcPr>
            <w:tcW w:w="0" w:type="auto"/>
            <w:shd w:val="clear" w:color="auto" w:fill="auto"/>
            <w:tcMar>
              <w:top w:w="40" w:type="dxa"/>
              <w:left w:w="40" w:type="dxa"/>
              <w:bottom w:w="40" w:type="dxa"/>
              <w:right w:w="40" w:type="dxa"/>
            </w:tcMar>
            <w:vAlign w:val="bottom"/>
          </w:tcPr>
          <w:p w14:paraId="42A12F7B"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2F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2F7D"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Available</w:t>
            </w:r>
          </w:p>
        </w:tc>
        <w:tc>
          <w:tcPr>
            <w:tcW w:w="0" w:type="auto"/>
            <w:tcBorders>
              <w:top w:val="single" w:sz="8" w:space="0" w:color="000000"/>
            </w:tcBorders>
            <w:shd w:val="clear" w:color="auto" w:fill="auto"/>
            <w:tcMar>
              <w:top w:w="40" w:type="dxa"/>
              <w:left w:w="40" w:type="dxa"/>
              <w:bottom w:w="40" w:type="dxa"/>
              <w:right w:w="40" w:type="dxa"/>
            </w:tcMar>
            <w:vAlign w:val="bottom"/>
          </w:tcPr>
          <w:p w14:paraId="42A12F7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2F7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Drawn</w:t>
            </w:r>
          </w:p>
        </w:tc>
        <w:tc>
          <w:tcPr>
            <w:tcW w:w="0" w:type="auto"/>
            <w:tcBorders>
              <w:top w:val="single" w:sz="8" w:space="0" w:color="000000"/>
            </w:tcBorders>
            <w:shd w:val="clear" w:color="auto" w:fill="auto"/>
            <w:tcMar>
              <w:top w:w="40" w:type="dxa"/>
              <w:left w:w="40" w:type="dxa"/>
              <w:bottom w:w="40" w:type="dxa"/>
              <w:right w:w="40" w:type="dxa"/>
            </w:tcMar>
            <w:vAlign w:val="bottom"/>
          </w:tcPr>
          <w:p w14:paraId="42A12F8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2F81"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Undrawn</w:t>
            </w:r>
          </w:p>
        </w:tc>
        <w:tc>
          <w:tcPr>
            <w:tcW w:w="0" w:type="auto"/>
            <w:shd w:val="clear" w:color="auto" w:fill="auto"/>
            <w:tcMar>
              <w:top w:w="40" w:type="dxa"/>
              <w:left w:w="40" w:type="dxa"/>
              <w:bottom w:w="40" w:type="dxa"/>
              <w:right w:w="40" w:type="dxa"/>
            </w:tcMar>
            <w:vAlign w:val="bottom"/>
          </w:tcPr>
          <w:p w14:paraId="42A12F8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F8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Available</w:t>
            </w:r>
          </w:p>
        </w:tc>
        <w:tc>
          <w:tcPr>
            <w:tcW w:w="0" w:type="auto"/>
            <w:shd w:val="clear" w:color="auto" w:fill="auto"/>
            <w:tcMar>
              <w:top w:w="40" w:type="dxa"/>
              <w:left w:w="40" w:type="dxa"/>
              <w:bottom w:w="40" w:type="dxa"/>
              <w:right w:w="40" w:type="dxa"/>
            </w:tcMar>
            <w:vAlign w:val="bottom"/>
          </w:tcPr>
          <w:p w14:paraId="42A12F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F85"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Drawn</w:t>
            </w:r>
          </w:p>
        </w:tc>
        <w:tc>
          <w:tcPr>
            <w:tcW w:w="0" w:type="auto"/>
            <w:shd w:val="clear" w:color="auto" w:fill="auto"/>
            <w:tcMar>
              <w:top w:w="40" w:type="dxa"/>
              <w:left w:w="40" w:type="dxa"/>
              <w:bottom w:w="40" w:type="dxa"/>
              <w:right w:w="40" w:type="dxa"/>
            </w:tcMar>
            <w:vAlign w:val="bottom"/>
          </w:tcPr>
          <w:p w14:paraId="42A12F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F8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Undrawn</w:t>
            </w:r>
          </w:p>
        </w:tc>
      </w:tr>
      <w:tr w:rsidR="00BB68E1" w14:paraId="42A12FA2" w14:textId="77777777">
        <w:trPr>
          <w:jc w:val="center"/>
        </w:trPr>
        <w:tc>
          <w:tcPr>
            <w:tcW w:w="0" w:type="auto"/>
            <w:shd w:val="clear" w:color="auto" w:fill="CCEEFF"/>
            <w:tcMar>
              <w:top w:w="40" w:type="dxa"/>
              <w:left w:w="40" w:type="dxa"/>
              <w:bottom w:w="40" w:type="dxa"/>
              <w:right w:w="40" w:type="dxa"/>
            </w:tcMar>
            <w:vAlign w:val="center"/>
          </w:tcPr>
          <w:p w14:paraId="42A12F8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Five-year credit facility</w:t>
            </w:r>
            <w:r>
              <w:rPr>
                <w:rFonts w:ascii="Times New Roman" w:eastAsia="宋体" w:hAnsi="Times New Roman"/>
                <w:sz w:val="10"/>
                <w:szCs w:val="10"/>
              </w:rPr>
              <w:t>(1)</w:t>
            </w:r>
          </w:p>
        </w:tc>
        <w:tc>
          <w:tcPr>
            <w:tcW w:w="0" w:type="auto"/>
            <w:shd w:val="clear" w:color="auto" w:fill="CCEEFF"/>
            <w:tcMar>
              <w:top w:w="40" w:type="dxa"/>
              <w:left w:w="40" w:type="dxa"/>
              <w:bottom w:w="40" w:type="dxa"/>
              <w:right w:w="40" w:type="dxa"/>
            </w:tcMar>
            <w:vAlign w:val="bottom"/>
          </w:tcPr>
          <w:p w14:paraId="42A12F8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2F8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2F8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5,000</w:t>
            </w:r>
          </w:p>
        </w:tc>
        <w:tc>
          <w:tcPr>
            <w:tcW w:w="0" w:type="auto"/>
            <w:tcBorders>
              <w:top w:val="single" w:sz="8" w:space="0" w:color="000000"/>
            </w:tcBorders>
            <w:shd w:val="clear" w:color="auto" w:fill="CCEEFF"/>
            <w:vAlign w:val="bottom"/>
          </w:tcPr>
          <w:p w14:paraId="42A12F8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F8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2F8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2F9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vAlign w:val="bottom"/>
          </w:tcPr>
          <w:p w14:paraId="42A12F9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F9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2F9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2F9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5,000</w:t>
            </w:r>
          </w:p>
        </w:tc>
        <w:tc>
          <w:tcPr>
            <w:tcW w:w="0" w:type="auto"/>
            <w:tcBorders>
              <w:top w:val="single" w:sz="8" w:space="0" w:color="000000"/>
            </w:tcBorders>
            <w:shd w:val="clear" w:color="auto" w:fill="CCEEFF"/>
            <w:vAlign w:val="bottom"/>
          </w:tcPr>
          <w:p w14:paraId="42A12F9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F9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F9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F9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5,000</w:t>
            </w:r>
          </w:p>
        </w:tc>
        <w:tc>
          <w:tcPr>
            <w:tcW w:w="0" w:type="auto"/>
            <w:shd w:val="clear" w:color="auto" w:fill="CCEEFF"/>
            <w:vAlign w:val="bottom"/>
          </w:tcPr>
          <w:p w14:paraId="42A12F9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F9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F9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F9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2F9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F9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2F9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2FA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5,000</w:t>
            </w:r>
          </w:p>
        </w:tc>
        <w:tc>
          <w:tcPr>
            <w:tcW w:w="0" w:type="auto"/>
            <w:shd w:val="clear" w:color="auto" w:fill="CCEEFF"/>
            <w:vAlign w:val="bottom"/>
          </w:tcPr>
          <w:p w14:paraId="42A12FA1" w14:textId="77777777" w:rsidR="00BB68E1" w:rsidRDefault="00BB68E1">
            <w:pPr>
              <w:textAlignment w:val="bottom"/>
              <w:rPr>
                <w:rFonts w:ascii="Times New Roman" w:hAnsi="Times New Roman"/>
                <w:sz w:val="20"/>
                <w:szCs w:val="20"/>
              </w:rPr>
            </w:pPr>
          </w:p>
        </w:tc>
      </w:tr>
      <w:tr w:rsidR="00BB68E1" w14:paraId="42A12FB6" w14:textId="77777777">
        <w:trPr>
          <w:jc w:val="center"/>
        </w:trPr>
        <w:tc>
          <w:tcPr>
            <w:tcW w:w="0" w:type="auto"/>
            <w:shd w:val="clear" w:color="auto" w:fill="auto"/>
            <w:tcMar>
              <w:top w:w="40" w:type="dxa"/>
              <w:left w:w="40" w:type="dxa"/>
              <w:bottom w:w="40" w:type="dxa"/>
              <w:right w:w="40" w:type="dxa"/>
            </w:tcMar>
            <w:vAlign w:val="center"/>
          </w:tcPr>
          <w:p w14:paraId="42A12FA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364-day revolving credit facility</w:t>
            </w:r>
            <w:r>
              <w:rPr>
                <w:rFonts w:ascii="Times New Roman" w:eastAsia="宋体" w:hAnsi="Times New Roman"/>
                <w:sz w:val="10"/>
                <w:szCs w:val="10"/>
              </w:rPr>
              <w:t>(1)</w:t>
            </w:r>
          </w:p>
        </w:tc>
        <w:tc>
          <w:tcPr>
            <w:tcW w:w="0" w:type="auto"/>
            <w:shd w:val="clear" w:color="auto" w:fill="auto"/>
            <w:tcMar>
              <w:top w:w="40" w:type="dxa"/>
              <w:left w:w="40" w:type="dxa"/>
              <w:bottom w:w="40" w:type="dxa"/>
              <w:right w:w="40" w:type="dxa"/>
            </w:tcMar>
            <w:vAlign w:val="bottom"/>
          </w:tcPr>
          <w:p w14:paraId="42A12FA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FA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10,000</w:t>
            </w:r>
          </w:p>
        </w:tc>
        <w:tc>
          <w:tcPr>
            <w:tcW w:w="0" w:type="auto"/>
            <w:shd w:val="clear" w:color="auto" w:fill="auto"/>
            <w:vAlign w:val="bottom"/>
          </w:tcPr>
          <w:p w14:paraId="42A12FA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FA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FA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FA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FA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FA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10,000</w:t>
            </w:r>
          </w:p>
        </w:tc>
        <w:tc>
          <w:tcPr>
            <w:tcW w:w="0" w:type="auto"/>
            <w:shd w:val="clear" w:color="auto" w:fill="auto"/>
            <w:vAlign w:val="bottom"/>
          </w:tcPr>
          <w:p w14:paraId="42A12FA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FA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FA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10,000</w:t>
            </w:r>
          </w:p>
        </w:tc>
        <w:tc>
          <w:tcPr>
            <w:tcW w:w="0" w:type="auto"/>
            <w:shd w:val="clear" w:color="auto" w:fill="auto"/>
            <w:vAlign w:val="bottom"/>
          </w:tcPr>
          <w:p w14:paraId="42A12FA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FB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FB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2FB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2FB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2FB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10,000</w:t>
            </w:r>
          </w:p>
        </w:tc>
        <w:tc>
          <w:tcPr>
            <w:tcW w:w="0" w:type="auto"/>
            <w:shd w:val="clear" w:color="auto" w:fill="auto"/>
            <w:vAlign w:val="bottom"/>
          </w:tcPr>
          <w:p w14:paraId="42A12FB5" w14:textId="77777777" w:rsidR="00BB68E1" w:rsidRDefault="00BB68E1">
            <w:pPr>
              <w:textAlignment w:val="bottom"/>
              <w:rPr>
                <w:rFonts w:ascii="Times New Roman" w:hAnsi="Times New Roman"/>
                <w:sz w:val="20"/>
                <w:szCs w:val="20"/>
              </w:rPr>
            </w:pPr>
          </w:p>
        </w:tc>
      </w:tr>
      <w:tr w:rsidR="00BB68E1" w14:paraId="42A12FD0" w14:textId="77777777">
        <w:trPr>
          <w:jc w:val="center"/>
        </w:trPr>
        <w:tc>
          <w:tcPr>
            <w:tcW w:w="0" w:type="auto"/>
            <w:shd w:val="clear" w:color="auto" w:fill="CCEEFF"/>
            <w:tcMar>
              <w:top w:w="40" w:type="dxa"/>
              <w:left w:w="40" w:type="dxa"/>
              <w:bottom w:w="40" w:type="dxa"/>
              <w:right w:w="40" w:type="dxa"/>
            </w:tcMar>
            <w:vAlign w:val="center"/>
          </w:tcPr>
          <w:p w14:paraId="42A12FB7"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CCEEFF"/>
            <w:tcMar>
              <w:top w:w="40" w:type="dxa"/>
              <w:left w:w="40" w:type="dxa"/>
              <w:bottom w:w="40" w:type="dxa"/>
              <w:right w:w="40" w:type="dxa"/>
            </w:tcMar>
            <w:vAlign w:val="bottom"/>
          </w:tcPr>
          <w:p w14:paraId="42A12FB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2FB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2FB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15,000</w:t>
            </w:r>
          </w:p>
        </w:tc>
        <w:tc>
          <w:tcPr>
            <w:tcW w:w="0" w:type="auto"/>
            <w:tcBorders>
              <w:top w:val="single" w:sz="8" w:space="0" w:color="000000"/>
              <w:bottom w:val="double" w:sz="6" w:space="0" w:color="000000"/>
            </w:tcBorders>
            <w:shd w:val="clear" w:color="auto" w:fill="CCEEFF"/>
            <w:vAlign w:val="bottom"/>
          </w:tcPr>
          <w:p w14:paraId="42A12FB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FB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2FB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2FB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vAlign w:val="bottom"/>
          </w:tcPr>
          <w:p w14:paraId="42A12FB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F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2FC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2FC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15,000</w:t>
            </w:r>
          </w:p>
        </w:tc>
        <w:tc>
          <w:tcPr>
            <w:tcW w:w="0" w:type="auto"/>
            <w:tcBorders>
              <w:top w:val="single" w:sz="8" w:space="0" w:color="000000"/>
              <w:bottom w:val="double" w:sz="6" w:space="0" w:color="000000"/>
            </w:tcBorders>
            <w:shd w:val="clear" w:color="auto" w:fill="CCEEFF"/>
            <w:vAlign w:val="bottom"/>
          </w:tcPr>
          <w:p w14:paraId="42A12FC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FC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2FC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2FC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15,000</w:t>
            </w:r>
          </w:p>
        </w:tc>
        <w:tc>
          <w:tcPr>
            <w:tcW w:w="0" w:type="auto"/>
            <w:tcBorders>
              <w:top w:val="single" w:sz="8" w:space="0" w:color="000000"/>
              <w:bottom w:val="double" w:sz="6" w:space="0" w:color="000000"/>
            </w:tcBorders>
            <w:shd w:val="clear" w:color="auto" w:fill="CCEEFF"/>
            <w:vAlign w:val="bottom"/>
          </w:tcPr>
          <w:p w14:paraId="42A12FC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F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2FC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2FC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vAlign w:val="bottom"/>
          </w:tcPr>
          <w:p w14:paraId="42A12FC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2FC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2FC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2FC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15,000</w:t>
            </w:r>
          </w:p>
        </w:tc>
        <w:tc>
          <w:tcPr>
            <w:tcW w:w="0" w:type="auto"/>
            <w:tcBorders>
              <w:top w:val="single" w:sz="8" w:space="0" w:color="000000"/>
              <w:bottom w:val="double" w:sz="6" w:space="0" w:color="000000"/>
            </w:tcBorders>
            <w:shd w:val="clear" w:color="auto" w:fill="CCEEFF"/>
            <w:vAlign w:val="bottom"/>
          </w:tcPr>
          <w:p w14:paraId="42A12FCF" w14:textId="77777777" w:rsidR="00BB68E1" w:rsidRDefault="00BB68E1">
            <w:pPr>
              <w:textAlignment w:val="bottom"/>
              <w:rPr>
                <w:rFonts w:ascii="Times New Roman" w:hAnsi="Times New Roman"/>
                <w:sz w:val="20"/>
                <w:szCs w:val="20"/>
              </w:rPr>
            </w:pPr>
          </w:p>
        </w:tc>
      </w:tr>
    </w:tbl>
    <w:p w14:paraId="42A12FD1" w14:textId="77777777" w:rsidR="00BB68E1" w:rsidRDefault="00BB68E1">
      <w:pPr>
        <w:spacing w:line="288" w:lineRule="auto"/>
        <w:jc w:val="cente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BB68E1" w14:paraId="42A12FD4" w14:textId="77777777">
        <w:trPr>
          <w:tblCellSpacing w:w="0" w:type="dxa"/>
        </w:trPr>
        <w:tc>
          <w:tcPr>
            <w:tcW w:w="480" w:type="dxa"/>
            <w:shd w:val="clear" w:color="auto" w:fill="auto"/>
            <w:vAlign w:val="center"/>
          </w:tcPr>
          <w:p w14:paraId="42A12FD2" w14:textId="77777777" w:rsidR="00BB68E1" w:rsidRDefault="00BB68E1">
            <w:pPr>
              <w:rPr>
                <w:rFonts w:ascii="Times New Roman" w:hAnsi="Times New Roman"/>
                <w:sz w:val="20"/>
                <w:szCs w:val="20"/>
              </w:rPr>
            </w:pPr>
          </w:p>
        </w:tc>
        <w:tc>
          <w:tcPr>
            <w:tcW w:w="0" w:type="auto"/>
            <w:shd w:val="clear" w:color="auto" w:fill="auto"/>
            <w:vAlign w:val="center"/>
          </w:tcPr>
          <w:p w14:paraId="42A12FD3" w14:textId="77777777" w:rsidR="00BB68E1" w:rsidRDefault="00BB68E1">
            <w:pPr>
              <w:rPr>
                <w:rFonts w:ascii="Times New Roman" w:hAnsi="Times New Roman"/>
                <w:sz w:val="20"/>
                <w:szCs w:val="20"/>
              </w:rPr>
            </w:pPr>
          </w:p>
        </w:tc>
      </w:tr>
      <w:tr w:rsidR="00BB68E1" w14:paraId="42A12FD7" w14:textId="77777777">
        <w:trPr>
          <w:tblCellSpacing w:w="0" w:type="dxa"/>
        </w:trPr>
        <w:tc>
          <w:tcPr>
            <w:tcW w:w="0" w:type="auto"/>
            <w:shd w:val="clear" w:color="auto" w:fill="auto"/>
          </w:tcPr>
          <w:p w14:paraId="42A12FD5"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lastRenderedPageBreak/>
              <w:t xml:space="preserve">(1) </w:t>
            </w:r>
          </w:p>
        </w:tc>
        <w:tc>
          <w:tcPr>
            <w:tcW w:w="0" w:type="auto"/>
            <w:shd w:val="clear" w:color="auto" w:fill="auto"/>
          </w:tcPr>
          <w:p w14:paraId="42A12FD6"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 xml:space="preserve">In May 2019, the Company renewed and extended its existing five-year credit facility and its existing 364-day revolving credit facility, both of which are used to support its commercial paper program. </w:t>
            </w:r>
          </w:p>
        </w:tc>
      </w:tr>
    </w:tbl>
    <w:p w14:paraId="42A12FD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committed lines of credit in the table above matu</w:t>
      </w:r>
      <w:r>
        <w:rPr>
          <w:rFonts w:ascii="Times New Roman" w:eastAsia="宋体" w:hAnsi="Times New Roman"/>
          <w:sz w:val="20"/>
          <w:szCs w:val="20"/>
        </w:rPr>
        <w:t>re at various times between May 2020 and May 2024, carry interest rates generally ranging between LIBOR plus 10 basis points and LIBOR plus 75 basis points, and incur commitment fees ranging between 1.5 and 4.0 basis points. In conjunction with the committ</w:t>
      </w:r>
      <w:r>
        <w:rPr>
          <w:rFonts w:ascii="Times New Roman" w:eastAsia="宋体" w:hAnsi="Times New Roman"/>
          <w:sz w:val="20"/>
          <w:szCs w:val="20"/>
        </w:rPr>
        <w:t>ed lines of credit listed in the table above, the Company has agreed to observe certain covenants, the most restrictive of which relates to the maximum amount of secured debt. Additionally, the Company also maintains other committed lines of credit outside</w:t>
      </w:r>
      <w:r>
        <w:rPr>
          <w:rFonts w:ascii="Times New Roman" w:eastAsia="宋体" w:hAnsi="Times New Roman"/>
          <w:sz w:val="20"/>
          <w:szCs w:val="20"/>
        </w:rPr>
        <w:t xml:space="preserve"> of the U.S., with available amounts of approximately $3.0 billion as of each of January 31, 2020 and 2019, respectively, of which approximately $0.1 billion and $0.2 billion was drawn as of January 31, 2020 and 2019, respectively.</w:t>
      </w:r>
    </w:p>
    <w:p w14:paraId="42A12FD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Apart from the committed</w:t>
      </w:r>
      <w:r>
        <w:rPr>
          <w:rFonts w:ascii="Times New Roman" w:eastAsia="宋体" w:hAnsi="Times New Roman"/>
          <w:sz w:val="20"/>
          <w:szCs w:val="20"/>
        </w:rPr>
        <w:t xml:space="preserve"> lines of credit, the Company has syndicated and fronted letters of credit available totaling $1.8 billion as of each of January 31, 2020 and 2019, respectively, of which $1.6 billion was drawn as of each of January 31, 2020 and 2019, respectively. The Com</w:t>
      </w:r>
      <w:r>
        <w:rPr>
          <w:rFonts w:ascii="Times New Roman" w:eastAsia="宋体" w:hAnsi="Times New Roman"/>
          <w:sz w:val="20"/>
          <w:szCs w:val="20"/>
        </w:rPr>
        <w:t xml:space="preserve">pany also has trade letters of credit, without stated limits, of which $0.2 billion and $0.4 billion was drawn as of January 31, 2020 and 2019, respectively. </w:t>
      </w:r>
    </w:p>
    <w:p w14:paraId="42A12FD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Company's long-term debt, which includes the fair value instruments further discussed in </w:t>
      </w:r>
      <w:hyperlink r:id="rId132" w:anchor="s54AFDC767FDC5DEDB7B7C4E87D6EC733" w:history="1">
        <w:r>
          <w:rPr>
            <w:rStyle w:val="a5"/>
            <w:rFonts w:ascii="Times New Roman" w:eastAsia="宋体" w:hAnsi="Times New Roman"/>
            <w:sz w:val="20"/>
            <w:szCs w:val="20"/>
          </w:rPr>
          <w:t>Note 8</w:t>
        </w:r>
      </w:hyperlink>
      <w:r>
        <w:rPr>
          <w:rFonts w:ascii="Times New Roman" w:eastAsia="宋体" w:hAnsi="Times New Roman"/>
          <w:sz w:val="20"/>
          <w:szCs w:val="20"/>
        </w:rPr>
        <w:t>, consists of the following as of January 31, 2020 and 2019:</w:t>
      </w:r>
    </w:p>
    <w:tbl>
      <w:tblPr>
        <w:tblW w:w="5000" w:type="pct"/>
        <w:tblCellMar>
          <w:left w:w="0" w:type="dxa"/>
          <w:right w:w="0" w:type="dxa"/>
        </w:tblCellMar>
        <w:tblLook w:val="04A0" w:firstRow="1" w:lastRow="0" w:firstColumn="1" w:lastColumn="0" w:noHBand="0" w:noVBand="1"/>
      </w:tblPr>
      <w:tblGrid>
        <w:gridCol w:w="2852"/>
        <w:gridCol w:w="130"/>
        <w:gridCol w:w="1274"/>
        <w:gridCol w:w="130"/>
        <w:gridCol w:w="120"/>
        <w:gridCol w:w="526"/>
        <w:gridCol w:w="94"/>
        <w:gridCol w:w="130"/>
        <w:gridCol w:w="1025"/>
        <w:gridCol w:w="130"/>
        <w:gridCol w:w="120"/>
        <w:gridCol w:w="526"/>
        <w:gridCol w:w="94"/>
        <w:gridCol w:w="130"/>
        <w:gridCol w:w="1025"/>
      </w:tblGrid>
      <w:tr w:rsidR="00BB68E1" w14:paraId="42A12FDC" w14:textId="77777777">
        <w:tc>
          <w:tcPr>
            <w:tcW w:w="0" w:type="auto"/>
            <w:gridSpan w:val="15"/>
            <w:shd w:val="clear" w:color="auto" w:fill="auto"/>
            <w:vAlign w:val="center"/>
          </w:tcPr>
          <w:p w14:paraId="42A12FDB" w14:textId="77777777" w:rsidR="00BB68E1" w:rsidRDefault="00BB68E1">
            <w:pPr>
              <w:rPr>
                <w:rFonts w:ascii="Times New Roman" w:hAnsi="Times New Roman"/>
                <w:sz w:val="20"/>
                <w:szCs w:val="20"/>
              </w:rPr>
            </w:pPr>
          </w:p>
        </w:tc>
      </w:tr>
      <w:tr w:rsidR="00BB68E1" w14:paraId="42A12FEC" w14:textId="77777777">
        <w:tc>
          <w:tcPr>
            <w:tcW w:w="1750" w:type="pct"/>
            <w:shd w:val="clear" w:color="auto" w:fill="auto"/>
            <w:vAlign w:val="center"/>
          </w:tcPr>
          <w:p w14:paraId="42A12FDD" w14:textId="77777777" w:rsidR="00BB68E1" w:rsidRDefault="00BB68E1">
            <w:pPr>
              <w:rPr>
                <w:rFonts w:ascii="Times New Roman" w:hAnsi="Times New Roman"/>
                <w:sz w:val="20"/>
                <w:szCs w:val="20"/>
              </w:rPr>
            </w:pPr>
          </w:p>
        </w:tc>
        <w:tc>
          <w:tcPr>
            <w:tcW w:w="50" w:type="pct"/>
            <w:shd w:val="clear" w:color="auto" w:fill="auto"/>
            <w:vAlign w:val="center"/>
          </w:tcPr>
          <w:p w14:paraId="42A12FDE" w14:textId="77777777" w:rsidR="00BB68E1" w:rsidRDefault="00BB68E1">
            <w:pPr>
              <w:rPr>
                <w:rFonts w:ascii="Times New Roman" w:hAnsi="Times New Roman"/>
                <w:sz w:val="20"/>
                <w:szCs w:val="20"/>
              </w:rPr>
            </w:pPr>
          </w:p>
        </w:tc>
        <w:tc>
          <w:tcPr>
            <w:tcW w:w="800" w:type="pct"/>
            <w:shd w:val="clear" w:color="auto" w:fill="auto"/>
            <w:vAlign w:val="center"/>
          </w:tcPr>
          <w:p w14:paraId="42A12FDF" w14:textId="77777777" w:rsidR="00BB68E1" w:rsidRDefault="00BB68E1">
            <w:pPr>
              <w:rPr>
                <w:rFonts w:ascii="Times New Roman" w:hAnsi="Times New Roman"/>
                <w:sz w:val="20"/>
                <w:szCs w:val="20"/>
              </w:rPr>
            </w:pPr>
          </w:p>
        </w:tc>
        <w:tc>
          <w:tcPr>
            <w:tcW w:w="50" w:type="pct"/>
            <w:shd w:val="clear" w:color="auto" w:fill="auto"/>
            <w:vAlign w:val="center"/>
          </w:tcPr>
          <w:p w14:paraId="42A12FE0" w14:textId="77777777" w:rsidR="00BB68E1" w:rsidRDefault="00BB68E1">
            <w:pPr>
              <w:rPr>
                <w:rFonts w:ascii="Times New Roman" w:hAnsi="Times New Roman"/>
                <w:sz w:val="20"/>
                <w:szCs w:val="20"/>
              </w:rPr>
            </w:pPr>
          </w:p>
        </w:tc>
        <w:tc>
          <w:tcPr>
            <w:tcW w:w="50" w:type="pct"/>
            <w:shd w:val="clear" w:color="auto" w:fill="auto"/>
            <w:vAlign w:val="center"/>
          </w:tcPr>
          <w:p w14:paraId="42A12FE1" w14:textId="77777777" w:rsidR="00BB68E1" w:rsidRDefault="00BB68E1">
            <w:pPr>
              <w:rPr>
                <w:rFonts w:ascii="Times New Roman" w:hAnsi="Times New Roman"/>
                <w:sz w:val="20"/>
                <w:szCs w:val="20"/>
              </w:rPr>
            </w:pPr>
          </w:p>
        </w:tc>
        <w:tc>
          <w:tcPr>
            <w:tcW w:w="350" w:type="pct"/>
            <w:shd w:val="clear" w:color="auto" w:fill="auto"/>
            <w:vAlign w:val="center"/>
          </w:tcPr>
          <w:p w14:paraId="42A12FE2" w14:textId="77777777" w:rsidR="00BB68E1" w:rsidRDefault="00BB68E1">
            <w:pPr>
              <w:rPr>
                <w:rFonts w:ascii="Times New Roman" w:hAnsi="Times New Roman"/>
                <w:sz w:val="20"/>
                <w:szCs w:val="20"/>
              </w:rPr>
            </w:pPr>
          </w:p>
        </w:tc>
        <w:tc>
          <w:tcPr>
            <w:tcW w:w="50" w:type="pct"/>
            <w:shd w:val="clear" w:color="auto" w:fill="auto"/>
            <w:vAlign w:val="center"/>
          </w:tcPr>
          <w:p w14:paraId="42A12FE3" w14:textId="77777777" w:rsidR="00BB68E1" w:rsidRDefault="00BB68E1">
            <w:pPr>
              <w:rPr>
                <w:rFonts w:ascii="Times New Roman" w:hAnsi="Times New Roman"/>
                <w:sz w:val="20"/>
                <w:szCs w:val="20"/>
              </w:rPr>
            </w:pPr>
          </w:p>
        </w:tc>
        <w:tc>
          <w:tcPr>
            <w:tcW w:w="50" w:type="pct"/>
            <w:shd w:val="clear" w:color="auto" w:fill="auto"/>
            <w:vAlign w:val="center"/>
          </w:tcPr>
          <w:p w14:paraId="42A12FE4" w14:textId="77777777" w:rsidR="00BB68E1" w:rsidRDefault="00BB68E1">
            <w:pPr>
              <w:rPr>
                <w:rFonts w:ascii="Times New Roman" w:hAnsi="Times New Roman"/>
                <w:sz w:val="20"/>
                <w:szCs w:val="20"/>
              </w:rPr>
            </w:pPr>
          </w:p>
        </w:tc>
        <w:tc>
          <w:tcPr>
            <w:tcW w:w="650" w:type="pct"/>
            <w:shd w:val="clear" w:color="auto" w:fill="auto"/>
            <w:vAlign w:val="center"/>
          </w:tcPr>
          <w:p w14:paraId="42A12FE5" w14:textId="77777777" w:rsidR="00BB68E1" w:rsidRDefault="00BB68E1">
            <w:pPr>
              <w:rPr>
                <w:rFonts w:ascii="Times New Roman" w:hAnsi="Times New Roman"/>
                <w:sz w:val="20"/>
                <w:szCs w:val="20"/>
              </w:rPr>
            </w:pPr>
          </w:p>
        </w:tc>
        <w:tc>
          <w:tcPr>
            <w:tcW w:w="50" w:type="pct"/>
            <w:shd w:val="clear" w:color="auto" w:fill="auto"/>
            <w:vAlign w:val="center"/>
          </w:tcPr>
          <w:p w14:paraId="42A12FE6" w14:textId="77777777" w:rsidR="00BB68E1" w:rsidRDefault="00BB68E1">
            <w:pPr>
              <w:rPr>
                <w:rFonts w:ascii="Times New Roman" w:hAnsi="Times New Roman"/>
                <w:sz w:val="20"/>
                <w:szCs w:val="20"/>
              </w:rPr>
            </w:pPr>
          </w:p>
        </w:tc>
        <w:tc>
          <w:tcPr>
            <w:tcW w:w="50" w:type="pct"/>
            <w:shd w:val="clear" w:color="auto" w:fill="auto"/>
            <w:vAlign w:val="center"/>
          </w:tcPr>
          <w:p w14:paraId="42A12FE7" w14:textId="77777777" w:rsidR="00BB68E1" w:rsidRDefault="00BB68E1">
            <w:pPr>
              <w:rPr>
                <w:rFonts w:ascii="Times New Roman" w:hAnsi="Times New Roman"/>
                <w:sz w:val="20"/>
                <w:szCs w:val="20"/>
              </w:rPr>
            </w:pPr>
          </w:p>
        </w:tc>
        <w:tc>
          <w:tcPr>
            <w:tcW w:w="350" w:type="pct"/>
            <w:shd w:val="clear" w:color="auto" w:fill="auto"/>
            <w:vAlign w:val="center"/>
          </w:tcPr>
          <w:p w14:paraId="42A12FE8" w14:textId="77777777" w:rsidR="00BB68E1" w:rsidRDefault="00BB68E1">
            <w:pPr>
              <w:rPr>
                <w:rFonts w:ascii="Times New Roman" w:hAnsi="Times New Roman"/>
                <w:sz w:val="20"/>
                <w:szCs w:val="20"/>
              </w:rPr>
            </w:pPr>
          </w:p>
        </w:tc>
        <w:tc>
          <w:tcPr>
            <w:tcW w:w="50" w:type="pct"/>
            <w:shd w:val="clear" w:color="auto" w:fill="auto"/>
            <w:vAlign w:val="center"/>
          </w:tcPr>
          <w:p w14:paraId="42A12FE9" w14:textId="77777777" w:rsidR="00BB68E1" w:rsidRDefault="00BB68E1">
            <w:pPr>
              <w:rPr>
                <w:rFonts w:ascii="Times New Roman" w:hAnsi="Times New Roman"/>
                <w:sz w:val="20"/>
                <w:szCs w:val="20"/>
              </w:rPr>
            </w:pPr>
          </w:p>
        </w:tc>
        <w:tc>
          <w:tcPr>
            <w:tcW w:w="50" w:type="pct"/>
            <w:shd w:val="clear" w:color="auto" w:fill="auto"/>
            <w:vAlign w:val="center"/>
          </w:tcPr>
          <w:p w14:paraId="42A12FEA" w14:textId="77777777" w:rsidR="00BB68E1" w:rsidRDefault="00BB68E1">
            <w:pPr>
              <w:rPr>
                <w:rFonts w:ascii="Times New Roman" w:hAnsi="Times New Roman"/>
                <w:sz w:val="20"/>
                <w:szCs w:val="20"/>
              </w:rPr>
            </w:pPr>
          </w:p>
        </w:tc>
        <w:tc>
          <w:tcPr>
            <w:tcW w:w="650" w:type="pct"/>
            <w:shd w:val="clear" w:color="auto" w:fill="auto"/>
            <w:vAlign w:val="center"/>
          </w:tcPr>
          <w:p w14:paraId="42A12FEB" w14:textId="77777777" w:rsidR="00BB68E1" w:rsidRDefault="00BB68E1">
            <w:pPr>
              <w:rPr>
                <w:rFonts w:ascii="Times New Roman" w:hAnsi="Times New Roman"/>
                <w:sz w:val="20"/>
                <w:szCs w:val="20"/>
              </w:rPr>
            </w:pPr>
          </w:p>
        </w:tc>
      </w:tr>
      <w:tr w:rsidR="00BB68E1" w14:paraId="42A12FF4" w14:textId="77777777">
        <w:tc>
          <w:tcPr>
            <w:tcW w:w="0" w:type="auto"/>
            <w:shd w:val="clear" w:color="auto" w:fill="auto"/>
            <w:tcMar>
              <w:top w:w="40" w:type="dxa"/>
              <w:left w:w="40" w:type="dxa"/>
              <w:bottom w:w="40" w:type="dxa"/>
              <w:right w:w="40" w:type="dxa"/>
            </w:tcMar>
            <w:vAlign w:val="bottom"/>
          </w:tcPr>
          <w:p w14:paraId="42A12FED"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2FE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2FE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2FF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42A12FF1"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January 31, 2020</w:t>
            </w:r>
          </w:p>
        </w:tc>
        <w:tc>
          <w:tcPr>
            <w:tcW w:w="0" w:type="auto"/>
            <w:shd w:val="clear" w:color="auto" w:fill="auto"/>
            <w:tcMar>
              <w:top w:w="40" w:type="dxa"/>
              <w:left w:w="40" w:type="dxa"/>
              <w:bottom w:w="40" w:type="dxa"/>
              <w:right w:w="40" w:type="dxa"/>
            </w:tcMar>
            <w:vAlign w:val="bottom"/>
          </w:tcPr>
          <w:p w14:paraId="42A12FF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42A12FF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January 31, 2019</w:t>
            </w:r>
          </w:p>
        </w:tc>
      </w:tr>
      <w:tr w:rsidR="00BB68E1" w14:paraId="42A13000" w14:textId="77777777">
        <w:tc>
          <w:tcPr>
            <w:tcW w:w="0" w:type="auto"/>
            <w:shd w:val="clear" w:color="auto" w:fill="auto"/>
            <w:tcMar>
              <w:top w:w="40" w:type="dxa"/>
              <w:left w:w="40" w:type="dxa"/>
              <w:bottom w:w="40" w:type="dxa"/>
              <w:right w:w="40" w:type="dxa"/>
            </w:tcMar>
            <w:vAlign w:val="bottom"/>
          </w:tcPr>
          <w:p w14:paraId="42A12FF5"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2FF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2FF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Maturity Dates</w:t>
            </w:r>
            <w:r>
              <w:rPr>
                <w:rFonts w:ascii="Times New Roman" w:eastAsia="宋体" w:hAnsi="Times New Roman"/>
                <w:b/>
                <w:bCs/>
                <w:sz w:val="16"/>
                <w:szCs w:val="16"/>
              </w:rPr>
              <w:br/>
              <w:t>By Fiscal Year</w:t>
            </w:r>
          </w:p>
        </w:tc>
        <w:tc>
          <w:tcPr>
            <w:tcW w:w="0" w:type="auto"/>
            <w:shd w:val="clear" w:color="auto" w:fill="auto"/>
            <w:tcMar>
              <w:top w:w="40" w:type="dxa"/>
              <w:left w:w="40" w:type="dxa"/>
              <w:bottom w:w="40" w:type="dxa"/>
              <w:right w:w="40" w:type="dxa"/>
            </w:tcMar>
            <w:vAlign w:val="bottom"/>
          </w:tcPr>
          <w:p w14:paraId="42A12FF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FF9"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42A12FF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2FF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Average Rate</w:t>
            </w:r>
            <w:r>
              <w:rPr>
                <w:rFonts w:ascii="Times New Roman" w:eastAsia="宋体" w:hAnsi="Times New Roman"/>
                <w:b/>
                <w:bCs/>
                <w:sz w:val="10"/>
                <w:szCs w:val="10"/>
              </w:rPr>
              <w:t>(1)</w:t>
            </w:r>
          </w:p>
        </w:tc>
        <w:tc>
          <w:tcPr>
            <w:tcW w:w="0" w:type="auto"/>
            <w:shd w:val="clear" w:color="auto" w:fill="auto"/>
            <w:tcMar>
              <w:top w:w="40" w:type="dxa"/>
              <w:left w:w="40" w:type="dxa"/>
              <w:bottom w:w="40" w:type="dxa"/>
              <w:right w:w="40" w:type="dxa"/>
            </w:tcMar>
            <w:vAlign w:val="bottom"/>
          </w:tcPr>
          <w:p w14:paraId="42A12FF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2FFD"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42A12FF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2FF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Average Rate</w:t>
            </w:r>
            <w:r>
              <w:rPr>
                <w:rFonts w:ascii="Times New Roman" w:eastAsia="宋体" w:hAnsi="Times New Roman"/>
                <w:b/>
                <w:bCs/>
                <w:sz w:val="10"/>
                <w:szCs w:val="10"/>
              </w:rPr>
              <w:t>(1)</w:t>
            </w:r>
          </w:p>
        </w:tc>
      </w:tr>
      <w:tr w:rsidR="00BB68E1" w14:paraId="42A1300C" w14:textId="77777777">
        <w:tc>
          <w:tcPr>
            <w:tcW w:w="0" w:type="auto"/>
            <w:shd w:val="clear" w:color="auto" w:fill="CCEEFF"/>
            <w:tcMar>
              <w:top w:w="40" w:type="dxa"/>
              <w:left w:w="40" w:type="dxa"/>
              <w:bottom w:w="40" w:type="dxa"/>
              <w:right w:w="40" w:type="dxa"/>
            </w:tcMar>
            <w:vAlign w:val="center"/>
          </w:tcPr>
          <w:p w14:paraId="42A13001"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Unsecured debt</w:t>
            </w:r>
          </w:p>
        </w:tc>
        <w:tc>
          <w:tcPr>
            <w:tcW w:w="0" w:type="auto"/>
            <w:shd w:val="clear" w:color="auto" w:fill="CCEEFF"/>
            <w:tcMar>
              <w:top w:w="40" w:type="dxa"/>
              <w:left w:w="40" w:type="dxa"/>
              <w:bottom w:w="40" w:type="dxa"/>
              <w:right w:w="40" w:type="dxa"/>
            </w:tcMar>
            <w:vAlign w:val="bottom"/>
          </w:tcPr>
          <w:p w14:paraId="42A1300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0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0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00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0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0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0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00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0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0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01C" w14:textId="77777777">
        <w:tc>
          <w:tcPr>
            <w:tcW w:w="0" w:type="auto"/>
            <w:shd w:val="clear" w:color="auto" w:fill="auto"/>
            <w:tcMar>
              <w:top w:w="40" w:type="dxa"/>
              <w:left w:w="560" w:type="dxa"/>
              <w:bottom w:w="40" w:type="dxa"/>
              <w:right w:w="40" w:type="dxa"/>
            </w:tcMar>
            <w:vAlign w:val="center"/>
          </w:tcPr>
          <w:p w14:paraId="42A1300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Fixed</w:t>
            </w:r>
          </w:p>
        </w:tc>
        <w:tc>
          <w:tcPr>
            <w:tcW w:w="0" w:type="auto"/>
            <w:shd w:val="clear" w:color="auto" w:fill="auto"/>
            <w:tcMar>
              <w:top w:w="40" w:type="dxa"/>
              <w:left w:w="40" w:type="dxa"/>
              <w:bottom w:w="40" w:type="dxa"/>
              <w:right w:w="40" w:type="dxa"/>
            </w:tcMar>
            <w:vAlign w:val="bottom"/>
          </w:tcPr>
          <w:p w14:paraId="42A130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2A1300F"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2021 - 2050</w:t>
            </w:r>
          </w:p>
        </w:tc>
        <w:tc>
          <w:tcPr>
            <w:tcW w:w="0" w:type="auto"/>
            <w:shd w:val="clear" w:color="auto" w:fill="auto"/>
            <w:tcMar>
              <w:top w:w="40" w:type="dxa"/>
              <w:left w:w="40" w:type="dxa"/>
              <w:bottom w:w="40" w:type="dxa"/>
              <w:right w:w="40" w:type="dxa"/>
            </w:tcMar>
            <w:vAlign w:val="bottom"/>
          </w:tcPr>
          <w:p w14:paraId="42A1301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01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01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39,752</w:t>
            </w:r>
          </w:p>
        </w:tc>
        <w:tc>
          <w:tcPr>
            <w:tcW w:w="0" w:type="auto"/>
            <w:shd w:val="clear" w:color="auto" w:fill="auto"/>
            <w:vAlign w:val="bottom"/>
          </w:tcPr>
          <w:p w14:paraId="42A1301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01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2A13015"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3.8%</w:t>
            </w:r>
          </w:p>
        </w:tc>
        <w:tc>
          <w:tcPr>
            <w:tcW w:w="0" w:type="auto"/>
            <w:shd w:val="clear" w:color="auto" w:fill="auto"/>
            <w:tcMar>
              <w:top w:w="40" w:type="dxa"/>
              <w:left w:w="40" w:type="dxa"/>
              <w:bottom w:w="40" w:type="dxa"/>
              <w:right w:w="40" w:type="dxa"/>
            </w:tcMar>
            <w:vAlign w:val="bottom"/>
          </w:tcPr>
          <w:p w14:paraId="42A1301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01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01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35,816</w:t>
            </w:r>
          </w:p>
        </w:tc>
        <w:tc>
          <w:tcPr>
            <w:tcW w:w="0" w:type="auto"/>
            <w:shd w:val="clear" w:color="auto" w:fill="auto"/>
            <w:vAlign w:val="bottom"/>
          </w:tcPr>
          <w:p w14:paraId="42A1301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01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2A1301B"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3.9%</w:t>
            </w:r>
          </w:p>
        </w:tc>
      </w:tr>
      <w:tr w:rsidR="00BB68E1" w14:paraId="42A1302A" w14:textId="77777777">
        <w:tc>
          <w:tcPr>
            <w:tcW w:w="0" w:type="auto"/>
            <w:shd w:val="clear" w:color="auto" w:fill="CCEEFF"/>
            <w:tcMar>
              <w:top w:w="40" w:type="dxa"/>
              <w:left w:w="560" w:type="dxa"/>
              <w:bottom w:w="40" w:type="dxa"/>
              <w:right w:w="40" w:type="dxa"/>
            </w:tcMar>
            <w:vAlign w:val="center"/>
          </w:tcPr>
          <w:p w14:paraId="42A1301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Variable</w:t>
            </w:r>
          </w:p>
        </w:tc>
        <w:tc>
          <w:tcPr>
            <w:tcW w:w="0" w:type="auto"/>
            <w:shd w:val="clear" w:color="auto" w:fill="CCEEFF"/>
            <w:tcMar>
              <w:top w:w="40" w:type="dxa"/>
              <w:left w:w="40" w:type="dxa"/>
              <w:bottom w:w="40" w:type="dxa"/>
              <w:right w:w="40" w:type="dxa"/>
            </w:tcMar>
            <w:vAlign w:val="bottom"/>
          </w:tcPr>
          <w:p w14:paraId="42A1301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42A1301F"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2021 - 2022</w:t>
            </w:r>
          </w:p>
        </w:tc>
        <w:tc>
          <w:tcPr>
            <w:tcW w:w="0" w:type="auto"/>
            <w:shd w:val="clear" w:color="auto" w:fill="CCEEFF"/>
            <w:tcMar>
              <w:top w:w="40" w:type="dxa"/>
              <w:left w:w="40" w:type="dxa"/>
              <w:bottom w:w="40" w:type="dxa"/>
              <w:right w:w="40" w:type="dxa"/>
            </w:tcMar>
            <w:vAlign w:val="bottom"/>
          </w:tcPr>
          <w:p w14:paraId="42A1302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02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1,500</w:t>
            </w:r>
          </w:p>
        </w:tc>
        <w:tc>
          <w:tcPr>
            <w:tcW w:w="0" w:type="auto"/>
            <w:tcBorders>
              <w:bottom w:val="single" w:sz="8" w:space="0" w:color="000000"/>
            </w:tcBorders>
            <w:shd w:val="clear" w:color="auto" w:fill="CCEEFF"/>
            <w:vAlign w:val="bottom"/>
          </w:tcPr>
          <w:p w14:paraId="42A1302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02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42A13024"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2.1%</w:t>
            </w:r>
          </w:p>
        </w:tc>
        <w:tc>
          <w:tcPr>
            <w:tcW w:w="0" w:type="auto"/>
            <w:shd w:val="clear" w:color="auto" w:fill="CCEEFF"/>
            <w:tcMar>
              <w:top w:w="40" w:type="dxa"/>
              <w:left w:w="40" w:type="dxa"/>
              <w:bottom w:w="40" w:type="dxa"/>
              <w:right w:w="40" w:type="dxa"/>
            </w:tcMar>
            <w:vAlign w:val="bottom"/>
          </w:tcPr>
          <w:p w14:paraId="42A1302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02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1,800</w:t>
            </w:r>
          </w:p>
        </w:tc>
        <w:tc>
          <w:tcPr>
            <w:tcW w:w="0" w:type="auto"/>
            <w:tcBorders>
              <w:bottom w:val="single" w:sz="8" w:space="0" w:color="000000"/>
            </w:tcBorders>
            <w:shd w:val="clear" w:color="auto" w:fill="CCEEFF"/>
            <w:vAlign w:val="bottom"/>
          </w:tcPr>
          <w:p w14:paraId="42A1302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02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42A13029"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2.9%</w:t>
            </w:r>
          </w:p>
        </w:tc>
      </w:tr>
      <w:tr w:rsidR="00BB68E1" w14:paraId="42A13038" w14:textId="77777777">
        <w:tc>
          <w:tcPr>
            <w:tcW w:w="0" w:type="auto"/>
            <w:shd w:val="clear" w:color="auto" w:fill="auto"/>
            <w:tcMar>
              <w:top w:w="40" w:type="dxa"/>
              <w:left w:w="880" w:type="dxa"/>
              <w:bottom w:w="40" w:type="dxa"/>
              <w:right w:w="40" w:type="dxa"/>
            </w:tcMar>
            <w:vAlign w:val="center"/>
          </w:tcPr>
          <w:p w14:paraId="42A1302B"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U.S. dollar denominated</w:t>
            </w:r>
          </w:p>
        </w:tc>
        <w:tc>
          <w:tcPr>
            <w:tcW w:w="0" w:type="auto"/>
            <w:shd w:val="clear" w:color="auto" w:fill="auto"/>
            <w:tcMar>
              <w:top w:w="40" w:type="dxa"/>
              <w:left w:w="40" w:type="dxa"/>
              <w:bottom w:w="40" w:type="dxa"/>
              <w:right w:w="40" w:type="dxa"/>
            </w:tcMar>
            <w:vAlign w:val="bottom"/>
          </w:tcPr>
          <w:p w14:paraId="42A1302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2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2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02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41,252</w:t>
            </w:r>
          </w:p>
        </w:tc>
        <w:tc>
          <w:tcPr>
            <w:tcW w:w="0" w:type="auto"/>
            <w:shd w:val="clear" w:color="auto" w:fill="auto"/>
            <w:vAlign w:val="bottom"/>
          </w:tcPr>
          <w:p w14:paraId="42A1303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03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3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3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03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37,616</w:t>
            </w:r>
          </w:p>
        </w:tc>
        <w:tc>
          <w:tcPr>
            <w:tcW w:w="0" w:type="auto"/>
            <w:shd w:val="clear" w:color="auto" w:fill="auto"/>
            <w:vAlign w:val="bottom"/>
          </w:tcPr>
          <w:p w14:paraId="42A1303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03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3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046" w14:textId="77777777">
        <w:tc>
          <w:tcPr>
            <w:tcW w:w="0" w:type="auto"/>
            <w:shd w:val="clear" w:color="auto" w:fill="CCEEFF"/>
            <w:tcMar>
              <w:top w:w="40" w:type="dxa"/>
              <w:left w:w="560" w:type="dxa"/>
              <w:bottom w:w="40" w:type="dxa"/>
              <w:right w:w="40" w:type="dxa"/>
            </w:tcMar>
            <w:vAlign w:val="center"/>
          </w:tcPr>
          <w:p w14:paraId="42A1303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Fixed</w:t>
            </w:r>
          </w:p>
        </w:tc>
        <w:tc>
          <w:tcPr>
            <w:tcW w:w="0" w:type="auto"/>
            <w:shd w:val="clear" w:color="auto" w:fill="CCEEFF"/>
            <w:tcMar>
              <w:top w:w="40" w:type="dxa"/>
              <w:left w:w="40" w:type="dxa"/>
              <w:bottom w:w="40" w:type="dxa"/>
              <w:right w:w="40" w:type="dxa"/>
            </w:tcMar>
            <w:vAlign w:val="bottom"/>
          </w:tcPr>
          <w:p w14:paraId="42A1303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42A1303B"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2023 - 2030</w:t>
            </w:r>
          </w:p>
        </w:tc>
        <w:tc>
          <w:tcPr>
            <w:tcW w:w="0" w:type="auto"/>
            <w:shd w:val="clear" w:color="auto" w:fill="CCEEFF"/>
            <w:tcMar>
              <w:top w:w="40" w:type="dxa"/>
              <w:left w:w="40" w:type="dxa"/>
              <w:bottom w:w="40" w:type="dxa"/>
              <w:right w:w="40" w:type="dxa"/>
            </w:tcMar>
            <w:vAlign w:val="bottom"/>
          </w:tcPr>
          <w:p w14:paraId="42A130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03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2,758</w:t>
            </w:r>
          </w:p>
        </w:tc>
        <w:tc>
          <w:tcPr>
            <w:tcW w:w="0" w:type="auto"/>
            <w:shd w:val="clear" w:color="auto" w:fill="CCEEFF"/>
            <w:vAlign w:val="bottom"/>
          </w:tcPr>
          <w:p w14:paraId="42A1303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03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42A13040"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3.3%</w:t>
            </w:r>
          </w:p>
        </w:tc>
        <w:tc>
          <w:tcPr>
            <w:tcW w:w="0" w:type="auto"/>
            <w:shd w:val="clear" w:color="auto" w:fill="CCEEFF"/>
            <w:tcMar>
              <w:top w:w="40" w:type="dxa"/>
              <w:left w:w="40" w:type="dxa"/>
              <w:bottom w:w="40" w:type="dxa"/>
              <w:right w:w="40" w:type="dxa"/>
            </w:tcMar>
            <w:vAlign w:val="bottom"/>
          </w:tcPr>
          <w:p w14:paraId="42A1304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04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2,870</w:t>
            </w:r>
          </w:p>
        </w:tc>
        <w:tc>
          <w:tcPr>
            <w:tcW w:w="0" w:type="auto"/>
            <w:shd w:val="clear" w:color="auto" w:fill="CCEEFF"/>
            <w:vAlign w:val="bottom"/>
          </w:tcPr>
          <w:p w14:paraId="42A1304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04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42A13045"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3.3%</w:t>
            </w:r>
          </w:p>
        </w:tc>
      </w:tr>
      <w:tr w:rsidR="00BB68E1" w14:paraId="42A13054" w14:textId="77777777">
        <w:tc>
          <w:tcPr>
            <w:tcW w:w="0" w:type="auto"/>
            <w:shd w:val="clear" w:color="auto" w:fill="auto"/>
            <w:tcMar>
              <w:top w:w="40" w:type="dxa"/>
              <w:left w:w="560" w:type="dxa"/>
              <w:bottom w:w="40" w:type="dxa"/>
              <w:right w:w="40" w:type="dxa"/>
            </w:tcMar>
            <w:vAlign w:val="center"/>
          </w:tcPr>
          <w:p w14:paraId="42A1304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Variable</w:t>
            </w:r>
          </w:p>
        </w:tc>
        <w:tc>
          <w:tcPr>
            <w:tcW w:w="0" w:type="auto"/>
            <w:shd w:val="clear" w:color="auto" w:fill="auto"/>
            <w:tcMar>
              <w:top w:w="40" w:type="dxa"/>
              <w:left w:w="40" w:type="dxa"/>
              <w:bottom w:w="40" w:type="dxa"/>
              <w:right w:w="40" w:type="dxa"/>
            </w:tcMar>
            <w:vAlign w:val="bottom"/>
          </w:tcPr>
          <w:p w14:paraId="42A1304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4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4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304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auto"/>
            <w:vAlign w:val="bottom"/>
          </w:tcPr>
          <w:p w14:paraId="42A1304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0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4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4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305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auto"/>
            <w:vAlign w:val="bottom"/>
          </w:tcPr>
          <w:p w14:paraId="42A1305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05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5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062" w14:textId="77777777">
        <w:tc>
          <w:tcPr>
            <w:tcW w:w="0" w:type="auto"/>
            <w:shd w:val="clear" w:color="auto" w:fill="CCEEFF"/>
            <w:tcMar>
              <w:top w:w="40" w:type="dxa"/>
              <w:left w:w="880" w:type="dxa"/>
              <w:bottom w:w="40" w:type="dxa"/>
              <w:right w:w="40" w:type="dxa"/>
            </w:tcMar>
            <w:vAlign w:val="center"/>
          </w:tcPr>
          <w:p w14:paraId="42A13055"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Euro denominated</w:t>
            </w:r>
          </w:p>
        </w:tc>
        <w:tc>
          <w:tcPr>
            <w:tcW w:w="0" w:type="auto"/>
            <w:shd w:val="clear" w:color="auto" w:fill="CCEEFF"/>
            <w:tcMar>
              <w:top w:w="40" w:type="dxa"/>
              <w:left w:w="40" w:type="dxa"/>
              <w:bottom w:w="40" w:type="dxa"/>
              <w:right w:w="40" w:type="dxa"/>
            </w:tcMar>
            <w:vAlign w:val="bottom"/>
          </w:tcPr>
          <w:p w14:paraId="42A1305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5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5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05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2,758</w:t>
            </w:r>
          </w:p>
        </w:tc>
        <w:tc>
          <w:tcPr>
            <w:tcW w:w="0" w:type="auto"/>
            <w:shd w:val="clear" w:color="auto" w:fill="CCEEFF"/>
            <w:vAlign w:val="bottom"/>
          </w:tcPr>
          <w:p w14:paraId="42A1305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05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5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5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05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2,870</w:t>
            </w:r>
          </w:p>
        </w:tc>
        <w:tc>
          <w:tcPr>
            <w:tcW w:w="0" w:type="auto"/>
            <w:shd w:val="clear" w:color="auto" w:fill="CCEEFF"/>
            <w:vAlign w:val="bottom"/>
          </w:tcPr>
          <w:p w14:paraId="42A1305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06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6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070" w14:textId="77777777">
        <w:tc>
          <w:tcPr>
            <w:tcW w:w="0" w:type="auto"/>
            <w:shd w:val="clear" w:color="auto" w:fill="auto"/>
            <w:tcMar>
              <w:top w:w="40" w:type="dxa"/>
              <w:left w:w="560" w:type="dxa"/>
              <w:bottom w:w="40" w:type="dxa"/>
              <w:right w:w="40" w:type="dxa"/>
            </w:tcMar>
            <w:vAlign w:val="center"/>
          </w:tcPr>
          <w:p w14:paraId="42A1306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Fixed</w:t>
            </w:r>
          </w:p>
        </w:tc>
        <w:tc>
          <w:tcPr>
            <w:tcW w:w="0" w:type="auto"/>
            <w:shd w:val="clear" w:color="auto" w:fill="auto"/>
            <w:tcMar>
              <w:top w:w="40" w:type="dxa"/>
              <w:left w:w="40" w:type="dxa"/>
              <w:bottom w:w="40" w:type="dxa"/>
              <w:right w:w="40" w:type="dxa"/>
            </w:tcMar>
            <w:vAlign w:val="bottom"/>
          </w:tcPr>
          <w:p w14:paraId="42A1306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2A13065"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2031 - 2039</w:t>
            </w:r>
          </w:p>
        </w:tc>
        <w:tc>
          <w:tcPr>
            <w:tcW w:w="0" w:type="auto"/>
            <w:shd w:val="clear" w:color="auto" w:fill="auto"/>
            <w:tcMar>
              <w:top w:w="40" w:type="dxa"/>
              <w:left w:w="40" w:type="dxa"/>
              <w:bottom w:w="40" w:type="dxa"/>
              <w:right w:w="40" w:type="dxa"/>
            </w:tcMar>
            <w:vAlign w:val="bottom"/>
          </w:tcPr>
          <w:p w14:paraId="42A1306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06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3,518</w:t>
            </w:r>
          </w:p>
        </w:tc>
        <w:tc>
          <w:tcPr>
            <w:tcW w:w="0" w:type="auto"/>
            <w:shd w:val="clear" w:color="auto" w:fill="auto"/>
            <w:vAlign w:val="bottom"/>
          </w:tcPr>
          <w:p w14:paraId="42A1306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06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2A1306A"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5.4%</w:t>
            </w:r>
          </w:p>
        </w:tc>
        <w:tc>
          <w:tcPr>
            <w:tcW w:w="0" w:type="auto"/>
            <w:shd w:val="clear" w:color="auto" w:fill="auto"/>
            <w:tcMar>
              <w:top w:w="40" w:type="dxa"/>
              <w:left w:w="40" w:type="dxa"/>
              <w:bottom w:w="40" w:type="dxa"/>
              <w:right w:w="40" w:type="dxa"/>
            </w:tcMar>
            <w:vAlign w:val="bottom"/>
          </w:tcPr>
          <w:p w14:paraId="42A1306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06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3,524</w:t>
            </w:r>
          </w:p>
        </w:tc>
        <w:tc>
          <w:tcPr>
            <w:tcW w:w="0" w:type="auto"/>
            <w:shd w:val="clear" w:color="auto" w:fill="auto"/>
            <w:vAlign w:val="bottom"/>
          </w:tcPr>
          <w:p w14:paraId="42A1306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0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2A1306F"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5.4%</w:t>
            </w:r>
          </w:p>
        </w:tc>
      </w:tr>
      <w:tr w:rsidR="00BB68E1" w14:paraId="42A1307E" w14:textId="77777777">
        <w:tc>
          <w:tcPr>
            <w:tcW w:w="0" w:type="auto"/>
            <w:shd w:val="clear" w:color="auto" w:fill="CCEEFF"/>
            <w:tcMar>
              <w:top w:w="40" w:type="dxa"/>
              <w:left w:w="560" w:type="dxa"/>
              <w:bottom w:w="40" w:type="dxa"/>
              <w:right w:w="40" w:type="dxa"/>
            </w:tcMar>
            <w:vAlign w:val="center"/>
          </w:tcPr>
          <w:p w14:paraId="42A1307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Variable</w:t>
            </w:r>
          </w:p>
        </w:tc>
        <w:tc>
          <w:tcPr>
            <w:tcW w:w="0" w:type="auto"/>
            <w:shd w:val="clear" w:color="auto" w:fill="CCEEFF"/>
            <w:tcMar>
              <w:top w:w="40" w:type="dxa"/>
              <w:left w:w="40" w:type="dxa"/>
              <w:bottom w:w="40" w:type="dxa"/>
              <w:right w:w="40" w:type="dxa"/>
            </w:tcMar>
            <w:vAlign w:val="bottom"/>
          </w:tcPr>
          <w:p w14:paraId="42A1307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7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7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07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42A1307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07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7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7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07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42A1307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0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7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08C" w14:textId="77777777">
        <w:tc>
          <w:tcPr>
            <w:tcW w:w="0" w:type="auto"/>
            <w:shd w:val="clear" w:color="auto" w:fill="auto"/>
            <w:tcMar>
              <w:top w:w="40" w:type="dxa"/>
              <w:left w:w="880" w:type="dxa"/>
              <w:bottom w:w="40" w:type="dxa"/>
              <w:right w:w="40" w:type="dxa"/>
            </w:tcMar>
            <w:vAlign w:val="center"/>
          </w:tcPr>
          <w:p w14:paraId="42A1307F"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Sterling denominated</w:t>
            </w:r>
          </w:p>
        </w:tc>
        <w:tc>
          <w:tcPr>
            <w:tcW w:w="0" w:type="auto"/>
            <w:shd w:val="clear" w:color="auto" w:fill="auto"/>
            <w:tcMar>
              <w:top w:w="40" w:type="dxa"/>
              <w:left w:w="40" w:type="dxa"/>
              <w:bottom w:w="40" w:type="dxa"/>
              <w:right w:w="40" w:type="dxa"/>
            </w:tcMar>
            <w:vAlign w:val="bottom"/>
          </w:tcPr>
          <w:p w14:paraId="42A1308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8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08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3,518</w:t>
            </w:r>
          </w:p>
        </w:tc>
        <w:tc>
          <w:tcPr>
            <w:tcW w:w="0" w:type="auto"/>
            <w:shd w:val="clear" w:color="auto" w:fill="auto"/>
            <w:vAlign w:val="bottom"/>
          </w:tcPr>
          <w:p w14:paraId="42A1308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08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08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3,524</w:t>
            </w:r>
          </w:p>
        </w:tc>
        <w:tc>
          <w:tcPr>
            <w:tcW w:w="0" w:type="auto"/>
            <w:shd w:val="clear" w:color="auto" w:fill="auto"/>
            <w:vAlign w:val="bottom"/>
          </w:tcPr>
          <w:p w14:paraId="42A1308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08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8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09A" w14:textId="77777777">
        <w:tc>
          <w:tcPr>
            <w:tcW w:w="0" w:type="auto"/>
            <w:shd w:val="clear" w:color="auto" w:fill="CCEEFF"/>
            <w:tcMar>
              <w:top w:w="40" w:type="dxa"/>
              <w:left w:w="560" w:type="dxa"/>
              <w:bottom w:w="40" w:type="dxa"/>
              <w:right w:w="40" w:type="dxa"/>
            </w:tcMar>
            <w:vAlign w:val="center"/>
          </w:tcPr>
          <w:p w14:paraId="42A1308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Fixed</w:t>
            </w:r>
          </w:p>
        </w:tc>
        <w:tc>
          <w:tcPr>
            <w:tcW w:w="0" w:type="auto"/>
            <w:shd w:val="clear" w:color="auto" w:fill="CCEEFF"/>
            <w:tcMar>
              <w:top w:w="40" w:type="dxa"/>
              <w:left w:w="40" w:type="dxa"/>
              <w:bottom w:w="40" w:type="dxa"/>
              <w:right w:w="40" w:type="dxa"/>
            </w:tcMar>
            <w:vAlign w:val="bottom"/>
          </w:tcPr>
          <w:p w14:paraId="42A1308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42A1308F"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2021 - 2028</w:t>
            </w:r>
          </w:p>
        </w:tc>
        <w:tc>
          <w:tcPr>
            <w:tcW w:w="0" w:type="auto"/>
            <w:shd w:val="clear" w:color="auto" w:fill="CCEEFF"/>
            <w:tcMar>
              <w:top w:w="40" w:type="dxa"/>
              <w:left w:w="40" w:type="dxa"/>
              <w:bottom w:w="40" w:type="dxa"/>
              <w:right w:w="40" w:type="dxa"/>
            </w:tcMar>
            <w:vAlign w:val="bottom"/>
          </w:tcPr>
          <w:p w14:paraId="42A1309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09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1,652</w:t>
            </w:r>
          </w:p>
        </w:tc>
        <w:tc>
          <w:tcPr>
            <w:tcW w:w="0" w:type="auto"/>
            <w:shd w:val="clear" w:color="auto" w:fill="CCEEFF"/>
            <w:vAlign w:val="bottom"/>
          </w:tcPr>
          <w:p w14:paraId="42A1309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09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42A13094"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0.4%</w:t>
            </w:r>
          </w:p>
        </w:tc>
        <w:tc>
          <w:tcPr>
            <w:tcW w:w="0" w:type="auto"/>
            <w:shd w:val="clear" w:color="auto" w:fill="CCEEFF"/>
            <w:tcMar>
              <w:top w:w="40" w:type="dxa"/>
              <w:left w:w="40" w:type="dxa"/>
              <w:bottom w:w="40" w:type="dxa"/>
              <w:right w:w="40" w:type="dxa"/>
            </w:tcMar>
            <w:vAlign w:val="bottom"/>
          </w:tcPr>
          <w:p w14:paraId="42A1309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09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1,651</w:t>
            </w:r>
          </w:p>
        </w:tc>
        <w:tc>
          <w:tcPr>
            <w:tcW w:w="0" w:type="auto"/>
            <w:shd w:val="clear" w:color="auto" w:fill="CCEEFF"/>
            <w:vAlign w:val="bottom"/>
          </w:tcPr>
          <w:p w14:paraId="42A1309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09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42A13099" w14:textId="77777777" w:rsidR="00BB68E1" w:rsidRDefault="005D2D5E">
            <w:pPr>
              <w:jc w:val="center"/>
              <w:textAlignment w:val="center"/>
              <w:rPr>
                <w:rFonts w:ascii="Times New Roman" w:hAnsi="Times New Roman"/>
                <w:sz w:val="16"/>
                <w:szCs w:val="16"/>
              </w:rPr>
            </w:pPr>
            <w:r>
              <w:rPr>
                <w:rFonts w:ascii="Times New Roman" w:eastAsia="宋体" w:hAnsi="Times New Roman"/>
                <w:sz w:val="16"/>
                <w:szCs w:val="16"/>
              </w:rPr>
              <w:t>0.4%</w:t>
            </w:r>
          </w:p>
        </w:tc>
      </w:tr>
      <w:tr w:rsidR="00BB68E1" w14:paraId="42A130A8" w14:textId="77777777">
        <w:tc>
          <w:tcPr>
            <w:tcW w:w="0" w:type="auto"/>
            <w:shd w:val="clear" w:color="auto" w:fill="auto"/>
            <w:tcMar>
              <w:top w:w="40" w:type="dxa"/>
              <w:left w:w="560" w:type="dxa"/>
              <w:bottom w:w="40" w:type="dxa"/>
              <w:right w:w="40" w:type="dxa"/>
            </w:tcMar>
            <w:vAlign w:val="center"/>
          </w:tcPr>
          <w:p w14:paraId="42A1309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Variable</w:t>
            </w:r>
          </w:p>
        </w:tc>
        <w:tc>
          <w:tcPr>
            <w:tcW w:w="0" w:type="auto"/>
            <w:shd w:val="clear" w:color="auto" w:fill="auto"/>
            <w:tcMar>
              <w:top w:w="40" w:type="dxa"/>
              <w:left w:w="40" w:type="dxa"/>
              <w:bottom w:w="40" w:type="dxa"/>
              <w:right w:w="40" w:type="dxa"/>
            </w:tcMar>
            <w:vAlign w:val="bottom"/>
          </w:tcPr>
          <w:p w14:paraId="42A1309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9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9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309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auto"/>
            <w:vAlign w:val="bottom"/>
          </w:tcPr>
          <w:p w14:paraId="42A130A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0A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A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A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30A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auto"/>
            <w:vAlign w:val="bottom"/>
          </w:tcPr>
          <w:p w14:paraId="42A130A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0A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A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0B6" w14:textId="77777777">
        <w:tc>
          <w:tcPr>
            <w:tcW w:w="0" w:type="auto"/>
            <w:shd w:val="clear" w:color="auto" w:fill="CCEEFF"/>
            <w:tcMar>
              <w:top w:w="40" w:type="dxa"/>
              <w:left w:w="880" w:type="dxa"/>
              <w:bottom w:w="40" w:type="dxa"/>
              <w:right w:w="40" w:type="dxa"/>
            </w:tcMar>
            <w:vAlign w:val="center"/>
          </w:tcPr>
          <w:p w14:paraId="42A130A9"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 xml:space="preserve">Total Yen </w:t>
            </w:r>
            <w:r>
              <w:rPr>
                <w:rFonts w:ascii="Times New Roman" w:eastAsia="宋体" w:hAnsi="Times New Roman"/>
                <w:b/>
                <w:bCs/>
                <w:sz w:val="16"/>
                <w:szCs w:val="16"/>
              </w:rPr>
              <w:t>denominated</w:t>
            </w:r>
          </w:p>
        </w:tc>
        <w:tc>
          <w:tcPr>
            <w:tcW w:w="0" w:type="auto"/>
            <w:shd w:val="clear" w:color="auto" w:fill="CCEEFF"/>
            <w:tcMar>
              <w:top w:w="40" w:type="dxa"/>
              <w:left w:w="40" w:type="dxa"/>
              <w:bottom w:w="40" w:type="dxa"/>
              <w:right w:w="40" w:type="dxa"/>
            </w:tcMar>
            <w:vAlign w:val="bottom"/>
          </w:tcPr>
          <w:p w14:paraId="42A130A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A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A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0A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1,652</w:t>
            </w:r>
          </w:p>
        </w:tc>
        <w:tc>
          <w:tcPr>
            <w:tcW w:w="0" w:type="auto"/>
            <w:tcBorders>
              <w:bottom w:val="single" w:sz="8" w:space="0" w:color="000000"/>
            </w:tcBorders>
            <w:shd w:val="clear" w:color="auto" w:fill="CCEEFF"/>
            <w:vAlign w:val="bottom"/>
          </w:tcPr>
          <w:p w14:paraId="42A130A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0A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B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B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0B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1,651</w:t>
            </w:r>
          </w:p>
        </w:tc>
        <w:tc>
          <w:tcPr>
            <w:tcW w:w="0" w:type="auto"/>
            <w:tcBorders>
              <w:bottom w:val="single" w:sz="8" w:space="0" w:color="000000"/>
            </w:tcBorders>
            <w:shd w:val="clear" w:color="auto" w:fill="CCEEFF"/>
            <w:vAlign w:val="bottom"/>
          </w:tcPr>
          <w:p w14:paraId="42A130B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0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B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0C4" w14:textId="77777777">
        <w:tc>
          <w:tcPr>
            <w:tcW w:w="0" w:type="auto"/>
            <w:shd w:val="clear" w:color="auto" w:fill="auto"/>
            <w:tcMar>
              <w:top w:w="40" w:type="dxa"/>
              <w:left w:w="40" w:type="dxa"/>
              <w:bottom w:w="40" w:type="dxa"/>
              <w:right w:w="40" w:type="dxa"/>
            </w:tcMar>
            <w:vAlign w:val="center"/>
          </w:tcPr>
          <w:p w14:paraId="42A130B7"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unsecured debt</w:t>
            </w:r>
          </w:p>
        </w:tc>
        <w:tc>
          <w:tcPr>
            <w:tcW w:w="0" w:type="auto"/>
            <w:shd w:val="clear" w:color="auto" w:fill="auto"/>
            <w:tcMar>
              <w:top w:w="40" w:type="dxa"/>
              <w:left w:w="40" w:type="dxa"/>
              <w:bottom w:w="40" w:type="dxa"/>
              <w:right w:w="40" w:type="dxa"/>
            </w:tcMar>
            <w:vAlign w:val="bottom"/>
          </w:tcPr>
          <w:p w14:paraId="42A130B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B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B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0B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49,180</w:t>
            </w:r>
          </w:p>
        </w:tc>
        <w:tc>
          <w:tcPr>
            <w:tcW w:w="0" w:type="auto"/>
            <w:shd w:val="clear" w:color="auto" w:fill="auto"/>
            <w:vAlign w:val="bottom"/>
          </w:tcPr>
          <w:p w14:paraId="42A130B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0B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B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0C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45,661</w:t>
            </w:r>
          </w:p>
        </w:tc>
        <w:tc>
          <w:tcPr>
            <w:tcW w:w="0" w:type="auto"/>
            <w:shd w:val="clear" w:color="auto" w:fill="auto"/>
            <w:vAlign w:val="bottom"/>
          </w:tcPr>
          <w:p w14:paraId="42A130C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0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C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0D2" w14:textId="77777777">
        <w:tc>
          <w:tcPr>
            <w:tcW w:w="0" w:type="auto"/>
            <w:shd w:val="clear" w:color="auto" w:fill="CCEEFF"/>
            <w:tcMar>
              <w:top w:w="40" w:type="dxa"/>
              <w:left w:w="40" w:type="dxa"/>
              <w:bottom w:w="40" w:type="dxa"/>
              <w:right w:w="40" w:type="dxa"/>
            </w:tcMar>
            <w:vAlign w:val="bottom"/>
          </w:tcPr>
          <w:p w14:paraId="42A130C5"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Total other</w:t>
            </w:r>
            <w:r>
              <w:rPr>
                <w:rFonts w:ascii="Times New Roman" w:eastAsia="宋体" w:hAnsi="Times New Roman"/>
                <w:b/>
                <w:bCs/>
                <w:sz w:val="10"/>
                <w:szCs w:val="10"/>
              </w:rPr>
              <w:t>(2)</w:t>
            </w:r>
          </w:p>
        </w:tc>
        <w:tc>
          <w:tcPr>
            <w:tcW w:w="0" w:type="auto"/>
            <w:shd w:val="clear" w:color="auto" w:fill="CCEEFF"/>
            <w:tcMar>
              <w:top w:w="40" w:type="dxa"/>
              <w:left w:w="40" w:type="dxa"/>
              <w:bottom w:w="40" w:type="dxa"/>
              <w:right w:w="40" w:type="dxa"/>
            </w:tcMar>
            <w:vAlign w:val="bottom"/>
          </w:tcPr>
          <w:p w14:paraId="42A130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C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0C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(104</w:t>
            </w:r>
          </w:p>
        </w:tc>
        <w:tc>
          <w:tcPr>
            <w:tcW w:w="0" w:type="auto"/>
            <w:tcBorders>
              <w:bottom w:val="single" w:sz="8" w:space="0" w:color="000000"/>
            </w:tcBorders>
            <w:shd w:val="clear" w:color="auto" w:fill="CCEEFF"/>
            <w:tcMar>
              <w:top w:w="40" w:type="dxa"/>
              <w:bottom w:w="40" w:type="dxa"/>
              <w:right w:w="40" w:type="dxa"/>
            </w:tcMar>
            <w:vAlign w:val="center"/>
          </w:tcPr>
          <w:p w14:paraId="42A130C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0C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C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0C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(265</w:t>
            </w:r>
          </w:p>
        </w:tc>
        <w:tc>
          <w:tcPr>
            <w:tcW w:w="0" w:type="auto"/>
            <w:tcBorders>
              <w:bottom w:val="single" w:sz="8" w:space="0" w:color="000000"/>
            </w:tcBorders>
            <w:shd w:val="clear" w:color="auto" w:fill="CCEEFF"/>
            <w:tcMar>
              <w:top w:w="40" w:type="dxa"/>
              <w:bottom w:w="40" w:type="dxa"/>
              <w:right w:w="40" w:type="dxa"/>
            </w:tcMar>
            <w:vAlign w:val="center"/>
          </w:tcPr>
          <w:p w14:paraId="42A130C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0D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D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0E0" w14:textId="77777777">
        <w:tc>
          <w:tcPr>
            <w:tcW w:w="0" w:type="auto"/>
            <w:shd w:val="clear" w:color="auto" w:fill="auto"/>
            <w:tcMar>
              <w:top w:w="40" w:type="dxa"/>
              <w:left w:w="40" w:type="dxa"/>
              <w:bottom w:w="40" w:type="dxa"/>
              <w:right w:w="40" w:type="dxa"/>
            </w:tcMar>
            <w:vAlign w:val="center"/>
          </w:tcPr>
          <w:p w14:paraId="42A130D3"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debt</w:t>
            </w:r>
          </w:p>
        </w:tc>
        <w:tc>
          <w:tcPr>
            <w:tcW w:w="0" w:type="auto"/>
            <w:shd w:val="clear" w:color="auto" w:fill="auto"/>
            <w:tcMar>
              <w:top w:w="40" w:type="dxa"/>
              <w:left w:w="40" w:type="dxa"/>
              <w:bottom w:w="40" w:type="dxa"/>
              <w:right w:w="40" w:type="dxa"/>
            </w:tcMar>
            <w:vAlign w:val="bottom"/>
          </w:tcPr>
          <w:p w14:paraId="42A130D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D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0D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49,076</w:t>
            </w:r>
          </w:p>
        </w:tc>
        <w:tc>
          <w:tcPr>
            <w:tcW w:w="0" w:type="auto"/>
            <w:shd w:val="clear" w:color="auto" w:fill="auto"/>
            <w:vAlign w:val="bottom"/>
          </w:tcPr>
          <w:p w14:paraId="42A130D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0D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D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D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0D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45,396</w:t>
            </w:r>
          </w:p>
        </w:tc>
        <w:tc>
          <w:tcPr>
            <w:tcW w:w="0" w:type="auto"/>
            <w:shd w:val="clear" w:color="auto" w:fill="auto"/>
            <w:vAlign w:val="bottom"/>
          </w:tcPr>
          <w:p w14:paraId="42A130D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0D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D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0EE" w14:textId="77777777">
        <w:tc>
          <w:tcPr>
            <w:tcW w:w="0" w:type="auto"/>
            <w:shd w:val="clear" w:color="auto" w:fill="CCEEFF"/>
            <w:tcMar>
              <w:top w:w="40" w:type="dxa"/>
              <w:left w:w="40" w:type="dxa"/>
              <w:bottom w:w="40" w:type="dxa"/>
              <w:right w:w="40" w:type="dxa"/>
            </w:tcMar>
            <w:vAlign w:val="center"/>
          </w:tcPr>
          <w:p w14:paraId="42A130E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Less amounts due within one year</w:t>
            </w:r>
          </w:p>
        </w:tc>
        <w:tc>
          <w:tcPr>
            <w:tcW w:w="0" w:type="auto"/>
            <w:shd w:val="clear" w:color="auto" w:fill="CCEEFF"/>
            <w:tcMar>
              <w:top w:w="40" w:type="dxa"/>
              <w:left w:w="40" w:type="dxa"/>
              <w:bottom w:w="40" w:type="dxa"/>
              <w:right w:w="40" w:type="dxa"/>
            </w:tcMar>
            <w:vAlign w:val="bottom"/>
          </w:tcPr>
          <w:p w14:paraId="42A130E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E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E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0E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(5,362</w:t>
            </w:r>
          </w:p>
        </w:tc>
        <w:tc>
          <w:tcPr>
            <w:tcW w:w="0" w:type="auto"/>
            <w:shd w:val="clear" w:color="auto" w:fill="CCEEFF"/>
            <w:tcMar>
              <w:top w:w="40" w:type="dxa"/>
              <w:bottom w:w="40" w:type="dxa"/>
              <w:right w:w="40" w:type="dxa"/>
            </w:tcMar>
            <w:vAlign w:val="center"/>
          </w:tcPr>
          <w:p w14:paraId="42A130E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0E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E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E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0E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(1,876</w:t>
            </w:r>
          </w:p>
        </w:tc>
        <w:tc>
          <w:tcPr>
            <w:tcW w:w="0" w:type="auto"/>
            <w:shd w:val="clear" w:color="auto" w:fill="CCEEFF"/>
            <w:tcMar>
              <w:top w:w="40" w:type="dxa"/>
              <w:bottom w:w="40" w:type="dxa"/>
              <w:right w:w="40" w:type="dxa"/>
            </w:tcMar>
            <w:vAlign w:val="center"/>
          </w:tcPr>
          <w:p w14:paraId="42A130E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0E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0E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0FE" w14:textId="77777777">
        <w:tc>
          <w:tcPr>
            <w:tcW w:w="0" w:type="auto"/>
            <w:shd w:val="clear" w:color="auto" w:fill="auto"/>
            <w:tcMar>
              <w:top w:w="40" w:type="dxa"/>
              <w:left w:w="40" w:type="dxa"/>
              <w:bottom w:w="40" w:type="dxa"/>
              <w:right w:w="40" w:type="dxa"/>
            </w:tcMar>
            <w:vAlign w:val="center"/>
          </w:tcPr>
          <w:p w14:paraId="42A130EF"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Long-term debt</w:t>
            </w:r>
          </w:p>
        </w:tc>
        <w:tc>
          <w:tcPr>
            <w:tcW w:w="0" w:type="auto"/>
            <w:shd w:val="clear" w:color="auto" w:fill="auto"/>
            <w:tcMar>
              <w:top w:w="40" w:type="dxa"/>
              <w:left w:w="40" w:type="dxa"/>
              <w:bottom w:w="40" w:type="dxa"/>
              <w:right w:w="40" w:type="dxa"/>
            </w:tcMar>
            <w:vAlign w:val="bottom"/>
          </w:tcPr>
          <w:p w14:paraId="42A130F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F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F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30F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30F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43,714</w:t>
            </w:r>
          </w:p>
        </w:tc>
        <w:tc>
          <w:tcPr>
            <w:tcW w:w="0" w:type="auto"/>
            <w:tcBorders>
              <w:top w:val="single" w:sz="8" w:space="0" w:color="000000"/>
              <w:bottom w:val="double" w:sz="6" w:space="0" w:color="000000"/>
            </w:tcBorders>
            <w:shd w:val="clear" w:color="auto" w:fill="auto"/>
            <w:vAlign w:val="bottom"/>
          </w:tcPr>
          <w:p w14:paraId="42A130F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0F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F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F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30F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30F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43,520</w:t>
            </w:r>
          </w:p>
        </w:tc>
        <w:tc>
          <w:tcPr>
            <w:tcW w:w="0" w:type="auto"/>
            <w:tcBorders>
              <w:top w:val="single" w:sz="8" w:space="0" w:color="000000"/>
              <w:bottom w:val="double" w:sz="6" w:space="0" w:color="000000"/>
            </w:tcBorders>
            <w:shd w:val="clear" w:color="auto" w:fill="auto"/>
            <w:vAlign w:val="bottom"/>
          </w:tcPr>
          <w:p w14:paraId="42A130F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0F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0F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bl>
    <w:p w14:paraId="42A130FF"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BB68E1" w14:paraId="42A13102" w14:textId="77777777">
        <w:trPr>
          <w:tblCellSpacing w:w="0" w:type="dxa"/>
        </w:trPr>
        <w:tc>
          <w:tcPr>
            <w:tcW w:w="480" w:type="dxa"/>
            <w:shd w:val="clear" w:color="auto" w:fill="auto"/>
            <w:vAlign w:val="center"/>
          </w:tcPr>
          <w:p w14:paraId="42A13100" w14:textId="77777777" w:rsidR="00BB68E1" w:rsidRDefault="00BB68E1">
            <w:pPr>
              <w:rPr>
                <w:rFonts w:ascii="Times New Roman" w:hAnsi="Times New Roman"/>
                <w:sz w:val="20"/>
                <w:szCs w:val="20"/>
              </w:rPr>
            </w:pPr>
          </w:p>
        </w:tc>
        <w:tc>
          <w:tcPr>
            <w:tcW w:w="0" w:type="auto"/>
            <w:shd w:val="clear" w:color="auto" w:fill="auto"/>
            <w:vAlign w:val="center"/>
          </w:tcPr>
          <w:p w14:paraId="42A13101" w14:textId="77777777" w:rsidR="00BB68E1" w:rsidRDefault="00BB68E1">
            <w:pPr>
              <w:rPr>
                <w:rFonts w:ascii="Times New Roman" w:hAnsi="Times New Roman"/>
                <w:sz w:val="20"/>
                <w:szCs w:val="20"/>
              </w:rPr>
            </w:pPr>
          </w:p>
        </w:tc>
      </w:tr>
      <w:tr w:rsidR="00BB68E1" w14:paraId="42A13105" w14:textId="77777777">
        <w:trPr>
          <w:tblCellSpacing w:w="0" w:type="dxa"/>
        </w:trPr>
        <w:tc>
          <w:tcPr>
            <w:tcW w:w="0" w:type="auto"/>
            <w:shd w:val="clear" w:color="auto" w:fill="auto"/>
          </w:tcPr>
          <w:p w14:paraId="42A13103"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(1)</w:t>
            </w:r>
          </w:p>
        </w:tc>
        <w:tc>
          <w:tcPr>
            <w:tcW w:w="0" w:type="auto"/>
            <w:shd w:val="clear" w:color="auto" w:fill="auto"/>
          </w:tcPr>
          <w:p w14:paraId="42A13104"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 xml:space="preserve">The average rate represents the weighted-average stated rate for each corresponding debt category, based on year-end balances and year-end interest rates. </w:t>
            </w:r>
          </w:p>
        </w:tc>
      </w:tr>
    </w:tbl>
    <w:p w14:paraId="42A13106"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5989"/>
      </w:tblGrid>
      <w:tr w:rsidR="00BB68E1" w14:paraId="42A13109" w14:textId="77777777">
        <w:trPr>
          <w:tblCellSpacing w:w="0" w:type="dxa"/>
        </w:trPr>
        <w:tc>
          <w:tcPr>
            <w:tcW w:w="480" w:type="dxa"/>
            <w:shd w:val="clear" w:color="auto" w:fill="auto"/>
            <w:vAlign w:val="center"/>
          </w:tcPr>
          <w:p w14:paraId="42A13107" w14:textId="77777777" w:rsidR="00BB68E1" w:rsidRDefault="00BB68E1">
            <w:pPr>
              <w:rPr>
                <w:rFonts w:ascii="Times New Roman" w:hAnsi="Times New Roman"/>
                <w:sz w:val="20"/>
                <w:szCs w:val="20"/>
              </w:rPr>
            </w:pPr>
          </w:p>
        </w:tc>
        <w:tc>
          <w:tcPr>
            <w:tcW w:w="0" w:type="auto"/>
            <w:shd w:val="clear" w:color="auto" w:fill="auto"/>
            <w:vAlign w:val="center"/>
          </w:tcPr>
          <w:p w14:paraId="42A13108" w14:textId="77777777" w:rsidR="00BB68E1" w:rsidRDefault="00BB68E1">
            <w:pPr>
              <w:rPr>
                <w:rFonts w:ascii="Times New Roman" w:hAnsi="Times New Roman"/>
                <w:sz w:val="20"/>
                <w:szCs w:val="20"/>
              </w:rPr>
            </w:pPr>
          </w:p>
        </w:tc>
      </w:tr>
      <w:tr w:rsidR="00BB68E1" w14:paraId="42A1310C" w14:textId="77777777">
        <w:trPr>
          <w:tblCellSpacing w:w="0" w:type="dxa"/>
        </w:trPr>
        <w:tc>
          <w:tcPr>
            <w:tcW w:w="0" w:type="auto"/>
            <w:shd w:val="clear" w:color="auto" w:fill="auto"/>
          </w:tcPr>
          <w:p w14:paraId="42A1310A"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(2)</w:t>
            </w:r>
          </w:p>
        </w:tc>
        <w:tc>
          <w:tcPr>
            <w:tcW w:w="0" w:type="auto"/>
            <w:shd w:val="clear" w:color="auto" w:fill="auto"/>
          </w:tcPr>
          <w:p w14:paraId="42A1310B"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 xml:space="preserve">Includes deferred loan costs, discounts, fair value hedges, foreign-held debt and secured debt. </w:t>
            </w:r>
          </w:p>
        </w:tc>
      </w:tr>
    </w:tbl>
    <w:p w14:paraId="42A1310D" w14:textId="77777777" w:rsidR="00BB68E1" w:rsidRDefault="00BB68E1">
      <w:pPr>
        <w:spacing w:line="288" w:lineRule="auto"/>
        <w:rPr>
          <w:rFonts w:ascii="Times New Roman" w:hAnsi="Times New Roman"/>
          <w:sz w:val="20"/>
          <w:szCs w:val="20"/>
        </w:rPr>
      </w:pPr>
    </w:p>
    <w:p w14:paraId="42A1310E" w14:textId="77777777" w:rsidR="00BB68E1" w:rsidRDefault="00BB68E1">
      <w:pPr>
        <w:rPr>
          <w:rFonts w:ascii="Times New Roman" w:hAnsi="Times New Roman"/>
          <w:sz w:val="20"/>
          <w:szCs w:val="20"/>
        </w:rPr>
      </w:pPr>
    </w:p>
    <w:p w14:paraId="42A1310F"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64</w:t>
      </w:r>
    </w:p>
    <w:p w14:paraId="42A13110" w14:textId="77777777" w:rsidR="00BB68E1" w:rsidRDefault="00BB68E1">
      <w:pPr>
        <w:spacing w:line="288" w:lineRule="auto"/>
        <w:jc w:val="center"/>
        <w:rPr>
          <w:rFonts w:ascii="Times New Roman" w:hAnsi="Times New Roman"/>
          <w:sz w:val="20"/>
          <w:szCs w:val="20"/>
        </w:rPr>
      </w:pPr>
    </w:p>
    <w:p w14:paraId="42A13111" w14:textId="77777777" w:rsidR="00BB68E1" w:rsidRDefault="005D2D5E">
      <w:r>
        <w:rPr>
          <w:rFonts w:ascii="Times New Roman" w:hAnsi="Times New Roman"/>
          <w:sz w:val="20"/>
          <w:szCs w:val="20"/>
        </w:rPr>
        <w:lastRenderedPageBreak/>
        <w:pict w14:anchorId="42A142B7">
          <v:rect id="_x0000_i1088" style="width:415.3pt;height:1.5pt" o:hralign="center" o:hrstd="t" o:hr="t" fillcolor="#a0a0a0" stroked="f"/>
        </w:pict>
      </w:r>
    </w:p>
    <w:p w14:paraId="42A13112" w14:textId="77777777" w:rsidR="00BB68E1" w:rsidRDefault="00BB68E1">
      <w:pPr>
        <w:spacing w:line="288" w:lineRule="auto"/>
        <w:rPr>
          <w:rFonts w:ascii="Times New Roman" w:hAnsi="Times New Roman"/>
          <w:sz w:val="20"/>
          <w:szCs w:val="20"/>
        </w:rPr>
      </w:pPr>
    </w:p>
    <w:p w14:paraId="42A13113" w14:textId="77777777" w:rsidR="00BB68E1" w:rsidRDefault="00BB68E1">
      <w:pPr>
        <w:rPr>
          <w:rFonts w:ascii="Times New Roman" w:hAnsi="Times New Roman"/>
          <w:sz w:val="20"/>
          <w:szCs w:val="20"/>
        </w:rPr>
      </w:pPr>
    </w:p>
    <w:p w14:paraId="42A1311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Annual maturities of long-term debt during the next five years and thereafter are as follows:</w:t>
      </w:r>
    </w:p>
    <w:tbl>
      <w:tblPr>
        <w:tblW w:w="5000" w:type="pct"/>
        <w:jc w:val="center"/>
        <w:tblCellMar>
          <w:left w:w="0" w:type="dxa"/>
          <w:right w:w="0" w:type="dxa"/>
        </w:tblCellMar>
        <w:tblLook w:val="04A0" w:firstRow="1" w:lastRow="0" w:firstColumn="1" w:lastColumn="0" w:noHBand="0" w:noVBand="1"/>
      </w:tblPr>
      <w:tblGrid>
        <w:gridCol w:w="7030"/>
        <w:gridCol w:w="130"/>
        <w:gridCol w:w="122"/>
        <w:gridCol w:w="967"/>
        <w:gridCol w:w="57"/>
      </w:tblGrid>
      <w:tr w:rsidR="00BB68E1" w14:paraId="42A13116" w14:textId="77777777">
        <w:trPr>
          <w:jc w:val="center"/>
        </w:trPr>
        <w:tc>
          <w:tcPr>
            <w:tcW w:w="0" w:type="auto"/>
            <w:gridSpan w:val="5"/>
            <w:shd w:val="clear" w:color="auto" w:fill="auto"/>
            <w:vAlign w:val="center"/>
          </w:tcPr>
          <w:p w14:paraId="42A13115" w14:textId="77777777" w:rsidR="00BB68E1" w:rsidRDefault="00BB68E1">
            <w:pPr>
              <w:rPr>
                <w:rFonts w:ascii="Times New Roman" w:hAnsi="Times New Roman"/>
                <w:sz w:val="20"/>
                <w:szCs w:val="20"/>
              </w:rPr>
            </w:pPr>
          </w:p>
        </w:tc>
      </w:tr>
      <w:tr w:rsidR="00BB68E1" w14:paraId="42A1311C" w14:textId="77777777">
        <w:trPr>
          <w:jc w:val="center"/>
        </w:trPr>
        <w:tc>
          <w:tcPr>
            <w:tcW w:w="4250" w:type="pct"/>
            <w:shd w:val="clear" w:color="auto" w:fill="auto"/>
            <w:vAlign w:val="center"/>
          </w:tcPr>
          <w:p w14:paraId="42A13117" w14:textId="77777777" w:rsidR="00BB68E1" w:rsidRDefault="00BB68E1">
            <w:pPr>
              <w:rPr>
                <w:rFonts w:ascii="Times New Roman" w:hAnsi="Times New Roman"/>
                <w:sz w:val="20"/>
                <w:szCs w:val="20"/>
              </w:rPr>
            </w:pPr>
          </w:p>
        </w:tc>
        <w:tc>
          <w:tcPr>
            <w:tcW w:w="50" w:type="pct"/>
            <w:shd w:val="clear" w:color="auto" w:fill="auto"/>
            <w:vAlign w:val="center"/>
          </w:tcPr>
          <w:p w14:paraId="42A13118" w14:textId="77777777" w:rsidR="00BB68E1" w:rsidRDefault="00BB68E1">
            <w:pPr>
              <w:rPr>
                <w:rFonts w:ascii="Times New Roman" w:hAnsi="Times New Roman"/>
                <w:sz w:val="20"/>
                <w:szCs w:val="20"/>
              </w:rPr>
            </w:pPr>
          </w:p>
        </w:tc>
        <w:tc>
          <w:tcPr>
            <w:tcW w:w="50" w:type="pct"/>
            <w:shd w:val="clear" w:color="auto" w:fill="auto"/>
            <w:vAlign w:val="center"/>
          </w:tcPr>
          <w:p w14:paraId="42A13119" w14:textId="77777777" w:rsidR="00BB68E1" w:rsidRDefault="00BB68E1">
            <w:pPr>
              <w:rPr>
                <w:rFonts w:ascii="Times New Roman" w:hAnsi="Times New Roman"/>
                <w:sz w:val="20"/>
                <w:szCs w:val="20"/>
              </w:rPr>
            </w:pPr>
          </w:p>
        </w:tc>
        <w:tc>
          <w:tcPr>
            <w:tcW w:w="600" w:type="pct"/>
            <w:shd w:val="clear" w:color="auto" w:fill="auto"/>
            <w:vAlign w:val="center"/>
          </w:tcPr>
          <w:p w14:paraId="42A1311A" w14:textId="77777777" w:rsidR="00BB68E1" w:rsidRDefault="00BB68E1">
            <w:pPr>
              <w:rPr>
                <w:rFonts w:ascii="Times New Roman" w:hAnsi="Times New Roman"/>
                <w:sz w:val="20"/>
                <w:szCs w:val="20"/>
              </w:rPr>
            </w:pPr>
          </w:p>
        </w:tc>
        <w:tc>
          <w:tcPr>
            <w:tcW w:w="50" w:type="pct"/>
            <w:shd w:val="clear" w:color="auto" w:fill="auto"/>
            <w:vAlign w:val="center"/>
          </w:tcPr>
          <w:p w14:paraId="42A1311B" w14:textId="77777777" w:rsidR="00BB68E1" w:rsidRDefault="00BB68E1">
            <w:pPr>
              <w:rPr>
                <w:rFonts w:ascii="Times New Roman" w:hAnsi="Times New Roman"/>
                <w:sz w:val="20"/>
                <w:szCs w:val="20"/>
              </w:rPr>
            </w:pPr>
          </w:p>
        </w:tc>
      </w:tr>
      <w:tr w:rsidR="00BB68E1" w14:paraId="42A13120" w14:textId="77777777">
        <w:trPr>
          <w:jc w:val="center"/>
        </w:trPr>
        <w:tc>
          <w:tcPr>
            <w:tcW w:w="0" w:type="auto"/>
            <w:shd w:val="clear" w:color="auto" w:fill="auto"/>
            <w:tcMar>
              <w:top w:w="40" w:type="dxa"/>
              <w:left w:w="40" w:type="dxa"/>
              <w:bottom w:w="40" w:type="dxa"/>
              <w:right w:w="40" w:type="dxa"/>
            </w:tcMar>
            <w:vAlign w:val="bottom"/>
          </w:tcPr>
          <w:p w14:paraId="42A1311D"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311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11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Annual</w:t>
            </w:r>
          </w:p>
        </w:tc>
      </w:tr>
      <w:tr w:rsidR="00BB68E1" w14:paraId="42A13124" w14:textId="77777777">
        <w:trPr>
          <w:jc w:val="center"/>
        </w:trPr>
        <w:tc>
          <w:tcPr>
            <w:tcW w:w="0" w:type="auto"/>
            <w:shd w:val="clear" w:color="auto" w:fill="auto"/>
            <w:tcMar>
              <w:top w:w="40" w:type="dxa"/>
              <w:left w:w="40" w:type="dxa"/>
              <w:bottom w:w="40" w:type="dxa"/>
              <w:right w:w="40" w:type="dxa"/>
            </w:tcMar>
            <w:vAlign w:val="bottom"/>
          </w:tcPr>
          <w:p w14:paraId="42A13121"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 xml:space="preserve">Fiscal </w:t>
            </w:r>
            <w:r>
              <w:rPr>
                <w:rFonts w:ascii="Times New Roman" w:eastAsia="宋体" w:hAnsi="Times New Roman"/>
                <w:b/>
                <w:bCs/>
                <w:sz w:val="16"/>
                <w:szCs w:val="16"/>
              </w:rPr>
              <w:t>Year</w:t>
            </w:r>
          </w:p>
        </w:tc>
        <w:tc>
          <w:tcPr>
            <w:tcW w:w="0" w:type="auto"/>
            <w:shd w:val="clear" w:color="auto" w:fill="auto"/>
            <w:tcMar>
              <w:top w:w="40" w:type="dxa"/>
              <w:left w:w="40" w:type="dxa"/>
              <w:bottom w:w="40" w:type="dxa"/>
              <w:right w:w="40" w:type="dxa"/>
            </w:tcMar>
            <w:vAlign w:val="bottom"/>
          </w:tcPr>
          <w:p w14:paraId="42A1312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12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Maturities</w:t>
            </w:r>
          </w:p>
        </w:tc>
      </w:tr>
      <w:tr w:rsidR="00BB68E1" w14:paraId="42A1312A" w14:textId="77777777">
        <w:trPr>
          <w:jc w:val="center"/>
        </w:trPr>
        <w:tc>
          <w:tcPr>
            <w:tcW w:w="0" w:type="auto"/>
            <w:shd w:val="clear" w:color="auto" w:fill="CCEEFF"/>
            <w:tcMar>
              <w:top w:w="40" w:type="dxa"/>
              <w:left w:w="40" w:type="dxa"/>
              <w:bottom w:w="40" w:type="dxa"/>
              <w:right w:w="40" w:type="dxa"/>
            </w:tcMar>
            <w:vAlign w:val="center"/>
          </w:tcPr>
          <w:p w14:paraId="42A1312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2021</w:t>
            </w:r>
          </w:p>
        </w:tc>
        <w:tc>
          <w:tcPr>
            <w:tcW w:w="0" w:type="auto"/>
            <w:shd w:val="clear" w:color="auto" w:fill="CCEEFF"/>
            <w:tcMar>
              <w:top w:w="40" w:type="dxa"/>
              <w:left w:w="40" w:type="dxa"/>
              <w:bottom w:w="40" w:type="dxa"/>
              <w:right w:w="40" w:type="dxa"/>
            </w:tcMar>
            <w:vAlign w:val="bottom"/>
          </w:tcPr>
          <w:p w14:paraId="42A1312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12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12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5,362</w:t>
            </w:r>
          </w:p>
        </w:tc>
        <w:tc>
          <w:tcPr>
            <w:tcW w:w="0" w:type="auto"/>
            <w:shd w:val="clear" w:color="auto" w:fill="CCEEFF"/>
            <w:vAlign w:val="bottom"/>
          </w:tcPr>
          <w:p w14:paraId="42A13129" w14:textId="77777777" w:rsidR="00BB68E1" w:rsidRDefault="00BB68E1">
            <w:pPr>
              <w:textAlignment w:val="bottom"/>
              <w:rPr>
                <w:rFonts w:ascii="Times New Roman" w:hAnsi="Times New Roman"/>
                <w:sz w:val="20"/>
                <w:szCs w:val="20"/>
              </w:rPr>
            </w:pPr>
          </w:p>
        </w:tc>
      </w:tr>
      <w:tr w:rsidR="00BB68E1" w14:paraId="42A1312F" w14:textId="77777777">
        <w:trPr>
          <w:jc w:val="center"/>
        </w:trPr>
        <w:tc>
          <w:tcPr>
            <w:tcW w:w="0" w:type="auto"/>
            <w:shd w:val="clear" w:color="auto" w:fill="auto"/>
            <w:tcMar>
              <w:top w:w="40" w:type="dxa"/>
              <w:left w:w="40" w:type="dxa"/>
              <w:bottom w:w="40" w:type="dxa"/>
              <w:right w:w="40" w:type="dxa"/>
            </w:tcMar>
            <w:vAlign w:val="center"/>
          </w:tcPr>
          <w:p w14:paraId="42A1312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2022</w:t>
            </w:r>
          </w:p>
        </w:tc>
        <w:tc>
          <w:tcPr>
            <w:tcW w:w="0" w:type="auto"/>
            <w:shd w:val="clear" w:color="auto" w:fill="auto"/>
            <w:tcMar>
              <w:top w:w="40" w:type="dxa"/>
              <w:left w:w="40" w:type="dxa"/>
              <w:bottom w:w="40" w:type="dxa"/>
              <w:right w:w="40" w:type="dxa"/>
            </w:tcMar>
            <w:vAlign w:val="bottom"/>
          </w:tcPr>
          <w:p w14:paraId="42A1312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12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3,009</w:t>
            </w:r>
          </w:p>
        </w:tc>
        <w:tc>
          <w:tcPr>
            <w:tcW w:w="0" w:type="auto"/>
            <w:shd w:val="clear" w:color="auto" w:fill="auto"/>
            <w:vAlign w:val="bottom"/>
          </w:tcPr>
          <w:p w14:paraId="42A1312E" w14:textId="77777777" w:rsidR="00BB68E1" w:rsidRDefault="00BB68E1">
            <w:pPr>
              <w:textAlignment w:val="bottom"/>
              <w:rPr>
                <w:rFonts w:ascii="Times New Roman" w:hAnsi="Times New Roman"/>
                <w:sz w:val="20"/>
                <w:szCs w:val="20"/>
              </w:rPr>
            </w:pPr>
          </w:p>
        </w:tc>
      </w:tr>
      <w:tr w:rsidR="00BB68E1" w14:paraId="42A13134" w14:textId="77777777">
        <w:trPr>
          <w:jc w:val="center"/>
        </w:trPr>
        <w:tc>
          <w:tcPr>
            <w:tcW w:w="0" w:type="auto"/>
            <w:shd w:val="clear" w:color="auto" w:fill="CCEEFF"/>
            <w:tcMar>
              <w:top w:w="40" w:type="dxa"/>
              <w:left w:w="40" w:type="dxa"/>
              <w:bottom w:w="40" w:type="dxa"/>
              <w:right w:w="40" w:type="dxa"/>
            </w:tcMar>
            <w:vAlign w:val="center"/>
          </w:tcPr>
          <w:p w14:paraId="42A1313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2023</w:t>
            </w:r>
          </w:p>
        </w:tc>
        <w:tc>
          <w:tcPr>
            <w:tcW w:w="0" w:type="auto"/>
            <w:shd w:val="clear" w:color="auto" w:fill="CCEEFF"/>
            <w:tcMar>
              <w:top w:w="40" w:type="dxa"/>
              <w:left w:w="40" w:type="dxa"/>
              <w:bottom w:w="40" w:type="dxa"/>
              <w:right w:w="40" w:type="dxa"/>
            </w:tcMar>
            <w:vAlign w:val="bottom"/>
          </w:tcPr>
          <w:p w14:paraId="42A1313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13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2,830</w:t>
            </w:r>
          </w:p>
        </w:tc>
        <w:tc>
          <w:tcPr>
            <w:tcW w:w="0" w:type="auto"/>
            <w:shd w:val="clear" w:color="auto" w:fill="CCEEFF"/>
            <w:vAlign w:val="bottom"/>
          </w:tcPr>
          <w:p w14:paraId="42A13133" w14:textId="77777777" w:rsidR="00BB68E1" w:rsidRDefault="00BB68E1">
            <w:pPr>
              <w:textAlignment w:val="bottom"/>
              <w:rPr>
                <w:rFonts w:ascii="Times New Roman" w:hAnsi="Times New Roman"/>
                <w:sz w:val="20"/>
                <w:szCs w:val="20"/>
              </w:rPr>
            </w:pPr>
          </w:p>
        </w:tc>
      </w:tr>
      <w:tr w:rsidR="00BB68E1" w14:paraId="42A13139" w14:textId="77777777">
        <w:trPr>
          <w:jc w:val="center"/>
        </w:trPr>
        <w:tc>
          <w:tcPr>
            <w:tcW w:w="0" w:type="auto"/>
            <w:shd w:val="clear" w:color="auto" w:fill="auto"/>
            <w:tcMar>
              <w:top w:w="40" w:type="dxa"/>
              <w:left w:w="40" w:type="dxa"/>
              <w:bottom w:w="40" w:type="dxa"/>
              <w:right w:w="40" w:type="dxa"/>
            </w:tcMar>
            <w:vAlign w:val="center"/>
          </w:tcPr>
          <w:p w14:paraId="42A1313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2024</w:t>
            </w:r>
          </w:p>
        </w:tc>
        <w:tc>
          <w:tcPr>
            <w:tcW w:w="0" w:type="auto"/>
            <w:shd w:val="clear" w:color="auto" w:fill="auto"/>
            <w:tcMar>
              <w:top w:w="40" w:type="dxa"/>
              <w:left w:w="40" w:type="dxa"/>
              <w:bottom w:w="40" w:type="dxa"/>
              <w:right w:w="40" w:type="dxa"/>
            </w:tcMar>
            <w:vAlign w:val="bottom"/>
          </w:tcPr>
          <w:p w14:paraId="42A1313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13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4,652</w:t>
            </w:r>
          </w:p>
        </w:tc>
        <w:tc>
          <w:tcPr>
            <w:tcW w:w="0" w:type="auto"/>
            <w:shd w:val="clear" w:color="auto" w:fill="auto"/>
            <w:vAlign w:val="bottom"/>
          </w:tcPr>
          <w:p w14:paraId="42A13138" w14:textId="77777777" w:rsidR="00BB68E1" w:rsidRDefault="00BB68E1">
            <w:pPr>
              <w:textAlignment w:val="bottom"/>
              <w:rPr>
                <w:rFonts w:ascii="Times New Roman" w:hAnsi="Times New Roman"/>
                <w:sz w:val="20"/>
                <w:szCs w:val="20"/>
              </w:rPr>
            </w:pPr>
          </w:p>
        </w:tc>
      </w:tr>
      <w:tr w:rsidR="00BB68E1" w14:paraId="42A1313E" w14:textId="77777777">
        <w:trPr>
          <w:jc w:val="center"/>
        </w:trPr>
        <w:tc>
          <w:tcPr>
            <w:tcW w:w="0" w:type="auto"/>
            <w:shd w:val="clear" w:color="auto" w:fill="CCEEFF"/>
            <w:tcMar>
              <w:top w:w="40" w:type="dxa"/>
              <w:left w:w="40" w:type="dxa"/>
              <w:bottom w:w="40" w:type="dxa"/>
              <w:right w:w="40" w:type="dxa"/>
            </w:tcMar>
            <w:vAlign w:val="center"/>
          </w:tcPr>
          <w:p w14:paraId="42A1313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shd w:val="clear" w:color="auto" w:fill="CCEEFF"/>
              </w:rPr>
              <w:t>2025</w:t>
            </w:r>
          </w:p>
        </w:tc>
        <w:tc>
          <w:tcPr>
            <w:tcW w:w="0" w:type="auto"/>
            <w:shd w:val="clear" w:color="auto" w:fill="CCEEFF"/>
            <w:tcMar>
              <w:top w:w="40" w:type="dxa"/>
              <w:left w:w="40" w:type="dxa"/>
              <w:bottom w:w="40" w:type="dxa"/>
              <w:right w:w="40" w:type="dxa"/>
            </w:tcMar>
            <w:vAlign w:val="bottom"/>
          </w:tcPr>
          <w:p w14:paraId="42A131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13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4,367</w:t>
            </w:r>
          </w:p>
        </w:tc>
        <w:tc>
          <w:tcPr>
            <w:tcW w:w="0" w:type="auto"/>
            <w:shd w:val="clear" w:color="auto" w:fill="CCEEFF"/>
            <w:vAlign w:val="bottom"/>
          </w:tcPr>
          <w:p w14:paraId="42A1313D" w14:textId="77777777" w:rsidR="00BB68E1" w:rsidRDefault="00BB68E1">
            <w:pPr>
              <w:textAlignment w:val="bottom"/>
              <w:rPr>
                <w:rFonts w:ascii="Times New Roman" w:hAnsi="Times New Roman"/>
                <w:sz w:val="20"/>
                <w:szCs w:val="20"/>
              </w:rPr>
            </w:pPr>
          </w:p>
        </w:tc>
      </w:tr>
      <w:tr w:rsidR="00BB68E1" w14:paraId="42A13143" w14:textId="77777777">
        <w:trPr>
          <w:jc w:val="center"/>
        </w:trPr>
        <w:tc>
          <w:tcPr>
            <w:tcW w:w="0" w:type="auto"/>
            <w:shd w:val="clear" w:color="auto" w:fill="auto"/>
            <w:tcMar>
              <w:top w:w="40" w:type="dxa"/>
              <w:left w:w="40" w:type="dxa"/>
              <w:bottom w:w="40" w:type="dxa"/>
              <w:right w:w="40" w:type="dxa"/>
            </w:tcMar>
            <w:vAlign w:val="center"/>
          </w:tcPr>
          <w:p w14:paraId="42A1313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Thereafter</w:t>
            </w:r>
          </w:p>
        </w:tc>
        <w:tc>
          <w:tcPr>
            <w:tcW w:w="0" w:type="auto"/>
            <w:shd w:val="clear" w:color="auto" w:fill="auto"/>
            <w:tcMar>
              <w:top w:w="40" w:type="dxa"/>
              <w:left w:w="40" w:type="dxa"/>
              <w:bottom w:w="40" w:type="dxa"/>
              <w:right w:w="40" w:type="dxa"/>
            </w:tcMar>
            <w:vAlign w:val="bottom"/>
          </w:tcPr>
          <w:p w14:paraId="42A1314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14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28,960</w:t>
            </w:r>
          </w:p>
        </w:tc>
        <w:tc>
          <w:tcPr>
            <w:tcW w:w="0" w:type="auto"/>
            <w:shd w:val="clear" w:color="auto" w:fill="auto"/>
            <w:vAlign w:val="bottom"/>
          </w:tcPr>
          <w:p w14:paraId="42A13142" w14:textId="77777777" w:rsidR="00BB68E1" w:rsidRDefault="00BB68E1">
            <w:pPr>
              <w:textAlignment w:val="bottom"/>
              <w:rPr>
                <w:rFonts w:ascii="Times New Roman" w:hAnsi="Times New Roman"/>
                <w:sz w:val="20"/>
                <w:szCs w:val="20"/>
              </w:rPr>
            </w:pPr>
          </w:p>
        </w:tc>
      </w:tr>
      <w:tr w:rsidR="00BB68E1" w14:paraId="42A13149" w14:textId="77777777">
        <w:trPr>
          <w:jc w:val="center"/>
        </w:trPr>
        <w:tc>
          <w:tcPr>
            <w:tcW w:w="0" w:type="auto"/>
            <w:shd w:val="clear" w:color="auto" w:fill="CCEEFF"/>
            <w:tcMar>
              <w:top w:w="40" w:type="dxa"/>
              <w:left w:w="40" w:type="dxa"/>
              <w:bottom w:w="40" w:type="dxa"/>
              <w:right w:w="40" w:type="dxa"/>
            </w:tcMar>
            <w:vAlign w:val="center"/>
          </w:tcPr>
          <w:p w14:paraId="42A13144"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CCEEFF"/>
            <w:tcMar>
              <w:top w:w="40" w:type="dxa"/>
              <w:left w:w="40" w:type="dxa"/>
              <w:bottom w:w="40" w:type="dxa"/>
              <w:right w:w="40" w:type="dxa"/>
            </w:tcMar>
            <w:vAlign w:val="bottom"/>
          </w:tcPr>
          <w:p w14:paraId="42A1314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2A13146"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2A13147"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49,180</w:t>
            </w:r>
          </w:p>
        </w:tc>
        <w:tc>
          <w:tcPr>
            <w:tcW w:w="0" w:type="auto"/>
            <w:tcBorders>
              <w:top w:val="single" w:sz="8" w:space="0" w:color="000000"/>
              <w:bottom w:val="double" w:sz="6" w:space="0" w:color="000000"/>
            </w:tcBorders>
            <w:shd w:val="clear" w:color="auto" w:fill="CCEEFF"/>
            <w:vAlign w:val="bottom"/>
          </w:tcPr>
          <w:p w14:paraId="42A13148" w14:textId="77777777" w:rsidR="00BB68E1" w:rsidRDefault="00BB68E1">
            <w:pPr>
              <w:textAlignment w:val="bottom"/>
              <w:rPr>
                <w:rFonts w:ascii="Times New Roman" w:hAnsi="Times New Roman"/>
                <w:sz w:val="20"/>
                <w:szCs w:val="20"/>
              </w:rPr>
            </w:pPr>
          </w:p>
        </w:tc>
      </w:tr>
    </w:tbl>
    <w:p w14:paraId="42A1314A" w14:textId="77777777" w:rsidR="00BB68E1" w:rsidRDefault="00BB68E1">
      <w:pPr>
        <w:spacing w:line="288" w:lineRule="auto"/>
        <w:jc w:val="center"/>
        <w:rPr>
          <w:rFonts w:ascii="Times New Roman" w:hAnsi="Times New Roman"/>
          <w:sz w:val="20"/>
          <w:szCs w:val="20"/>
        </w:rPr>
      </w:pPr>
    </w:p>
    <w:p w14:paraId="42A1314B"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Debt Issuances</w:t>
      </w:r>
    </w:p>
    <w:p w14:paraId="42A1314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Information on long-term debt issued during fiscal 2020, for general corporate purposes, is as </w:t>
      </w:r>
      <w:r>
        <w:rPr>
          <w:rFonts w:ascii="Times New Roman" w:eastAsia="宋体" w:hAnsi="Times New Roman"/>
          <w:sz w:val="20"/>
          <w:szCs w:val="20"/>
        </w:rPr>
        <w:t>follows:</w:t>
      </w:r>
    </w:p>
    <w:tbl>
      <w:tblPr>
        <w:tblW w:w="4990" w:type="pct"/>
        <w:jc w:val="center"/>
        <w:tblCellMar>
          <w:left w:w="0" w:type="dxa"/>
          <w:right w:w="0" w:type="dxa"/>
        </w:tblCellMar>
        <w:tblLook w:val="04A0" w:firstRow="1" w:lastRow="0" w:firstColumn="1" w:lastColumn="0" w:noHBand="0" w:noVBand="1"/>
      </w:tblPr>
      <w:tblGrid>
        <w:gridCol w:w="1204"/>
        <w:gridCol w:w="130"/>
        <w:gridCol w:w="1287"/>
        <w:gridCol w:w="130"/>
        <w:gridCol w:w="1287"/>
        <w:gridCol w:w="130"/>
        <w:gridCol w:w="1287"/>
        <w:gridCol w:w="130"/>
        <w:gridCol w:w="1287"/>
        <w:gridCol w:w="130"/>
        <w:gridCol w:w="121"/>
        <w:gridCol w:w="1121"/>
        <w:gridCol w:w="45"/>
      </w:tblGrid>
      <w:tr w:rsidR="00BB68E1" w14:paraId="42A1314E" w14:textId="77777777">
        <w:trPr>
          <w:jc w:val="center"/>
        </w:trPr>
        <w:tc>
          <w:tcPr>
            <w:tcW w:w="0" w:type="auto"/>
            <w:gridSpan w:val="13"/>
            <w:shd w:val="clear" w:color="auto" w:fill="auto"/>
            <w:vAlign w:val="center"/>
          </w:tcPr>
          <w:p w14:paraId="42A1314D" w14:textId="77777777" w:rsidR="00BB68E1" w:rsidRDefault="00BB68E1">
            <w:pPr>
              <w:rPr>
                <w:rFonts w:ascii="Times New Roman" w:hAnsi="Times New Roman"/>
                <w:sz w:val="20"/>
                <w:szCs w:val="20"/>
              </w:rPr>
            </w:pPr>
          </w:p>
        </w:tc>
      </w:tr>
      <w:tr w:rsidR="00BB68E1" w14:paraId="42A1315C" w14:textId="77777777">
        <w:trPr>
          <w:jc w:val="center"/>
        </w:trPr>
        <w:tc>
          <w:tcPr>
            <w:tcW w:w="750" w:type="pct"/>
            <w:shd w:val="clear" w:color="auto" w:fill="auto"/>
            <w:vAlign w:val="center"/>
          </w:tcPr>
          <w:p w14:paraId="42A1314F" w14:textId="77777777" w:rsidR="00BB68E1" w:rsidRDefault="00BB68E1">
            <w:pPr>
              <w:rPr>
                <w:rFonts w:ascii="Times New Roman" w:hAnsi="Times New Roman"/>
                <w:sz w:val="20"/>
                <w:szCs w:val="20"/>
              </w:rPr>
            </w:pPr>
          </w:p>
        </w:tc>
        <w:tc>
          <w:tcPr>
            <w:tcW w:w="50" w:type="pct"/>
            <w:shd w:val="clear" w:color="auto" w:fill="auto"/>
            <w:vAlign w:val="center"/>
          </w:tcPr>
          <w:p w14:paraId="42A13150" w14:textId="77777777" w:rsidR="00BB68E1" w:rsidRDefault="00BB68E1">
            <w:pPr>
              <w:rPr>
                <w:rFonts w:ascii="Times New Roman" w:hAnsi="Times New Roman"/>
                <w:sz w:val="20"/>
                <w:szCs w:val="20"/>
              </w:rPr>
            </w:pPr>
          </w:p>
        </w:tc>
        <w:tc>
          <w:tcPr>
            <w:tcW w:w="800" w:type="pct"/>
            <w:shd w:val="clear" w:color="auto" w:fill="auto"/>
            <w:vAlign w:val="center"/>
          </w:tcPr>
          <w:p w14:paraId="42A13151" w14:textId="77777777" w:rsidR="00BB68E1" w:rsidRDefault="00BB68E1">
            <w:pPr>
              <w:rPr>
                <w:rFonts w:ascii="Times New Roman" w:hAnsi="Times New Roman"/>
                <w:sz w:val="20"/>
                <w:szCs w:val="20"/>
              </w:rPr>
            </w:pPr>
          </w:p>
        </w:tc>
        <w:tc>
          <w:tcPr>
            <w:tcW w:w="50" w:type="pct"/>
            <w:shd w:val="clear" w:color="auto" w:fill="auto"/>
            <w:vAlign w:val="center"/>
          </w:tcPr>
          <w:p w14:paraId="42A13152" w14:textId="77777777" w:rsidR="00BB68E1" w:rsidRDefault="00BB68E1">
            <w:pPr>
              <w:rPr>
                <w:rFonts w:ascii="Times New Roman" w:hAnsi="Times New Roman"/>
                <w:sz w:val="20"/>
                <w:szCs w:val="20"/>
              </w:rPr>
            </w:pPr>
          </w:p>
        </w:tc>
        <w:tc>
          <w:tcPr>
            <w:tcW w:w="800" w:type="pct"/>
            <w:shd w:val="clear" w:color="auto" w:fill="auto"/>
            <w:vAlign w:val="center"/>
          </w:tcPr>
          <w:p w14:paraId="42A13153" w14:textId="77777777" w:rsidR="00BB68E1" w:rsidRDefault="00BB68E1">
            <w:pPr>
              <w:rPr>
                <w:rFonts w:ascii="Times New Roman" w:hAnsi="Times New Roman"/>
                <w:sz w:val="20"/>
                <w:szCs w:val="20"/>
              </w:rPr>
            </w:pPr>
          </w:p>
        </w:tc>
        <w:tc>
          <w:tcPr>
            <w:tcW w:w="50" w:type="pct"/>
            <w:shd w:val="clear" w:color="auto" w:fill="auto"/>
            <w:vAlign w:val="center"/>
          </w:tcPr>
          <w:p w14:paraId="42A13154" w14:textId="77777777" w:rsidR="00BB68E1" w:rsidRDefault="00BB68E1">
            <w:pPr>
              <w:rPr>
                <w:rFonts w:ascii="Times New Roman" w:hAnsi="Times New Roman"/>
                <w:sz w:val="20"/>
                <w:szCs w:val="20"/>
              </w:rPr>
            </w:pPr>
          </w:p>
        </w:tc>
        <w:tc>
          <w:tcPr>
            <w:tcW w:w="800" w:type="pct"/>
            <w:shd w:val="clear" w:color="auto" w:fill="auto"/>
            <w:vAlign w:val="center"/>
          </w:tcPr>
          <w:p w14:paraId="42A13155" w14:textId="77777777" w:rsidR="00BB68E1" w:rsidRDefault="00BB68E1">
            <w:pPr>
              <w:rPr>
                <w:rFonts w:ascii="Times New Roman" w:hAnsi="Times New Roman"/>
                <w:sz w:val="20"/>
                <w:szCs w:val="20"/>
              </w:rPr>
            </w:pPr>
          </w:p>
        </w:tc>
        <w:tc>
          <w:tcPr>
            <w:tcW w:w="50" w:type="pct"/>
            <w:shd w:val="clear" w:color="auto" w:fill="auto"/>
            <w:vAlign w:val="center"/>
          </w:tcPr>
          <w:p w14:paraId="42A13156" w14:textId="77777777" w:rsidR="00BB68E1" w:rsidRDefault="00BB68E1">
            <w:pPr>
              <w:rPr>
                <w:rFonts w:ascii="Times New Roman" w:hAnsi="Times New Roman"/>
                <w:sz w:val="20"/>
                <w:szCs w:val="20"/>
              </w:rPr>
            </w:pPr>
          </w:p>
        </w:tc>
        <w:tc>
          <w:tcPr>
            <w:tcW w:w="800" w:type="pct"/>
            <w:shd w:val="clear" w:color="auto" w:fill="auto"/>
            <w:vAlign w:val="center"/>
          </w:tcPr>
          <w:p w14:paraId="42A13157" w14:textId="77777777" w:rsidR="00BB68E1" w:rsidRDefault="00BB68E1">
            <w:pPr>
              <w:rPr>
                <w:rFonts w:ascii="Times New Roman" w:hAnsi="Times New Roman"/>
                <w:sz w:val="20"/>
                <w:szCs w:val="20"/>
              </w:rPr>
            </w:pPr>
          </w:p>
        </w:tc>
        <w:tc>
          <w:tcPr>
            <w:tcW w:w="50" w:type="pct"/>
            <w:shd w:val="clear" w:color="auto" w:fill="auto"/>
            <w:vAlign w:val="center"/>
          </w:tcPr>
          <w:p w14:paraId="42A13158" w14:textId="77777777" w:rsidR="00BB68E1" w:rsidRDefault="00BB68E1">
            <w:pPr>
              <w:rPr>
                <w:rFonts w:ascii="Times New Roman" w:hAnsi="Times New Roman"/>
                <w:sz w:val="20"/>
                <w:szCs w:val="20"/>
              </w:rPr>
            </w:pPr>
          </w:p>
        </w:tc>
        <w:tc>
          <w:tcPr>
            <w:tcW w:w="50" w:type="pct"/>
            <w:shd w:val="clear" w:color="auto" w:fill="auto"/>
            <w:vAlign w:val="center"/>
          </w:tcPr>
          <w:p w14:paraId="42A13159" w14:textId="77777777" w:rsidR="00BB68E1" w:rsidRDefault="00BB68E1">
            <w:pPr>
              <w:rPr>
                <w:rFonts w:ascii="Times New Roman" w:hAnsi="Times New Roman"/>
                <w:sz w:val="20"/>
                <w:szCs w:val="20"/>
              </w:rPr>
            </w:pPr>
          </w:p>
        </w:tc>
        <w:tc>
          <w:tcPr>
            <w:tcW w:w="700" w:type="pct"/>
            <w:shd w:val="clear" w:color="auto" w:fill="auto"/>
            <w:vAlign w:val="center"/>
          </w:tcPr>
          <w:p w14:paraId="42A1315A" w14:textId="77777777" w:rsidR="00BB68E1" w:rsidRDefault="00BB68E1">
            <w:pPr>
              <w:rPr>
                <w:rFonts w:ascii="Times New Roman" w:hAnsi="Times New Roman"/>
                <w:sz w:val="20"/>
                <w:szCs w:val="20"/>
              </w:rPr>
            </w:pPr>
          </w:p>
        </w:tc>
        <w:tc>
          <w:tcPr>
            <w:tcW w:w="50" w:type="pct"/>
            <w:shd w:val="clear" w:color="auto" w:fill="auto"/>
            <w:vAlign w:val="center"/>
          </w:tcPr>
          <w:p w14:paraId="42A1315B" w14:textId="77777777" w:rsidR="00BB68E1" w:rsidRDefault="00BB68E1">
            <w:pPr>
              <w:rPr>
                <w:rFonts w:ascii="Times New Roman" w:hAnsi="Times New Roman"/>
                <w:sz w:val="20"/>
                <w:szCs w:val="20"/>
              </w:rPr>
            </w:pPr>
          </w:p>
        </w:tc>
      </w:tr>
      <w:tr w:rsidR="00BB68E1" w14:paraId="42A13168" w14:textId="77777777">
        <w:trPr>
          <w:jc w:val="center"/>
        </w:trPr>
        <w:tc>
          <w:tcPr>
            <w:tcW w:w="0" w:type="auto"/>
            <w:shd w:val="clear" w:color="auto" w:fill="auto"/>
            <w:tcMar>
              <w:top w:w="40" w:type="dxa"/>
              <w:left w:w="40" w:type="dxa"/>
              <w:bottom w:w="40" w:type="dxa"/>
              <w:right w:w="40" w:type="dxa"/>
            </w:tcMar>
            <w:vAlign w:val="bottom"/>
          </w:tcPr>
          <w:p w14:paraId="42A1315D"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315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5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6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6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6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6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6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6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6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16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174"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42A13169"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Issue Date</w:t>
            </w:r>
          </w:p>
        </w:tc>
        <w:tc>
          <w:tcPr>
            <w:tcW w:w="0" w:type="auto"/>
            <w:shd w:val="clear" w:color="auto" w:fill="auto"/>
            <w:tcMar>
              <w:top w:w="40" w:type="dxa"/>
              <w:left w:w="40" w:type="dxa"/>
              <w:bottom w:w="40" w:type="dxa"/>
              <w:right w:w="40" w:type="dxa"/>
            </w:tcMar>
            <w:vAlign w:val="bottom"/>
          </w:tcPr>
          <w:p w14:paraId="42A1316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316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Principal Amount</w:t>
            </w:r>
          </w:p>
        </w:tc>
        <w:tc>
          <w:tcPr>
            <w:tcW w:w="0" w:type="auto"/>
            <w:shd w:val="clear" w:color="auto" w:fill="auto"/>
            <w:tcMar>
              <w:top w:w="40" w:type="dxa"/>
              <w:left w:w="40" w:type="dxa"/>
              <w:bottom w:w="40" w:type="dxa"/>
              <w:right w:w="40" w:type="dxa"/>
            </w:tcMar>
            <w:vAlign w:val="bottom"/>
          </w:tcPr>
          <w:p w14:paraId="42A1316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316D"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Maturity Date</w:t>
            </w:r>
          </w:p>
        </w:tc>
        <w:tc>
          <w:tcPr>
            <w:tcW w:w="0" w:type="auto"/>
            <w:shd w:val="clear" w:color="auto" w:fill="auto"/>
            <w:tcMar>
              <w:top w:w="40" w:type="dxa"/>
              <w:left w:w="40" w:type="dxa"/>
              <w:bottom w:w="40" w:type="dxa"/>
              <w:right w:w="40" w:type="dxa"/>
            </w:tcMar>
            <w:vAlign w:val="bottom"/>
          </w:tcPr>
          <w:p w14:paraId="42A131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316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Fixed vs. Floating</w:t>
            </w:r>
          </w:p>
        </w:tc>
        <w:tc>
          <w:tcPr>
            <w:tcW w:w="0" w:type="auto"/>
            <w:shd w:val="clear" w:color="auto" w:fill="auto"/>
            <w:tcMar>
              <w:top w:w="40" w:type="dxa"/>
              <w:left w:w="40" w:type="dxa"/>
              <w:bottom w:w="40" w:type="dxa"/>
              <w:right w:w="40" w:type="dxa"/>
            </w:tcMar>
            <w:vAlign w:val="bottom"/>
          </w:tcPr>
          <w:p w14:paraId="42A1317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3171"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Interest Rate</w:t>
            </w:r>
          </w:p>
        </w:tc>
        <w:tc>
          <w:tcPr>
            <w:tcW w:w="0" w:type="auto"/>
            <w:shd w:val="clear" w:color="auto" w:fill="auto"/>
            <w:tcMar>
              <w:top w:w="40" w:type="dxa"/>
              <w:left w:w="40" w:type="dxa"/>
              <w:bottom w:w="40" w:type="dxa"/>
              <w:right w:w="40" w:type="dxa"/>
            </w:tcMar>
            <w:vAlign w:val="bottom"/>
          </w:tcPr>
          <w:p w14:paraId="42A1317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17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Net Proceeds</w:t>
            </w:r>
          </w:p>
        </w:tc>
      </w:tr>
      <w:tr w:rsidR="00BB68E1" w14:paraId="42A13182" w14:textId="77777777">
        <w:trPr>
          <w:jc w:val="center"/>
        </w:trPr>
        <w:tc>
          <w:tcPr>
            <w:tcW w:w="0" w:type="auto"/>
            <w:tcBorders>
              <w:top w:val="single" w:sz="8" w:space="0" w:color="000000"/>
            </w:tcBorders>
            <w:shd w:val="clear" w:color="auto" w:fill="CCEEFF"/>
            <w:tcMar>
              <w:top w:w="40" w:type="dxa"/>
              <w:left w:w="40" w:type="dxa"/>
              <w:bottom w:w="40" w:type="dxa"/>
              <w:right w:w="40" w:type="dxa"/>
            </w:tcMar>
            <w:vAlign w:val="bottom"/>
          </w:tcPr>
          <w:p w14:paraId="42A13175"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April 23, 2019</w:t>
            </w:r>
          </w:p>
        </w:tc>
        <w:tc>
          <w:tcPr>
            <w:tcW w:w="0" w:type="auto"/>
            <w:shd w:val="clear" w:color="auto" w:fill="CCEEFF"/>
            <w:tcMar>
              <w:top w:w="40" w:type="dxa"/>
              <w:left w:w="40" w:type="dxa"/>
              <w:bottom w:w="40" w:type="dxa"/>
              <w:right w:w="40" w:type="dxa"/>
            </w:tcMar>
            <w:vAlign w:val="bottom"/>
          </w:tcPr>
          <w:p w14:paraId="42A1317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42A13177"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$1,500</w:t>
            </w:r>
          </w:p>
        </w:tc>
        <w:tc>
          <w:tcPr>
            <w:tcW w:w="0" w:type="auto"/>
            <w:shd w:val="clear" w:color="auto" w:fill="CCEEFF"/>
            <w:tcMar>
              <w:top w:w="40" w:type="dxa"/>
              <w:left w:w="40" w:type="dxa"/>
              <w:bottom w:w="40" w:type="dxa"/>
              <w:right w:w="40" w:type="dxa"/>
            </w:tcMar>
            <w:vAlign w:val="bottom"/>
          </w:tcPr>
          <w:p w14:paraId="42A1317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42A13179"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July 8, 2024</w:t>
            </w:r>
          </w:p>
        </w:tc>
        <w:tc>
          <w:tcPr>
            <w:tcW w:w="0" w:type="auto"/>
            <w:shd w:val="clear" w:color="auto" w:fill="CCEEFF"/>
            <w:tcMar>
              <w:top w:w="40" w:type="dxa"/>
              <w:left w:w="40" w:type="dxa"/>
              <w:bottom w:w="40" w:type="dxa"/>
              <w:right w:w="40" w:type="dxa"/>
            </w:tcMar>
            <w:vAlign w:val="bottom"/>
          </w:tcPr>
          <w:p w14:paraId="42A1317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42A1317B"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Fixed</w:t>
            </w:r>
          </w:p>
        </w:tc>
        <w:tc>
          <w:tcPr>
            <w:tcW w:w="0" w:type="auto"/>
            <w:shd w:val="clear" w:color="auto" w:fill="CCEEFF"/>
            <w:tcMar>
              <w:top w:w="40" w:type="dxa"/>
              <w:left w:w="40" w:type="dxa"/>
              <w:bottom w:w="40" w:type="dxa"/>
              <w:right w:w="40" w:type="dxa"/>
            </w:tcMar>
            <w:vAlign w:val="bottom"/>
          </w:tcPr>
          <w:p w14:paraId="42A131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42A1317D"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2.850%</w:t>
            </w:r>
          </w:p>
        </w:tc>
        <w:tc>
          <w:tcPr>
            <w:tcW w:w="0" w:type="auto"/>
            <w:shd w:val="clear" w:color="auto" w:fill="CCEEFF"/>
            <w:tcMar>
              <w:top w:w="40" w:type="dxa"/>
              <w:left w:w="40" w:type="dxa"/>
              <w:bottom w:w="40" w:type="dxa"/>
              <w:right w:w="40" w:type="dxa"/>
            </w:tcMar>
            <w:vAlign w:val="bottom"/>
          </w:tcPr>
          <w:p w14:paraId="42A1317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2A1317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2A13180"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1,493</w:t>
            </w:r>
          </w:p>
        </w:tc>
        <w:tc>
          <w:tcPr>
            <w:tcW w:w="0" w:type="auto"/>
            <w:tcBorders>
              <w:top w:val="single" w:sz="8" w:space="0" w:color="000000"/>
            </w:tcBorders>
            <w:shd w:val="clear" w:color="auto" w:fill="CCEEFF"/>
            <w:vAlign w:val="bottom"/>
          </w:tcPr>
          <w:p w14:paraId="42A13181" w14:textId="77777777" w:rsidR="00BB68E1" w:rsidRDefault="00BB68E1">
            <w:pPr>
              <w:textAlignment w:val="bottom"/>
              <w:rPr>
                <w:rFonts w:ascii="Times New Roman" w:hAnsi="Times New Roman"/>
                <w:sz w:val="20"/>
                <w:szCs w:val="20"/>
              </w:rPr>
            </w:pPr>
          </w:p>
        </w:tc>
      </w:tr>
      <w:tr w:rsidR="00BB68E1" w14:paraId="42A1318F" w14:textId="77777777">
        <w:trPr>
          <w:jc w:val="center"/>
        </w:trPr>
        <w:tc>
          <w:tcPr>
            <w:tcW w:w="0" w:type="auto"/>
            <w:shd w:val="clear" w:color="auto" w:fill="auto"/>
            <w:tcMar>
              <w:top w:w="40" w:type="dxa"/>
              <w:left w:w="40" w:type="dxa"/>
              <w:bottom w:w="40" w:type="dxa"/>
              <w:right w:w="40" w:type="dxa"/>
            </w:tcMar>
            <w:vAlign w:val="bottom"/>
          </w:tcPr>
          <w:p w14:paraId="42A1318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April 23, 2019</w:t>
            </w:r>
          </w:p>
        </w:tc>
        <w:tc>
          <w:tcPr>
            <w:tcW w:w="0" w:type="auto"/>
            <w:shd w:val="clear" w:color="auto" w:fill="auto"/>
            <w:tcMar>
              <w:top w:w="40" w:type="dxa"/>
              <w:left w:w="40" w:type="dxa"/>
              <w:bottom w:w="40" w:type="dxa"/>
              <w:right w:w="40" w:type="dxa"/>
            </w:tcMar>
            <w:vAlign w:val="bottom"/>
          </w:tcPr>
          <w:p w14:paraId="42A131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85"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$1,250</w:t>
            </w:r>
          </w:p>
        </w:tc>
        <w:tc>
          <w:tcPr>
            <w:tcW w:w="0" w:type="auto"/>
            <w:shd w:val="clear" w:color="auto" w:fill="auto"/>
            <w:tcMar>
              <w:top w:w="40" w:type="dxa"/>
              <w:left w:w="40" w:type="dxa"/>
              <w:bottom w:w="40" w:type="dxa"/>
              <w:right w:w="40" w:type="dxa"/>
            </w:tcMar>
            <w:vAlign w:val="bottom"/>
          </w:tcPr>
          <w:p w14:paraId="42A131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87"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July 8, 2026</w:t>
            </w:r>
          </w:p>
        </w:tc>
        <w:tc>
          <w:tcPr>
            <w:tcW w:w="0" w:type="auto"/>
            <w:shd w:val="clear" w:color="auto" w:fill="auto"/>
            <w:tcMar>
              <w:top w:w="40" w:type="dxa"/>
              <w:left w:w="40" w:type="dxa"/>
              <w:bottom w:w="40" w:type="dxa"/>
              <w:right w:w="40" w:type="dxa"/>
            </w:tcMar>
            <w:vAlign w:val="bottom"/>
          </w:tcPr>
          <w:p w14:paraId="42A1318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89"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Fixed</w:t>
            </w:r>
          </w:p>
        </w:tc>
        <w:tc>
          <w:tcPr>
            <w:tcW w:w="0" w:type="auto"/>
            <w:shd w:val="clear" w:color="auto" w:fill="auto"/>
            <w:tcMar>
              <w:top w:w="40" w:type="dxa"/>
              <w:left w:w="40" w:type="dxa"/>
              <w:bottom w:w="40" w:type="dxa"/>
              <w:right w:w="40" w:type="dxa"/>
            </w:tcMar>
            <w:vAlign w:val="bottom"/>
          </w:tcPr>
          <w:p w14:paraId="42A1318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8B"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3.050%</w:t>
            </w:r>
          </w:p>
        </w:tc>
        <w:tc>
          <w:tcPr>
            <w:tcW w:w="0" w:type="auto"/>
            <w:shd w:val="clear" w:color="auto" w:fill="auto"/>
            <w:tcMar>
              <w:top w:w="40" w:type="dxa"/>
              <w:left w:w="40" w:type="dxa"/>
              <w:bottom w:w="40" w:type="dxa"/>
              <w:right w:w="40" w:type="dxa"/>
            </w:tcMar>
            <w:vAlign w:val="bottom"/>
          </w:tcPr>
          <w:p w14:paraId="42A1318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18D"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1,242</w:t>
            </w:r>
          </w:p>
        </w:tc>
        <w:tc>
          <w:tcPr>
            <w:tcW w:w="0" w:type="auto"/>
            <w:shd w:val="clear" w:color="auto" w:fill="auto"/>
            <w:vAlign w:val="bottom"/>
          </w:tcPr>
          <w:p w14:paraId="42A1318E" w14:textId="77777777" w:rsidR="00BB68E1" w:rsidRDefault="00BB68E1">
            <w:pPr>
              <w:textAlignment w:val="bottom"/>
              <w:rPr>
                <w:rFonts w:ascii="Times New Roman" w:hAnsi="Times New Roman"/>
                <w:sz w:val="20"/>
                <w:szCs w:val="20"/>
              </w:rPr>
            </w:pPr>
          </w:p>
        </w:tc>
      </w:tr>
      <w:tr w:rsidR="00BB68E1" w14:paraId="42A1319C" w14:textId="77777777">
        <w:trPr>
          <w:jc w:val="center"/>
        </w:trPr>
        <w:tc>
          <w:tcPr>
            <w:tcW w:w="0" w:type="auto"/>
            <w:shd w:val="clear" w:color="auto" w:fill="CCEEFF"/>
            <w:tcMar>
              <w:top w:w="40" w:type="dxa"/>
              <w:left w:w="40" w:type="dxa"/>
              <w:bottom w:w="40" w:type="dxa"/>
              <w:right w:w="40" w:type="dxa"/>
            </w:tcMar>
            <w:vAlign w:val="bottom"/>
          </w:tcPr>
          <w:p w14:paraId="42A13190"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April 23, 2019</w:t>
            </w:r>
          </w:p>
        </w:tc>
        <w:tc>
          <w:tcPr>
            <w:tcW w:w="0" w:type="auto"/>
            <w:shd w:val="clear" w:color="auto" w:fill="CCEEFF"/>
            <w:tcMar>
              <w:top w:w="40" w:type="dxa"/>
              <w:left w:w="40" w:type="dxa"/>
              <w:bottom w:w="40" w:type="dxa"/>
              <w:right w:w="40" w:type="dxa"/>
            </w:tcMar>
            <w:vAlign w:val="bottom"/>
          </w:tcPr>
          <w:p w14:paraId="42A1319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192"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$1,250</w:t>
            </w:r>
          </w:p>
        </w:tc>
        <w:tc>
          <w:tcPr>
            <w:tcW w:w="0" w:type="auto"/>
            <w:shd w:val="clear" w:color="auto" w:fill="CCEEFF"/>
            <w:tcMar>
              <w:top w:w="40" w:type="dxa"/>
              <w:left w:w="40" w:type="dxa"/>
              <w:bottom w:w="40" w:type="dxa"/>
              <w:right w:w="40" w:type="dxa"/>
            </w:tcMar>
            <w:vAlign w:val="bottom"/>
          </w:tcPr>
          <w:p w14:paraId="42A1319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194"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July 8, 2029</w:t>
            </w:r>
          </w:p>
        </w:tc>
        <w:tc>
          <w:tcPr>
            <w:tcW w:w="0" w:type="auto"/>
            <w:shd w:val="clear" w:color="auto" w:fill="CCEEFF"/>
            <w:tcMar>
              <w:top w:w="40" w:type="dxa"/>
              <w:left w:w="40" w:type="dxa"/>
              <w:bottom w:w="40" w:type="dxa"/>
              <w:right w:w="40" w:type="dxa"/>
            </w:tcMar>
            <w:vAlign w:val="bottom"/>
          </w:tcPr>
          <w:p w14:paraId="42A1319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196"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Fixed</w:t>
            </w:r>
          </w:p>
        </w:tc>
        <w:tc>
          <w:tcPr>
            <w:tcW w:w="0" w:type="auto"/>
            <w:shd w:val="clear" w:color="auto" w:fill="CCEEFF"/>
            <w:tcMar>
              <w:top w:w="40" w:type="dxa"/>
              <w:left w:w="40" w:type="dxa"/>
              <w:bottom w:w="40" w:type="dxa"/>
              <w:right w:w="40" w:type="dxa"/>
            </w:tcMar>
            <w:vAlign w:val="bottom"/>
          </w:tcPr>
          <w:p w14:paraId="42A1319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198"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3.250%</w:t>
            </w:r>
          </w:p>
        </w:tc>
        <w:tc>
          <w:tcPr>
            <w:tcW w:w="0" w:type="auto"/>
            <w:shd w:val="clear" w:color="auto" w:fill="CCEEFF"/>
            <w:tcMar>
              <w:top w:w="40" w:type="dxa"/>
              <w:left w:w="40" w:type="dxa"/>
              <w:bottom w:w="40" w:type="dxa"/>
              <w:right w:w="40" w:type="dxa"/>
            </w:tcMar>
            <w:vAlign w:val="bottom"/>
          </w:tcPr>
          <w:p w14:paraId="42A1319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19A"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1,243</w:t>
            </w:r>
          </w:p>
        </w:tc>
        <w:tc>
          <w:tcPr>
            <w:tcW w:w="0" w:type="auto"/>
            <w:shd w:val="clear" w:color="auto" w:fill="CCEEFF"/>
            <w:vAlign w:val="bottom"/>
          </w:tcPr>
          <w:p w14:paraId="42A1319B" w14:textId="77777777" w:rsidR="00BB68E1" w:rsidRDefault="00BB68E1">
            <w:pPr>
              <w:textAlignment w:val="bottom"/>
              <w:rPr>
                <w:rFonts w:ascii="Times New Roman" w:hAnsi="Times New Roman"/>
                <w:sz w:val="20"/>
                <w:szCs w:val="20"/>
              </w:rPr>
            </w:pPr>
          </w:p>
        </w:tc>
      </w:tr>
      <w:tr w:rsidR="00BB68E1" w14:paraId="42A131A9" w14:textId="77777777">
        <w:trPr>
          <w:jc w:val="center"/>
        </w:trPr>
        <w:tc>
          <w:tcPr>
            <w:tcW w:w="0" w:type="auto"/>
            <w:shd w:val="clear" w:color="auto" w:fill="auto"/>
            <w:tcMar>
              <w:top w:w="40" w:type="dxa"/>
              <w:left w:w="40" w:type="dxa"/>
              <w:bottom w:w="40" w:type="dxa"/>
              <w:right w:w="40" w:type="dxa"/>
            </w:tcMar>
            <w:vAlign w:val="bottom"/>
          </w:tcPr>
          <w:p w14:paraId="42A1319D"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September 24, 2019</w:t>
            </w:r>
          </w:p>
        </w:tc>
        <w:tc>
          <w:tcPr>
            <w:tcW w:w="0" w:type="auto"/>
            <w:shd w:val="clear" w:color="auto" w:fill="auto"/>
            <w:tcMar>
              <w:top w:w="40" w:type="dxa"/>
              <w:left w:w="40" w:type="dxa"/>
              <w:bottom w:w="40" w:type="dxa"/>
              <w:right w:w="40" w:type="dxa"/>
            </w:tcMar>
            <w:vAlign w:val="bottom"/>
          </w:tcPr>
          <w:p w14:paraId="42A1319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9F"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$500</w:t>
            </w:r>
          </w:p>
        </w:tc>
        <w:tc>
          <w:tcPr>
            <w:tcW w:w="0" w:type="auto"/>
            <w:shd w:val="clear" w:color="auto" w:fill="auto"/>
            <w:tcMar>
              <w:top w:w="40" w:type="dxa"/>
              <w:left w:w="40" w:type="dxa"/>
              <w:bottom w:w="40" w:type="dxa"/>
              <w:right w:w="40" w:type="dxa"/>
            </w:tcMar>
            <w:vAlign w:val="bottom"/>
          </w:tcPr>
          <w:p w14:paraId="42A131A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A1"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September 24, 2029</w:t>
            </w:r>
          </w:p>
        </w:tc>
        <w:tc>
          <w:tcPr>
            <w:tcW w:w="0" w:type="auto"/>
            <w:shd w:val="clear" w:color="auto" w:fill="auto"/>
            <w:tcMar>
              <w:top w:w="40" w:type="dxa"/>
              <w:left w:w="40" w:type="dxa"/>
              <w:bottom w:w="40" w:type="dxa"/>
              <w:right w:w="40" w:type="dxa"/>
            </w:tcMar>
            <w:vAlign w:val="bottom"/>
          </w:tcPr>
          <w:p w14:paraId="42A131A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A3"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Fixed</w:t>
            </w:r>
          </w:p>
        </w:tc>
        <w:tc>
          <w:tcPr>
            <w:tcW w:w="0" w:type="auto"/>
            <w:shd w:val="clear" w:color="auto" w:fill="auto"/>
            <w:tcMar>
              <w:top w:w="40" w:type="dxa"/>
              <w:left w:w="40" w:type="dxa"/>
              <w:bottom w:w="40" w:type="dxa"/>
              <w:right w:w="40" w:type="dxa"/>
            </w:tcMar>
            <w:vAlign w:val="bottom"/>
          </w:tcPr>
          <w:p w14:paraId="42A131A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A5"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2.375%</w:t>
            </w:r>
          </w:p>
        </w:tc>
        <w:tc>
          <w:tcPr>
            <w:tcW w:w="0" w:type="auto"/>
            <w:shd w:val="clear" w:color="auto" w:fill="auto"/>
            <w:tcMar>
              <w:top w:w="40" w:type="dxa"/>
              <w:left w:w="40" w:type="dxa"/>
              <w:bottom w:w="40" w:type="dxa"/>
              <w:right w:w="40" w:type="dxa"/>
            </w:tcMar>
            <w:vAlign w:val="bottom"/>
          </w:tcPr>
          <w:p w14:paraId="42A131A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1A7"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497</w:t>
            </w:r>
          </w:p>
        </w:tc>
        <w:tc>
          <w:tcPr>
            <w:tcW w:w="0" w:type="auto"/>
            <w:shd w:val="clear" w:color="auto" w:fill="auto"/>
            <w:vAlign w:val="bottom"/>
          </w:tcPr>
          <w:p w14:paraId="42A131A8" w14:textId="77777777" w:rsidR="00BB68E1" w:rsidRDefault="00BB68E1">
            <w:pPr>
              <w:textAlignment w:val="bottom"/>
              <w:rPr>
                <w:rFonts w:ascii="Times New Roman" w:hAnsi="Times New Roman"/>
                <w:sz w:val="20"/>
                <w:szCs w:val="20"/>
              </w:rPr>
            </w:pPr>
          </w:p>
        </w:tc>
      </w:tr>
      <w:tr w:rsidR="00BB68E1" w14:paraId="42A131B6" w14:textId="77777777">
        <w:trPr>
          <w:jc w:val="center"/>
        </w:trPr>
        <w:tc>
          <w:tcPr>
            <w:tcW w:w="0" w:type="auto"/>
            <w:shd w:val="clear" w:color="auto" w:fill="CCEEFF"/>
            <w:tcMar>
              <w:top w:w="40" w:type="dxa"/>
              <w:left w:w="40" w:type="dxa"/>
              <w:bottom w:w="40" w:type="dxa"/>
              <w:right w:w="40" w:type="dxa"/>
            </w:tcMar>
            <w:vAlign w:val="bottom"/>
          </w:tcPr>
          <w:p w14:paraId="42A131AA"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September 24, 2019</w:t>
            </w:r>
          </w:p>
        </w:tc>
        <w:tc>
          <w:tcPr>
            <w:tcW w:w="0" w:type="auto"/>
            <w:shd w:val="clear" w:color="auto" w:fill="CCEEFF"/>
            <w:tcMar>
              <w:top w:w="40" w:type="dxa"/>
              <w:left w:w="40" w:type="dxa"/>
              <w:bottom w:w="40" w:type="dxa"/>
              <w:right w:w="40" w:type="dxa"/>
            </w:tcMar>
            <w:vAlign w:val="bottom"/>
          </w:tcPr>
          <w:p w14:paraId="42A131A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1AC"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$1,000</w:t>
            </w:r>
          </w:p>
        </w:tc>
        <w:tc>
          <w:tcPr>
            <w:tcW w:w="0" w:type="auto"/>
            <w:shd w:val="clear" w:color="auto" w:fill="CCEEFF"/>
            <w:tcMar>
              <w:top w:w="40" w:type="dxa"/>
              <w:left w:w="40" w:type="dxa"/>
              <w:bottom w:w="40" w:type="dxa"/>
              <w:right w:w="40" w:type="dxa"/>
            </w:tcMar>
            <w:vAlign w:val="bottom"/>
          </w:tcPr>
          <w:p w14:paraId="42A131A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1AE"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September 24, 2049</w:t>
            </w:r>
          </w:p>
        </w:tc>
        <w:tc>
          <w:tcPr>
            <w:tcW w:w="0" w:type="auto"/>
            <w:shd w:val="clear" w:color="auto" w:fill="CCEEFF"/>
            <w:tcMar>
              <w:top w:w="40" w:type="dxa"/>
              <w:left w:w="40" w:type="dxa"/>
              <w:bottom w:w="40" w:type="dxa"/>
              <w:right w:w="40" w:type="dxa"/>
            </w:tcMar>
            <w:vAlign w:val="bottom"/>
          </w:tcPr>
          <w:p w14:paraId="42A131A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1B0"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Fixed</w:t>
            </w:r>
          </w:p>
        </w:tc>
        <w:tc>
          <w:tcPr>
            <w:tcW w:w="0" w:type="auto"/>
            <w:shd w:val="clear" w:color="auto" w:fill="CCEEFF"/>
            <w:tcMar>
              <w:top w:w="40" w:type="dxa"/>
              <w:left w:w="40" w:type="dxa"/>
              <w:bottom w:w="40" w:type="dxa"/>
              <w:right w:w="40" w:type="dxa"/>
            </w:tcMar>
            <w:vAlign w:val="bottom"/>
          </w:tcPr>
          <w:p w14:paraId="42A131B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1B2"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2.950%</w:t>
            </w:r>
          </w:p>
        </w:tc>
        <w:tc>
          <w:tcPr>
            <w:tcW w:w="0" w:type="auto"/>
            <w:shd w:val="clear" w:color="auto" w:fill="CCEEFF"/>
            <w:tcMar>
              <w:top w:w="40" w:type="dxa"/>
              <w:left w:w="40" w:type="dxa"/>
              <w:bottom w:w="40" w:type="dxa"/>
              <w:right w:w="40" w:type="dxa"/>
            </w:tcMar>
            <w:vAlign w:val="bottom"/>
          </w:tcPr>
          <w:p w14:paraId="42A131B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1B4"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975</w:t>
            </w:r>
          </w:p>
        </w:tc>
        <w:tc>
          <w:tcPr>
            <w:tcW w:w="0" w:type="auto"/>
            <w:shd w:val="clear" w:color="auto" w:fill="CCEEFF"/>
            <w:vAlign w:val="bottom"/>
          </w:tcPr>
          <w:p w14:paraId="42A131B5" w14:textId="77777777" w:rsidR="00BB68E1" w:rsidRDefault="00BB68E1">
            <w:pPr>
              <w:textAlignment w:val="bottom"/>
              <w:rPr>
                <w:rFonts w:ascii="Times New Roman" w:hAnsi="Times New Roman"/>
                <w:sz w:val="20"/>
                <w:szCs w:val="20"/>
              </w:rPr>
            </w:pPr>
          </w:p>
        </w:tc>
      </w:tr>
      <w:tr w:rsidR="00BB68E1" w14:paraId="42A131C3" w14:textId="77777777">
        <w:trPr>
          <w:jc w:val="center"/>
        </w:trPr>
        <w:tc>
          <w:tcPr>
            <w:tcW w:w="0" w:type="auto"/>
            <w:shd w:val="clear" w:color="auto" w:fill="auto"/>
            <w:tcMar>
              <w:top w:w="40" w:type="dxa"/>
              <w:left w:w="40" w:type="dxa"/>
              <w:bottom w:w="40" w:type="dxa"/>
              <w:right w:w="40" w:type="dxa"/>
            </w:tcMar>
            <w:vAlign w:val="bottom"/>
          </w:tcPr>
          <w:p w14:paraId="42A131B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Various</w:t>
            </w:r>
          </w:p>
        </w:tc>
        <w:tc>
          <w:tcPr>
            <w:tcW w:w="0" w:type="auto"/>
            <w:shd w:val="clear" w:color="auto" w:fill="auto"/>
            <w:tcMar>
              <w:top w:w="40" w:type="dxa"/>
              <w:left w:w="40" w:type="dxa"/>
              <w:bottom w:w="40" w:type="dxa"/>
              <w:right w:w="40" w:type="dxa"/>
            </w:tcMar>
            <w:vAlign w:val="bottom"/>
          </w:tcPr>
          <w:p w14:paraId="42A131B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B9"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$42</w:t>
            </w:r>
          </w:p>
        </w:tc>
        <w:tc>
          <w:tcPr>
            <w:tcW w:w="0" w:type="auto"/>
            <w:shd w:val="clear" w:color="auto" w:fill="auto"/>
            <w:tcMar>
              <w:top w:w="40" w:type="dxa"/>
              <w:left w:w="40" w:type="dxa"/>
              <w:bottom w:w="40" w:type="dxa"/>
              <w:right w:w="40" w:type="dxa"/>
            </w:tcMar>
            <w:vAlign w:val="bottom"/>
          </w:tcPr>
          <w:p w14:paraId="42A131B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BB"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Various</w:t>
            </w:r>
          </w:p>
        </w:tc>
        <w:tc>
          <w:tcPr>
            <w:tcW w:w="0" w:type="auto"/>
            <w:shd w:val="clear" w:color="auto" w:fill="auto"/>
            <w:tcMar>
              <w:top w:w="40" w:type="dxa"/>
              <w:left w:w="40" w:type="dxa"/>
              <w:bottom w:w="40" w:type="dxa"/>
              <w:right w:w="40" w:type="dxa"/>
            </w:tcMar>
            <w:vAlign w:val="bottom"/>
          </w:tcPr>
          <w:p w14:paraId="42A131B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BD"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Various</w:t>
            </w:r>
          </w:p>
        </w:tc>
        <w:tc>
          <w:tcPr>
            <w:tcW w:w="0" w:type="auto"/>
            <w:shd w:val="clear" w:color="auto" w:fill="auto"/>
            <w:tcMar>
              <w:top w:w="40" w:type="dxa"/>
              <w:left w:w="40" w:type="dxa"/>
              <w:bottom w:w="40" w:type="dxa"/>
              <w:right w:w="40" w:type="dxa"/>
            </w:tcMar>
            <w:vAlign w:val="bottom"/>
          </w:tcPr>
          <w:p w14:paraId="42A131B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BF"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Various</w:t>
            </w:r>
          </w:p>
        </w:tc>
        <w:tc>
          <w:tcPr>
            <w:tcW w:w="0" w:type="auto"/>
            <w:shd w:val="clear" w:color="auto" w:fill="auto"/>
            <w:tcMar>
              <w:top w:w="40" w:type="dxa"/>
              <w:left w:w="40" w:type="dxa"/>
              <w:bottom w:w="40" w:type="dxa"/>
              <w:right w:w="40" w:type="dxa"/>
            </w:tcMar>
            <w:vAlign w:val="bottom"/>
          </w:tcPr>
          <w:p w14:paraId="42A131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2A131C1"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42</w:t>
            </w:r>
          </w:p>
        </w:tc>
        <w:tc>
          <w:tcPr>
            <w:tcW w:w="0" w:type="auto"/>
            <w:tcBorders>
              <w:bottom w:val="single" w:sz="8" w:space="0" w:color="000000"/>
            </w:tcBorders>
            <w:shd w:val="clear" w:color="auto" w:fill="auto"/>
            <w:vAlign w:val="bottom"/>
          </w:tcPr>
          <w:p w14:paraId="42A131C2" w14:textId="77777777" w:rsidR="00BB68E1" w:rsidRDefault="00BB68E1">
            <w:pPr>
              <w:textAlignment w:val="bottom"/>
              <w:rPr>
                <w:rFonts w:ascii="Times New Roman" w:hAnsi="Times New Roman"/>
                <w:sz w:val="20"/>
                <w:szCs w:val="20"/>
              </w:rPr>
            </w:pPr>
          </w:p>
        </w:tc>
      </w:tr>
      <w:tr w:rsidR="00BB68E1" w14:paraId="42A131D1" w14:textId="77777777">
        <w:trPr>
          <w:jc w:val="center"/>
        </w:trPr>
        <w:tc>
          <w:tcPr>
            <w:tcW w:w="0" w:type="auto"/>
            <w:shd w:val="clear" w:color="auto" w:fill="CCEEFF"/>
            <w:tcMar>
              <w:top w:w="40" w:type="dxa"/>
              <w:left w:w="40" w:type="dxa"/>
              <w:bottom w:w="40" w:type="dxa"/>
              <w:right w:w="40" w:type="dxa"/>
            </w:tcMar>
            <w:vAlign w:val="bottom"/>
          </w:tcPr>
          <w:p w14:paraId="42A131C4"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CCEEFF"/>
            <w:tcMar>
              <w:top w:w="40" w:type="dxa"/>
              <w:left w:w="40" w:type="dxa"/>
              <w:bottom w:w="40" w:type="dxa"/>
              <w:right w:w="40" w:type="dxa"/>
            </w:tcMar>
            <w:vAlign w:val="bottom"/>
          </w:tcPr>
          <w:p w14:paraId="42A131C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1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1C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1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1C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1C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1C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1C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1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2A131CE"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2A131CF"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5,492</w:t>
            </w:r>
          </w:p>
        </w:tc>
        <w:tc>
          <w:tcPr>
            <w:tcW w:w="0" w:type="auto"/>
            <w:tcBorders>
              <w:top w:val="single" w:sz="8" w:space="0" w:color="000000"/>
              <w:bottom w:val="double" w:sz="6" w:space="0" w:color="000000"/>
            </w:tcBorders>
            <w:shd w:val="clear" w:color="auto" w:fill="CCEEFF"/>
            <w:vAlign w:val="bottom"/>
          </w:tcPr>
          <w:p w14:paraId="42A131D0" w14:textId="77777777" w:rsidR="00BB68E1" w:rsidRDefault="00BB68E1">
            <w:pPr>
              <w:textAlignment w:val="bottom"/>
              <w:rPr>
                <w:rFonts w:ascii="Times New Roman" w:hAnsi="Times New Roman"/>
                <w:sz w:val="20"/>
                <w:szCs w:val="20"/>
              </w:rPr>
            </w:pPr>
          </w:p>
        </w:tc>
      </w:tr>
    </w:tbl>
    <w:p w14:paraId="42A131D2" w14:textId="77777777" w:rsidR="00BB68E1" w:rsidRDefault="00BB68E1">
      <w:pPr>
        <w:spacing w:line="288" w:lineRule="auto"/>
        <w:jc w:val="center"/>
        <w:rPr>
          <w:rFonts w:ascii="Times New Roman" w:hAnsi="Times New Roman"/>
          <w:sz w:val="20"/>
          <w:szCs w:val="20"/>
        </w:rPr>
      </w:pPr>
    </w:p>
    <w:p w14:paraId="42A131D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Information on long-term debt issued during fiscal 2019, to fund a portion of the purchase price for the Flipkart acquisition and for general </w:t>
      </w:r>
      <w:r>
        <w:rPr>
          <w:rFonts w:ascii="Times New Roman" w:eastAsia="宋体" w:hAnsi="Times New Roman"/>
          <w:sz w:val="20"/>
          <w:szCs w:val="20"/>
        </w:rPr>
        <w:t>corporate purposes, is as follows:</w:t>
      </w:r>
    </w:p>
    <w:tbl>
      <w:tblPr>
        <w:tblW w:w="4990" w:type="pct"/>
        <w:tblCellMar>
          <w:left w:w="0" w:type="dxa"/>
          <w:right w:w="0" w:type="dxa"/>
        </w:tblCellMar>
        <w:tblLook w:val="04A0" w:firstRow="1" w:lastRow="0" w:firstColumn="1" w:lastColumn="0" w:noHBand="0" w:noVBand="1"/>
      </w:tblPr>
      <w:tblGrid>
        <w:gridCol w:w="1204"/>
        <w:gridCol w:w="130"/>
        <w:gridCol w:w="1287"/>
        <w:gridCol w:w="130"/>
        <w:gridCol w:w="1287"/>
        <w:gridCol w:w="130"/>
        <w:gridCol w:w="1287"/>
        <w:gridCol w:w="130"/>
        <w:gridCol w:w="1287"/>
        <w:gridCol w:w="130"/>
        <w:gridCol w:w="121"/>
        <w:gridCol w:w="1121"/>
        <w:gridCol w:w="45"/>
      </w:tblGrid>
      <w:tr w:rsidR="00BB68E1" w14:paraId="42A131D5" w14:textId="77777777">
        <w:tc>
          <w:tcPr>
            <w:tcW w:w="0" w:type="auto"/>
            <w:gridSpan w:val="13"/>
            <w:shd w:val="clear" w:color="auto" w:fill="auto"/>
            <w:vAlign w:val="center"/>
          </w:tcPr>
          <w:p w14:paraId="42A131D4" w14:textId="77777777" w:rsidR="00BB68E1" w:rsidRDefault="00BB68E1">
            <w:pPr>
              <w:rPr>
                <w:rFonts w:ascii="Times New Roman" w:hAnsi="Times New Roman"/>
                <w:sz w:val="20"/>
                <w:szCs w:val="20"/>
              </w:rPr>
            </w:pPr>
          </w:p>
        </w:tc>
      </w:tr>
      <w:tr w:rsidR="00BB68E1" w14:paraId="42A131E3" w14:textId="77777777">
        <w:tc>
          <w:tcPr>
            <w:tcW w:w="750" w:type="pct"/>
            <w:shd w:val="clear" w:color="auto" w:fill="auto"/>
            <w:vAlign w:val="center"/>
          </w:tcPr>
          <w:p w14:paraId="42A131D6" w14:textId="77777777" w:rsidR="00BB68E1" w:rsidRDefault="00BB68E1">
            <w:pPr>
              <w:rPr>
                <w:rFonts w:ascii="Times New Roman" w:hAnsi="Times New Roman"/>
                <w:sz w:val="20"/>
                <w:szCs w:val="20"/>
              </w:rPr>
            </w:pPr>
          </w:p>
        </w:tc>
        <w:tc>
          <w:tcPr>
            <w:tcW w:w="50" w:type="pct"/>
            <w:shd w:val="clear" w:color="auto" w:fill="auto"/>
            <w:vAlign w:val="center"/>
          </w:tcPr>
          <w:p w14:paraId="42A131D7" w14:textId="77777777" w:rsidR="00BB68E1" w:rsidRDefault="00BB68E1">
            <w:pPr>
              <w:rPr>
                <w:rFonts w:ascii="Times New Roman" w:hAnsi="Times New Roman"/>
                <w:sz w:val="20"/>
                <w:szCs w:val="20"/>
              </w:rPr>
            </w:pPr>
          </w:p>
        </w:tc>
        <w:tc>
          <w:tcPr>
            <w:tcW w:w="800" w:type="pct"/>
            <w:shd w:val="clear" w:color="auto" w:fill="auto"/>
            <w:vAlign w:val="center"/>
          </w:tcPr>
          <w:p w14:paraId="42A131D8" w14:textId="77777777" w:rsidR="00BB68E1" w:rsidRDefault="00BB68E1">
            <w:pPr>
              <w:rPr>
                <w:rFonts w:ascii="Times New Roman" w:hAnsi="Times New Roman"/>
                <w:sz w:val="20"/>
                <w:szCs w:val="20"/>
              </w:rPr>
            </w:pPr>
          </w:p>
        </w:tc>
        <w:tc>
          <w:tcPr>
            <w:tcW w:w="50" w:type="pct"/>
            <w:shd w:val="clear" w:color="auto" w:fill="auto"/>
            <w:vAlign w:val="center"/>
          </w:tcPr>
          <w:p w14:paraId="42A131D9" w14:textId="77777777" w:rsidR="00BB68E1" w:rsidRDefault="00BB68E1">
            <w:pPr>
              <w:rPr>
                <w:rFonts w:ascii="Times New Roman" w:hAnsi="Times New Roman"/>
                <w:sz w:val="20"/>
                <w:szCs w:val="20"/>
              </w:rPr>
            </w:pPr>
          </w:p>
        </w:tc>
        <w:tc>
          <w:tcPr>
            <w:tcW w:w="800" w:type="pct"/>
            <w:shd w:val="clear" w:color="auto" w:fill="auto"/>
            <w:vAlign w:val="center"/>
          </w:tcPr>
          <w:p w14:paraId="42A131DA" w14:textId="77777777" w:rsidR="00BB68E1" w:rsidRDefault="00BB68E1">
            <w:pPr>
              <w:rPr>
                <w:rFonts w:ascii="Times New Roman" w:hAnsi="Times New Roman"/>
                <w:sz w:val="20"/>
                <w:szCs w:val="20"/>
              </w:rPr>
            </w:pPr>
          </w:p>
        </w:tc>
        <w:tc>
          <w:tcPr>
            <w:tcW w:w="50" w:type="pct"/>
            <w:shd w:val="clear" w:color="auto" w:fill="auto"/>
            <w:vAlign w:val="center"/>
          </w:tcPr>
          <w:p w14:paraId="42A131DB" w14:textId="77777777" w:rsidR="00BB68E1" w:rsidRDefault="00BB68E1">
            <w:pPr>
              <w:rPr>
                <w:rFonts w:ascii="Times New Roman" w:hAnsi="Times New Roman"/>
                <w:sz w:val="20"/>
                <w:szCs w:val="20"/>
              </w:rPr>
            </w:pPr>
          </w:p>
        </w:tc>
        <w:tc>
          <w:tcPr>
            <w:tcW w:w="800" w:type="pct"/>
            <w:shd w:val="clear" w:color="auto" w:fill="auto"/>
            <w:vAlign w:val="center"/>
          </w:tcPr>
          <w:p w14:paraId="42A131DC" w14:textId="77777777" w:rsidR="00BB68E1" w:rsidRDefault="00BB68E1">
            <w:pPr>
              <w:rPr>
                <w:rFonts w:ascii="Times New Roman" w:hAnsi="Times New Roman"/>
                <w:sz w:val="20"/>
                <w:szCs w:val="20"/>
              </w:rPr>
            </w:pPr>
          </w:p>
        </w:tc>
        <w:tc>
          <w:tcPr>
            <w:tcW w:w="50" w:type="pct"/>
            <w:shd w:val="clear" w:color="auto" w:fill="auto"/>
            <w:vAlign w:val="center"/>
          </w:tcPr>
          <w:p w14:paraId="42A131DD" w14:textId="77777777" w:rsidR="00BB68E1" w:rsidRDefault="00BB68E1">
            <w:pPr>
              <w:rPr>
                <w:rFonts w:ascii="Times New Roman" w:hAnsi="Times New Roman"/>
                <w:sz w:val="20"/>
                <w:szCs w:val="20"/>
              </w:rPr>
            </w:pPr>
          </w:p>
        </w:tc>
        <w:tc>
          <w:tcPr>
            <w:tcW w:w="800" w:type="pct"/>
            <w:shd w:val="clear" w:color="auto" w:fill="auto"/>
            <w:vAlign w:val="center"/>
          </w:tcPr>
          <w:p w14:paraId="42A131DE" w14:textId="77777777" w:rsidR="00BB68E1" w:rsidRDefault="00BB68E1">
            <w:pPr>
              <w:rPr>
                <w:rFonts w:ascii="Times New Roman" w:hAnsi="Times New Roman"/>
                <w:sz w:val="20"/>
                <w:szCs w:val="20"/>
              </w:rPr>
            </w:pPr>
          </w:p>
        </w:tc>
        <w:tc>
          <w:tcPr>
            <w:tcW w:w="50" w:type="pct"/>
            <w:shd w:val="clear" w:color="auto" w:fill="auto"/>
            <w:vAlign w:val="center"/>
          </w:tcPr>
          <w:p w14:paraId="42A131DF" w14:textId="77777777" w:rsidR="00BB68E1" w:rsidRDefault="00BB68E1">
            <w:pPr>
              <w:rPr>
                <w:rFonts w:ascii="Times New Roman" w:hAnsi="Times New Roman"/>
                <w:sz w:val="20"/>
                <w:szCs w:val="20"/>
              </w:rPr>
            </w:pPr>
          </w:p>
        </w:tc>
        <w:tc>
          <w:tcPr>
            <w:tcW w:w="50" w:type="pct"/>
            <w:shd w:val="clear" w:color="auto" w:fill="auto"/>
            <w:vAlign w:val="center"/>
          </w:tcPr>
          <w:p w14:paraId="42A131E0" w14:textId="77777777" w:rsidR="00BB68E1" w:rsidRDefault="00BB68E1">
            <w:pPr>
              <w:rPr>
                <w:rFonts w:ascii="Times New Roman" w:hAnsi="Times New Roman"/>
                <w:sz w:val="20"/>
                <w:szCs w:val="20"/>
              </w:rPr>
            </w:pPr>
          </w:p>
        </w:tc>
        <w:tc>
          <w:tcPr>
            <w:tcW w:w="700" w:type="pct"/>
            <w:shd w:val="clear" w:color="auto" w:fill="auto"/>
            <w:vAlign w:val="center"/>
          </w:tcPr>
          <w:p w14:paraId="42A131E1" w14:textId="77777777" w:rsidR="00BB68E1" w:rsidRDefault="00BB68E1">
            <w:pPr>
              <w:rPr>
                <w:rFonts w:ascii="Times New Roman" w:hAnsi="Times New Roman"/>
                <w:sz w:val="20"/>
                <w:szCs w:val="20"/>
              </w:rPr>
            </w:pPr>
          </w:p>
        </w:tc>
        <w:tc>
          <w:tcPr>
            <w:tcW w:w="50" w:type="pct"/>
            <w:shd w:val="clear" w:color="auto" w:fill="auto"/>
            <w:vAlign w:val="center"/>
          </w:tcPr>
          <w:p w14:paraId="42A131E2" w14:textId="77777777" w:rsidR="00BB68E1" w:rsidRDefault="00BB68E1">
            <w:pPr>
              <w:rPr>
                <w:rFonts w:ascii="Times New Roman" w:hAnsi="Times New Roman"/>
                <w:sz w:val="20"/>
                <w:szCs w:val="20"/>
              </w:rPr>
            </w:pPr>
          </w:p>
        </w:tc>
      </w:tr>
      <w:tr w:rsidR="00BB68E1" w14:paraId="42A131EF" w14:textId="77777777">
        <w:tc>
          <w:tcPr>
            <w:tcW w:w="0" w:type="auto"/>
            <w:shd w:val="clear" w:color="auto" w:fill="auto"/>
            <w:tcMar>
              <w:top w:w="40" w:type="dxa"/>
              <w:left w:w="40" w:type="dxa"/>
              <w:bottom w:w="40" w:type="dxa"/>
              <w:right w:w="40" w:type="dxa"/>
            </w:tcMar>
            <w:vAlign w:val="bottom"/>
          </w:tcPr>
          <w:p w14:paraId="42A131E4"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31E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E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E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E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E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E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E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E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1E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1E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1FB"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42A131F0"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Issue Date</w:t>
            </w:r>
          </w:p>
        </w:tc>
        <w:tc>
          <w:tcPr>
            <w:tcW w:w="0" w:type="auto"/>
            <w:shd w:val="clear" w:color="auto" w:fill="auto"/>
            <w:tcMar>
              <w:top w:w="40" w:type="dxa"/>
              <w:left w:w="40" w:type="dxa"/>
              <w:bottom w:w="40" w:type="dxa"/>
              <w:right w:w="40" w:type="dxa"/>
            </w:tcMar>
            <w:vAlign w:val="bottom"/>
          </w:tcPr>
          <w:p w14:paraId="42A131F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31F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Principal Amount</w:t>
            </w:r>
          </w:p>
        </w:tc>
        <w:tc>
          <w:tcPr>
            <w:tcW w:w="0" w:type="auto"/>
            <w:shd w:val="clear" w:color="auto" w:fill="auto"/>
            <w:tcMar>
              <w:top w:w="40" w:type="dxa"/>
              <w:left w:w="40" w:type="dxa"/>
              <w:bottom w:w="40" w:type="dxa"/>
              <w:right w:w="40" w:type="dxa"/>
            </w:tcMar>
            <w:vAlign w:val="bottom"/>
          </w:tcPr>
          <w:p w14:paraId="42A131F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31F4"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Maturity Date</w:t>
            </w:r>
          </w:p>
        </w:tc>
        <w:tc>
          <w:tcPr>
            <w:tcW w:w="0" w:type="auto"/>
            <w:shd w:val="clear" w:color="auto" w:fill="auto"/>
            <w:tcMar>
              <w:top w:w="40" w:type="dxa"/>
              <w:left w:w="40" w:type="dxa"/>
              <w:bottom w:w="40" w:type="dxa"/>
              <w:right w:w="40" w:type="dxa"/>
            </w:tcMar>
            <w:vAlign w:val="bottom"/>
          </w:tcPr>
          <w:p w14:paraId="42A131F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31F6"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Fixed vs. Floating</w:t>
            </w:r>
          </w:p>
        </w:tc>
        <w:tc>
          <w:tcPr>
            <w:tcW w:w="0" w:type="auto"/>
            <w:shd w:val="clear" w:color="auto" w:fill="auto"/>
            <w:tcMar>
              <w:top w:w="40" w:type="dxa"/>
              <w:left w:w="40" w:type="dxa"/>
              <w:bottom w:w="40" w:type="dxa"/>
              <w:right w:w="40" w:type="dxa"/>
            </w:tcMar>
            <w:vAlign w:val="bottom"/>
          </w:tcPr>
          <w:p w14:paraId="42A131F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31F8"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Interest Rate</w:t>
            </w:r>
          </w:p>
        </w:tc>
        <w:tc>
          <w:tcPr>
            <w:tcW w:w="0" w:type="auto"/>
            <w:shd w:val="clear" w:color="auto" w:fill="auto"/>
            <w:tcMar>
              <w:top w:w="40" w:type="dxa"/>
              <w:left w:w="40" w:type="dxa"/>
              <w:bottom w:w="40" w:type="dxa"/>
              <w:right w:w="40" w:type="dxa"/>
            </w:tcMar>
            <w:vAlign w:val="bottom"/>
          </w:tcPr>
          <w:p w14:paraId="42A131F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1FA"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Net Proceeds</w:t>
            </w:r>
          </w:p>
        </w:tc>
      </w:tr>
      <w:tr w:rsidR="00BB68E1" w14:paraId="42A13209"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42A131FC"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June 27, 2018</w:t>
            </w:r>
          </w:p>
        </w:tc>
        <w:tc>
          <w:tcPr>
            <w:tcW w:w="0" w:type="auto"/>
            <w:shd w:val="clear" w:color="auto" w:fill="CCEEFF"/>
            <w:tcMar>
              <w:top w:w="40" w:type="dxa"/>
              <w:left w:w="40" w:type="dxa"/>
              <w:bottom w:w="40" w:type="dxa"/>
              <w:right w:w="40" w:type="dxa"/>
            </w:tcMar>
            <w:vAlign w:val="bottom"/>
          </w:tcPr>
          <w:p w14:paraId="42A131F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42A131FE"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$750</w:t>
            </w:r>
          </w:p>
        </w:tc>
        <w:tc>
          <w:tcPr>
            <w:tcW w:w="0" w:type="auto"/>
            <w:shd w:val="clear" w:color="auto" w:fill="CCEEFF"/>
            <w:tcMar>
              <w:top w:w="40" w:type="dxa"/>
              <w:left w:w="40" w:type="dxa"/>
              <w:bottom w:w="40" w:type="dxa"/>
              <w:right w:w="40" w:type="dxa"/>
            </w:tcMar>
            <w:vAlign w:val="bottom"/>
          </w:tcPr>
          <w:p w14:paraId="42A131F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42A13200"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June 23, 2020</w:t>
            </w:r>
          </w:p>
        </w:tc>
        <w:tc>
          <w:tcPr>
            <w:tcW w:w="0" w:type="auto"/>
            <w:shd w:val="clear" w:color="auto" w:fill="CCEEFF"/>
            <w:tcMar>
              <w:top w:w="40" w:type="dxa"/>
              <w:left w:w="40" w:type="dxa"/>
              <w:bottom w:w="40" w:type="dxa"/>
              <w:right w:w="40" w:type="dxa"/>
            </w:tcMar>
            <w:vAlign w:val="bottom"/>
          </w:tcPr>
          <w:p w14:paraId="42A1320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42A13202"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Floating</w:t>
            </w:r>
          </w:p>
        </w:tc>
        <w:tc>
          <w:tcPr>
            <w:tcW w:w="0" w:type="auto"/>
            <w:shd w:val="clear" w:color="auto" w:fill="CCEEFF"/>
            <w:tcMar>
              <w:top w:w="40" w:type="dxa"/>
              <w:left w:w="40" w:type="dxa"/>
              <w:bottom w:w="40" w:type="dxa"/>
              <w:right w:w="40" w:type="dxa"/>
            </w:tcMar>
            <w:vAlign w:val="bottom"/>
          </w:tcPr>
          <w:p w14:paraId="42A1320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42A13204"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Floating</w:t>
            </w:r>
          </w:p>
        </w:tc>
        <w:tc>
          <w:tcPr>
            <w:tcW w:w="0" w:type="auto"/>
            <w:shd w:val="clear" w:color="auto" w:fill="CCEEFF"/>
            <w:tcMar>
              <w:top w:w="40" w:type="dxa"/>
              <w:left w:w="40" w:type="dxa"/>
              <w:bottom w:w="40" w:type="dxa"/>
              <w:right w:w="40" w:type="dxa"/>
            </w:tcMar>
            <w:vAlign w:val="bottom"/>
          </w:tcPr>
          <w:p w14:paraId="42A1320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2A13206"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2A13207"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748</w:t>
            </w:r>
          </w:p>
        </w:tc>
        <w:tc>
          <w:tcPr>
            <w:tcW w:w="0" w:type="auto"/>
            <w:tcBorders>
              <w:top w:val="single" w:sz="8" w:space="0" w:color="000000"/>
            </w:tcBorders>
            <w:shd w:val="clear" w:color="auto" w:fill="CCEEFF"/>
            <w:vAlign w:val="bottom"/>
          </w:tcPr>
          <w:p w14:paraId="42A13208" w14:textId="77777777" w:rsidR="00BB68E1" w:rsidRDefault="00BB68E1">
            <w:pPr>
              <w:textAlignment w:val="bottom"/>
              <w:rPr>
                <w:rFonts w:ascii="Times New Roman" w:hAnsi="Times New Roman"/>
                <w:sz w:val="20"/>
                <w:szCs w:val="20"/>
              </w:rPr>
            </w:pPr>
          </w:p>
        </w:tc>
      </w:tr>
      <w:tr w:rsidR="00BB68E1" w14:paraId="42A13216" w14:textId="77777777">
        <w:tc>
          <w:tcPr>
            <w:tcW w:w="0" w:type="auto"/>
            <w:shd w:val="clear" w:color="auto" w:fill="auto"/>
            <w:tcMar>
              <w:top w:w="40" w:type="dxa"/>
              <w:left w:w="40" w:type="dxa"/>
              <w:bottom w:w="40" w:type="dxa"/>
              <w:right w:w="40" w:type="dxa"/>
            </w:tcMar>
            <w:vAlign w:val="bottom"/>
          </w:tcPr>
          <w:p w14:paraId="42A1320A"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June 27, 2018</w:t>
            </w:r>
          </w:p>
        </w:tc>
        <w:tc>
          <w:tcPr>
            <w:tcW w:w="0" w:type="auto"/>
            <w:shd w:val="clear" w:color="auto" w:fill="auto"/>
            <w:tcMar>
              <w:top w:w="40" w:type="dxa"/>
              <w:left w:w="40" w:type="dxa"/>
              <w:bottom w:w="40" w:type="dxa"/>
              <w:right w:w="40" w:type="dxa"/>
            </w:tcMar>
            <w:vAlign w:val="bottom"/>
          </w:tcPr>
          <w:p w14:paraId="42A1320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0C"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$1,250</w:t>
            </w:r>
          </w:p>
        </w:tc>
        <w:tc>
          <w:tcPr>
            <w:tcW w:w="0" w:type="auto"/>
            <w:shd w:val="clear" w:color="auto" w:fill="auto"/>
            <w:tcMar>
              <w:top w:w="40" w:type="dxa"/>
              <w:left w:w="40" w:type="dxa"/>
              <w:bottom w:w="40" w:type="dxa"/>
              <w:right w:w="40" w:type="dxa"/>
            </w:tcMar>
            <w:vAlign w:val="bottom"/>
          </w:tcPr>
          <w:p w14:paraId="42A1320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0E"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June 23, 2020</w:t>
            </w:r>
          </w:p>
        </w:tc>
        <w:tc>
          <w:tcPr>
            <w:tcW w:w="0" w:type="auto"/>
            <w:shd w:val="clear" w:color="auto" w:fill="auto"/>
            <w:tcMar>
              <w:top w:w="40" w:type="dxa"/>
              <w:left w:w="40" w:type="dxa"/>
              <w:bottom w:w="40" w:type="dxa"/>
              <w:right w:w="40" w:type="dxa"/>
            </w:tcMar>
            <w:vAlign w:val="bottom"/>
          </w:tcPr>
          <w:p w14:paraId="42A1320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10"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Fixed</w:t>
            </w:r>
          </w:p>
        </w:tc>
        <w:tc>
          <w:tcPr>
            <w:tcW w:w="0" w:type="auto"/>
            <w:shd w:val="clear" w:color="auto" w:fill="auto"/>
            <w:tcMar>
              <w:top w:w="40" w:type="dxa"/>
              <w:left w:w="40" w:type="dxa"/>
              <w:bottom w:w="40" w:type="dxa"/>
              <w:right w:w="40" w:type="dxa"/>
            </w:tcMar>
            <w:vAlign w:val="bottom"/>
          </w:tcPr>
          <w:p w14:paraId="42A1321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12"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2.850%</w:t>
            </w:r>
          </w:p>
        </w:tc>
        <w:tc>
          <w:tcPr>
            <w:tcW w:w="0" w:type="auto"/>
            <w:shd w:val="clear" w:color="auto" w:fill="auto"/>
            <w:tcMar>
              <w:top w:w="40" w:type="dxa"/>
              <w:left w:w="40" w:type="dxa"/>
              <w:bottom w:w="40" w:type="dxa"/>
              <w:right w:w="40" w:type="dxa"/>
            </w:tcMar>
            <w:vAlign w:val="bottom"/>
          </w:tcPr>
          <w:p w14:paraId="42A1321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214"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1,247</w:t>
            </w:r>
          </w:p>
        </w:tc>
        <w:tc>
          <w:tcPr>
            <w:tcW w:w="0" w:type="auto"/>
            <w:shd w:val="clear" w:color="auto" w:fill="auto"/>
            <w:vAlign w:val="bottom"/>
          </w:tcPr>
          <w:p w14:paraId="42A13215" w14:textId="77777777" w:rsidR="00BB68E1" w:rsidRDefault="00BB68E1">
            <w:pPr>
              <w:textAlignment w:val="bottom"/>
              <w:rPr>
                <w:rFonts w:ascii="Times New Roman" w:hAnsi="Times New Roman"/>
                <w:sz w:val="20"/>
                <w:szCs w:val="20"/>
              </w:rPr>
            </w:pPr>
          </w:p>
        </w:tc>
      </w:tr>
      <w:tr w:rsidR="00BB68E1" w14:paraId="42A13223" w14:textId="77777777">
        <w:tc>
          <w:tcPr>
            <w:tcW w:w="0" w:type="auto"/>
            <w:shd w:val="clear" w:color="auto" w:fill="CCEEFF"/>
            <w:tcMar>
              <w:top w:w="40" w:type="dxa"/>
              <w:left w:w="40" w:type="dxa"/>
              <w:bottom w:w="40" w:type="dxa"/>
              <w:right w:w="40" w:type="dxa"/>
            </w:tcMar>
            <w:vAlign w:val="bottom"/>
          </w:tcPr>
          <w:p w14:paraId="42A1321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June 27, 2018</w:t>
            </w:r>
          </w:p>
        </w:tc>
        <w:tc>
          <w:tcPr>
            <w:tcW w:w="0" w:type="auto"/>
            <w:shd w:val="clear" w:color="auto" w:fill="CCEEFF"/>
            <w:tcMar>
              <w:top w:w="40" w:type="dxa"/>
              <w:left w:w="40" w:type="dxa"/>
              <w:bottom w:w="40" w:type="dxa"/>
              <w:right w:w="40" w:type="dxa"/>
            </w:tcMar>
            <w:vAlign w:val="bottom"/>
          </w:tcPr>
          <w:p w14:paraId="42A1321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19"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$750</w:t>
            </w:r>
          </w:p>
        </w:tc>
        <w:tc>
          <w:tcPr>
            <w:tcW w:w="0" w:type="auto"/>
            <w:shd w:val="clear" w:color="auto" w:fill="CCEEFF"/>
            <w:tcMar>
              <w:top w:w="40" w:type="dxa"/>
              <w:left w:w="40" w:type="dxa"/>
              <w:bottom w:w="40" w:type="dxa"/>
              <w:right w:w="40" w:type="dxa"/>
            </w:tcMar>
            <w:vAlign w:val="bottom"/>
          </w:tcPr>
          <w:p w14:paraId="42A1321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1B"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June 23, 2021</w:t>
            </w:r>
          </w:p>
        </w:tc>
        <w:tc>
          <w:tcPr>
            <w:tcW w:w="0" w:type="auto"/>
            <w:shd w:val="clear" w:color="auto" w:fill="CCEEFF"/>
            <w:tcMar>
              <w:top w:w="40" w:type="dxa"/>
              <w:left w:w="40" w:type="dxa"/>
              <w:bottom w:w="40" w:type="dxa"/>
              <w:right w:w="40" w:type="dxa"/>
            </w:tcMar>
            <w:vAlign w:val="bottom"/>
          </w:tcPr>
          <w:p w14:paraId="42A1321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1D"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Floating</w:t>
            </w:r>
          </w:p>
        </w:tc>
        <w:tc>
          <w:tcPr>
            <w:tcW w:w="0" w:type="auto"/>
            <w:shd w:val="clear" w:color="auto" w:fill="CCEEFF"/>
            <w:tcMar>
              <w:top w:w="40" w:type="dxa"/>
              <w:left w:w="40" w:type="dxa"/>
              <w:bottom w:w="40" w:type="dxa"/>
              <w:right w:w="40" w:type="dxa"/>
            </w:tcMar>
            <w:vAlign w:val="bottom"/>
          </w:tcPr>
          <w:p w14:paraId="42A1321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1F"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Floating</w:t>
            </w:r>
          </w:p>
        </w:tc>
        <w:tc>
          <w:tcPr>
            <w:tcW w:w="0" w:type="auto"/>
            <w:shd w:val="clear" w:color="auto" w:fill="CCEEFF"/>
            <w:tcMar>
              <w:top w:w="40" w:type="dxa"/>
              <w:left w:w="40" w:type="dxa"/>
              <w:bottom w:w="40" w:type="dxa"/>
              <w:right w:w="40" w:type="dxa"/>
            </w:tcMar>
            <w:vAlign w:val="bottom"/>
          </w:tcPr>
          <w:p w14:paraId="42A1322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221"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748</w:t>
            </w:r>
          </w:p>
        </w:tc>
        <w:tc>
          <w:tcPr>
            <w:tcW w:w="0" w:type="auto"/>
            <w:shd w:val="clear" w:color="auto" w:fill="CCEEFF"/>
            <w:vAlign w:val="bottom"/>
          </w:tcPr>
          <w:p w14:paraId="42A13222" w14:textId="77777777" w:rsidR="00BB68E1" w:rsidRDefault="00BB68E1">
            <w:pPr>
              <w:textAlignment w:val="bottom"/>
              <w:rPr>
                <w:rFonts w:ascii="Times New Roman" w:hAnsi="Times New Roman"/>
                <w:sz w:val="20"/>
                <w:szCs w:val="20"/>
              </w:rPr>
            </w:pPr>
          </w:p>
        </w:tc>
      </w:tr>
      <w:tr w:rsidR="00BB68E1" w14:paraId="42A13230" w14:textId="77777777">
        <w:tc>
          <w:tcPr>
            <w:tcW w:w="0" w:type="auto"/>
            <w:shd w:val="clear" w:color="auto" w:fill="auto"/>
            <w:tcMar>
              <w:top w:w="40" w:type="dxa"/>
              <w:left w:w="40" w:type="dxa"/>
              <w:bottom w:w="40" w:type="dxa"/>
              <w:right w:w="40" w:type="dxa"/>
            </w:tcMar>
            <w:vAlign w:val="bottom"/>
          </w:tcPr>
          <w:p w14:paraId="42A13224"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June 27, 2018</w:t>
            </w:r>
          </w:p>
        </w:tc>
        <w:tc>
          <w:tcPr>
            <w:tcW w:w="0" w:type="auto"/>
            <w:shd w:val="clear" w:color="auto" w:fill="auto"/>
            <w:tcMar>
              <w:top w:w="40" w:type="dxa"/>
              <w:left w:w="40" w:type="dxa"/>
              <w:bottom w:w="40" w:type="dxa"/>
              <w:right w:w="40" w:type="dxa"/>
            </w:tcMar>
            <w:vAlign w:val="bottom"/>
          </w:tcPr>
          <w:p w14:paraId="42A1322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26"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$1,750</w:t>
            </w:r>
          </w:p>
        </w:tc>
        <w:tc>
          <w:tcPr>
            <w:tcW w:w="0" w:type="auto"/>
            <w:shd w:val="clear" w:color="auto" w:fill="auto"/>
            <w:tcMar>
              <w:top w:w="40" w:type="dxa"/>
              <w:left w:w="40" w:type="dxa"/>
              <w:bottom w:w="40" w:type="dxa"/>
              <w:right w:w="40" w:type="dxa"/>
            </w:tcMar>
            <w:vAlign w:val="bottom"/>
          </w:tcPr>
          <w:p w14:paraId="42A1322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28"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June 23, 2021</w:t>
            </w:r>
          </w:p>
        </w:tc>
        <w:tc>
          <w:tcPr>
            <w:tcW w:w="0" w:type="auto"/>
            <w:shd w:val="clear" w:color="auto" w:fill="auto"/>
            <w:tcMar>
              <w:top w:w="40" w:type="dxa"/>
              <w:left w:w="40" w:type="dxa"/>
              <w:bottom w:w="40" w:type="dxa"/>
              <w:right w:w="40" w:type="dxa"/>
            </w:tcMar>
            <w:vAlign w:val="bottom"/>
          </w:tcPr>
          <w:p w14:paraId="42A1322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2A"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Fixed</w:t>
            </w:r>
          </w:p>
        </w:tc>
        <w:tc>
          <w:tcPr>
            <w:tcW w:w="0" w:type="auto"/>
            <w:shd w:val="clear" w:color="auto" w:fill="auto"/>
            <w:tcMar>
              <w:top w:w="40" w:type="dxa"/>
              <w:left w:w="40" w:type="dxa"/>
              <w:bottom w:w="40" w:type="dxa"/>
              <w:right w:w="40" w:type="dxa"/>
            </w:tcMar>
            <w:vAlign w:val="bottom"/>
          </w:tcPr>
          <w:p w14:paraId="42A1322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2C"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3.125%</w:t>
            </w:r>
          </w:p>
        </w:tc>
        <w:tc>
          <w:tcPr>
            <w:tcW w:w="0" w:type="auto"/>
            <w:shd w:val="clear" w:color="auto" w:fill="auto"/>
            <w:tcMar>
              <w:top w:w="40" w:type="dxa"/>
              <w:left w:w="40" w:type="dxa"/>
              <w:bottom w:w="40" w:type="dxa"/>
              <w:right w:w="40" w:type="dxa"/>
            </w:tcMar>
            <w:vAlign w:val="bottom"/>
          </w:tcPr>
          <w:p w14:paraId="42A1322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22E"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1,745</w:t>
            </w:r>
          </w:p>
        </w:tc>
        <w:tc>
          <w:tcPr>
            <w:tcW w:w="0" w:type="auto"/>
            <w:shd w:val="clear" w:color="auto" w:fill="auto"/>
            <w:vAlign w:val="bottom"/>
          </w:tcPr>
          <w:p w14:paraId="42A1322F" w14:textId="77777777" w:rsidR="00BB68E1" w:rsidRDefault="00BB68E1">
            <w:pPr>
              <w:textAlignment w:val="bottom"/>
              <w:rPr>
                <w:rFonts w:ascii="Times New Roman" w:hAnsi="Times New Roman"/>
                <w:sz w:val="20"/>
                <w:szCs w:val="20"/>
              </w:rPr>
            </w:pPr>
          </w:p>
        </w:tc>
      </w:tr>
      <w:tr w:rsidR="00BB68E1" w14:paraId="42A1323D" w14:textId="77777777">
        <w:tc>
          <w:tcPr>
            <w:tcW w:w="0" w:type="auto"/>
            <w:shd w:val="clear" w:color="auto" w:fill="CCEEFF"/>
            <w:tcMar>
              <w:top w:w="40" w:type="dxa"/>
              <w:left w:w="40" w:type="dxa"/>
              <w:bottom w:w="40" w:type="dxa"/>
              <w:right w:w="40" w:type="dxa"/>
            </w:tcMar>
            <w:vAlign w:val="bottom"/>
          </w:tcPr>
          <w:p w14:paraId="42A1323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June 27, 2018</w:t>
            </w:r>
          </w:p>
        </w:tc>
        <w:tc>
          <w:tcPr>
            <w:tcW w:w="0" w:type="auto"/>
            <w:shd w:val="clear" w:color="auto" w:fill="CCEEFF"/>
            <w:tcMar>
              <w:top w:w="40" w:type="dxa"/>
              <w:left w:w="40" w:type="dxa"/>
              <w:bottom w:w="40" w:type="dxa"/>
              <w:right w:w="40" w:type="dxa"/>
            </w:tcMar>
            <w:vAlign w:val="bottom"/>
          </w:tcPr>
          <w:p w14:paraId="42A1323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33"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$2,750</w:t>
            </w:r>
          </w:p>
        </w:tc>
        <w:tc>
          <w:tcPr>
            <w:tcW w:w="0" w:type="auto"/>
            <w:shd w:val="clear" w:color="auto" w:fill="CCEEFF"/>
            <w:tcMar>
              <w:top w:w="40" w:type="dxa"/>
              <w:left w:w="40" w:type="dxa"/>
              <w:bottom w:w="40" w:type="dxa"/>
              <w:right w:w="40" w:type="dxa"/>
            </w:tcMar>
            <w:vAlign w:val="bottom"/>
          </w:tcPr>
          <w:p w14:paraId="42A1323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35"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 xml:space="preserve">June 26, </w:t>
            </w:r>
            <w:r>
              <w:rPr>
                <w:rFonts w:ascii="Times New Roman" w:eastAsia="宋体" w:hAnsi="Times New Roman"/>
                <w:sz w:val="16"/>
                <w:szCs w:val="16"/>
              </w:rPr>
              <w:t>2023</w:t>
            </w:r>
          </w:p>
        </w:tc>
        <w:tc>
          <w:tcPr>
            <w:tcW w:w="0" w:type="auto"/>
            <w:shd w:val="clear" w:color="auto" w:fill="CCEEFF"/>
            <w:tcMar>
              <w:top w:w="40" w:type="dxa"/>
              <w:left w:w="40" w:type="dxa"/>
              <w:bottom w:w="40" w:type="dxa"/>
              <w:right w:w="40" w:type="dxa"/>
            </w:tcMar>
            <w:vAlign w:val="bottom"/>
          </w:tcPr>
          <w:p w14:paraId="42A1323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37"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Fixed</w:t>
            </w:r>
          </w:p>
        </w:tc>
        <w:tc>
          <w:tcPr>
            <w:tcW w:w="0" w:type="auto"/>
            <w:shd w:val="clear" w:color="auto" w:fill="CCEEFF"/>
            <w:tcMar>
              <w:top w:w="40" w:type="dxa"/>
              <w:left w:w="40" w:type="dxa"/>
              <w:bottom w:w="40" w:type="dxa"/>
              <w:right w:w="40" w:type="dxa"/>
            </w:tcMar>
            <w:vAlign w:val="bottom"/>
          </w:tcPr>
          <w:p w14:paraId="42A1323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39"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3.400%</w:t>
            </w:r>
          </w:p>
        </w:tc>
        <w:tc>
          <w:tcPr>
            <w:tcW w:w="0" w:type="auto"/>
            <w:shd w:val="clear" w:color="auto" w:fill="CCEEFF"/>
            <w:tcMar>
              <w:top w:w="40" w:type="dxa"/>
              <w:left w:w="40" w:type="dxa"/>
              <w:bottom w:w="40" w:type="dxa"/>
              <w:right w:w="40" w:type="dxa"/>
            </w:tcMar>
            <w:vAlign w:val="bottom"/>
          </w:tcPr>
          <w:p w14:paraId="42A1323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23B"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2,740</w:t>
            </w:r>
          </w:p>
        </w:tc>
        <w:tc>
          <w:tcPr>
            <w:tcW w:w="0" w:type="auto"/>
            <w:shd w:val="clear" w:color="auto" w:fill="CCEEFF"/>
            <w:vAlign w:val="bottom"/>
          </w:tcPr>
          <w:p w14:paraId="42A1323C" w14:textId="77777777" w:rsidR="00BB68E1" w:rsidRDefault="00BB68E1">
            <w:pPr>
              <w:textAlignment w:val="bottom"/>
              <w:rPr>
                <w:rFonts w:ascii="Times New Roman" w:hAnsi="Times New Roman"/>
                <w:sz w:val="20"/>
                <w:szCs w:val="20"/>
              </w:rPr>
            </w:pPr>
          </w:p>
        </w:tc>
      </w:tr>
      <w:tr w:rsidR="00BB68E1" w14:paraId="42A1324A" w14:textId="77777777">
        <w:tc>
          <w:tcPr>
            <w:tcW w:w="0" w:type="auto"/>
            <w:shd w:val="clear" w:color="auto" w:fill="auto"/>
            <w:tcMar>
              <w:top w:w="40" w:type="dxa"/>
              <w:left w:w="40" w:type="dxa"/>
              <w:bottom w:w="40" w:type="dxa"/>
              <w:right w:w="40" w:type="dxa"/>
            </w:tcMar>
            <w:vAlign w:val="bottom"/>
          </w:tcPr>
          <w:p w14:paraId="42A1323E"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June 27, 2018</w:t>
            </w:r>
          </w:p>
        </w:tc>
        <w:tc>
          <w:tcPr>
            <w:tcW w:w="0" w:type="auto"/>
            <w:shd w:val="clear" w:color="auto" w:fill="auto"/>
            <w:tcMar>
              <w:top w:w="40" w:type="dxa"/>
              <w:left w:w="40" w:type="dxa"/>
              <w:bottom w:w="40" w:type="dxa"/>
              <w:right w:w="40" w:type="dxa"/>
            </w:tcMar>
            <w:vAlign w:val="bottom"/>
          </w:tcPr>
          <w:p w14:paraId="42A1323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40"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$1,500</w:t>
            </w:r>
          </w:p>
        </w:tc>
        <w:tc>
          <w:tcPr>
            <w:tcW w:w="0" w:type="auto"/>
            <w:shd w:val="clear" w:color="auto" w:fill="auto"/>
            <w:tcMar>
              <w:top w:w="40" w:type="dxa"/>
              <w:left w:w="40" w:type="dxa"/>
              <w:bottom w:w="40" w:type="dxa"/>
              <w:right w:w="40" w:type="dxa"/>
            </w:tcMar>
            <w:vAlign w:val="bottom"/>
          </w:tcPr>
          <w:p w14:paraId="42A1324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42"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June 26, 2025</w:t>
            </w:r>
          </w:p>
        </w:tc>
        <w:tc>
          <w:tcPr>
            <w:tcW w:w="0" w:type="auto"/>
            <w:shd w:val="clear" w:color="auto" w:fill="auto"/>
            <w:tcMar>
              <w:top w:w="40" w:type="dxa"/>
              <w:left w:w="40" w:type="dxa"/>
              <w:bottom w:w="40" w:type="dxa"/>
              <w:right w:w="40" w:type="dxa"/>
            </w:tcMar>
            <w:vAlign w:val="bottom"/>
          </w:tcPr>
          <w:p w14:paraId="42A1324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44"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Fixed</w:t>
            </w:r>
          </w:p>
        </w:tc>
        <w:tc>
          <w:tcPr>
            <w:tcW w:w="0" w:type="auto"/>
            <w:shd w:val="clear" w:color="auto" w:fill="auto"/>
            <w:tcMar>
              <w:top w:w="40" w:type="dxa"/>
              <w:left w:w="40" w:type="dxa"/>
              <w:bottom w:w="40" w:type="dxa"/>
              <w:right w:w="40" w:type="dxa"/>
            </w:tcMar>
            <w:vAlign w:val="bottom"/>
          </w:tcPr>
          <w:p w14:paraId="42A1324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46"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3.550%</w:t>
            </w:r>
          </w:p>
        </w:tc>
        <w:tc>
          <w:tcPr>
            <w:tcW w:w="0" w:type="auto"/>
            <w:shd w:val="clear" w:color="auto" w:fill="auto"/>
            <w:tcMar>
              <w:top w:w="40" w:type="dxa"/>
              <w:left w:w="40" w:type="dxa"/>
              <w:bottom w:w="40" w:type="dxa"/>
              <w:right w:w="40" w:type="dxa"/>
            </w:tcMar>
            <w:vAlign w:val="bottom"/>
          </w:tcPr>
          <w:p w14:paraId="42A1324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248"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1,490</w:t>
            </w:r>
          </w:p>
        </w:tc>
        <w:tc>
          <w:tcPr>
            <w:tcW w:w="0" w:type="auto"/>
            <w:shd w:val="clear" w:color="auto" w:fill="auto"/>
            <w:vAlign w:val="bottom"/>
          </w:tcPr>
          <w:p w14:paraId="42A13249" w14:textId="77777777" w:rsidR="00BB68E1" w:rsidRDefault="00BB68E1">
            <w:pPr>
              <w:textAlignment w:val="bottom"/>
              <w:rPr>
                <w:rFonts w:ascii="Times New Roman" w:hAnsi="Times New Roman"/>
                <w:sz w:val="20"/>
                <w:szCs w:val="20"/>
              </w:rPr>
            </w:pPr>
          </w:p>
        </w:tc>
      </w:tr>
      <w:tr w:rsidR="00BB68E1" w14:paraId="42A13257" w14:textId="77777777">
        <w:tc>
          <w:tcPr>
            <w:tcW w:w="0" w:type="auto"/>
            <w:shd w:val="clear" w:color="auto" w:fill="CCEEFF"/>
            <w:tcMar>
              <w:top w:w="40" w:type="dxa"/>
              <w:left w:w="40" w:type="dxa"/>
              <w:bottom w:w="40" w:type="dxa"/>
              <w:right w:w="40" w:type="dxa"/>
            </w:tcMar>
            <w:vAlign w:val="bottom"/>
          </w:tcPr>
          <w:p w14:paraId="42A1324B"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June 27, 2018</w:t>
            </w:r>
          </w:p>
        </w:tc>
        <w:tc>
          <w:tcPr>
            <w:tcW w:w="0" w:type="auto"/>
            <w:shd w:val="clear" w:color="auto" w:fill="CCEEFF"/>
            <w:tcMar>
              <w:top w:w="40" w:type="dxa"/>
              <w:left w:w="40" w:type="dxa"/>
              <w:bottom w:w="40" w:type="dxa"/>
              <w:right w:w="40" w:type="dxa"/>
            </w:tcMar>
            <w:vAlign w:val="bottom"/>
          </w:tcPr>
          <w:p w14:paraId="42A1324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4D"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$2,750</w:t>
            </w:r>
          </w:p>
        </w:tc>
        <w:tc>
          <w:tcPr>
            <w:tcW w:w="0" w:type="auto"/>
            <w:shd w:val="clear" w:color="auto" w:fill="CCEEFF"/>
            <w:tcMar>
              <w:top w:w="40" w:type="dxa"/>
              <w:left w:w="40" w:type="dxa"/>
              <w:bottom w:w="40" w:type="dxa"/>
              <w:right w:w="40" w:type="dxa"/>
            </w:tcMar>
            <w:vAlign w:val="bottom"/>
          </w:tcPr>
          <w:p w14:paraId="42A1324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4F"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June 26, 2028</w:t>
            </w:r>
          </w:p>
        </w:tc>
        <w:tc>
          <w:tcPr>
            <w:tcW w:w="0" w:type="auto"/>
            <w:shd w:val="clear" w:color="auto" w:fill="CCEEFF"/>
            <w:tcMar>
              <w:top w:w="40" w:type="dxa"/>
              <w:left w:w="40" w:type="dxa"/>
              <w:bottom w:w="40" w:type="dxa"/>
              <w:right w:w="40" w:type="dxa"/>
            </w:tcMar>
            <w:vAlign w:val="bottom"/>
          </w:tcPr>
          <w:p w14:paraId="42A1325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51"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Fixed</w:t>
            </w:r>
          </w:p>
        </w:tc>
        <w:tc>
          <w:tcPr>
            <w:tcW w:w="0" w:type="auto"/>
            <w:shd w:val="clear" w:color="auto" w:fill="CCEEFF"/>
            <w:tcMar>
              <w:top w:w="40" w:type="dxa"/>
              <w:left w:w="40" w:type="dxa"/>
              <w:bottom w:w="40" w:type="dxa"/>
              <w:right w:w="40" w:type="dxa"/>
            </w:tcMar>
            <w:vAlign w:val="bottom"/>
          </w:tcPr>
          <w:p w14:paraId="42A1325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53"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3.700%</w:t>
            </w:r>
          </w:p>
        </w:tc>
        <w:tc>
          <w:tcPr>
            <w:tcW w:w="0" w:type="auto"/>
            <w:shd w:val="clear" w:color="auto" w:fill="CCEEFF"/>
            <w:tcMar>
              <w:top w:w="40" w:type="dxa"/>
              <w:left w:w="40" w:type="dxa"/>
              <w:bottom w:w="40" w:type="dxa"/>
              <w:right w:w="40" w:type="dxa"/>
            </w:tcMar>
            <w:vAlign w:val="bottom"/>
          </w:tcPr>
          <w:p w14:paraId="42A132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255"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2,725</w:t>
            </w:r>
          </w:p>
        </w:tc>
        <w:tc>
          <w:tcPr>
            <w:tcW w:w="0" w:type="auto"/>
            <w:shd w:val="clear" w:color="auto" w:fill="CCEEFF"/>
            <w:vAlign w:val="bottom"/>
          </w:tcPr>
          <w:p w14:paraId="42A13256" w14:textId="77777777" w:rsidR="00BB68E1" w:rsidRDefault="00BB68E1">
            <w:pPr>
              <w:textAlignment w:val="bottom"/>
              <w:rPr>
                <w:rFonts w:ascii="Times New Roman" w:hAnsi="Times New Roman"/>
                <w:sz w:val="20"/>
                <w:szCs w:val="20"/>
              </w:rPr>
            </w:pPr>
          </w:p>
        </w:tc>
      </w:tr>
      <w:tr w:rsidR="00BB68E1" w14:paraId="42A13264" w14:textId="77777777">
        <w:tc>
          <w:tcPr>
            <w:tcW w:w="0" w:type="auto"/>
            <w:shd w:val="clear" w:color="auto" w:fill="auto"/>
            <w:tcMar>
              <w:top w:w="40" w:type="dxa"/>
              <w:left w:w="40" w:type="dxa"/>
              <w:bottom w:w="40" w:type="dxa"/>
              <w:right w:w="40" w:type="dxa"/>
            </w:tcMar>
            <w:vAlign w:val="bottom"/>
          </w:tcPr>
          <w:p w14:paraId="42A13258"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June 27, 2018</w:t>
            </w:r>
          </w:p>
        </w:tc>
        <w:tc>
          <w:tcPr>
            <w:tcW w:w="0" w:type="auto"/>
            <w:shd w:val="clear" w:color="auto" w:fill="auto"/>
            <w:tcMar>
              <w:top w:w="40" w:type="dxa"/>
              <w:left w:w="40" w:type="dxa"/>
              <w:bottom w:w="40" w:type="dxa"/>
              <w:right w:w="40" w:type="dxa"/>
            </w:tcMar>
            <w:vAlign w:val="bottom"/>
          </w:tcPr>
          <w:p w14:paraId="42A1325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5A"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$1,500</w:t>
            </w:r>
          </w:p>
        </w:tc>
        <w:tc>
          <w:tcPr>
            <w:tcW w:w="0" w:type="auto"/>
            <w:shd w:val="clear" w:color="auto" w:fill="auto"/>
            <w:tcMar>
              <w:top w:w="40" w:type="dxa"/>
              <w:left w:w="40" w:type="dxa"/>
              <w:bottom w:w="40" w:type="dxa"/>
              <w:right w:w="40" w:type="dxa"/>
            </w:tcMar>
            <w:vAlign w:val="bottom"/>
          </w:tcPr>
          <w:p w14:paraId="42A1325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5C"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June 28, 2038</w:t>
            </w:r>
          </w:p>
        </w:tc>
        <w:tc>
          <w:tcPr>
            <w:tcW w:w="0" w:type="auto"/>
            <w:shd w:val="clear" w:color="auto" w:fill="auto"/>
            <w:tcMar>
              <w:top w:w="40" w:type="dxa"/>
              <w:left w:w="40" w:type="dxa"/>
              <w:bottom w:w="40" w:type="dxa"/>
              <w:right w:w="40" w:type="dxa"/>
            </w:tcMar>
            <w:vAlign w:val="bottom"/>
          </w:tcPr>
          <w:p w14:paraId="42A1325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5E"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Fixed</w:t>
            </w:r>
          </w:p>
        </w:tc>
        <w:tc>
          <w:tcPr>
            <w:tcW w:w="0" w:type="auto"/>
            <w:shd w:val="clear" w:color="auto" w:fill="auto"/>
            <w:tcMar>
              <w:top w:w="40" w:type="dxa"/>
              <w:left w:w="40" w:type="dxa"/>
              <w:bottom w:w="40" w:type="dxa"/>
              <w:right w:w="40" w:type="dxa"/>
            </w:tcMar>
            <w:vAlign w:val="bottom"/>
          </w:tcPr>
          <w:p w14:paraId="42A1325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60"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3.950%</w:t>
            </w:r>
          </w:p>
        </w:tc>
        <w:tc>
          <w:tcPr>
            <w:tcW w:w="0" w:type="auto"/>
            <w:shd w:val="clear" w:color="auto" w:fill="auto"/>
            <w:tcMar>
              <w:top w:w="40" w:type="dxa"/>
              <w:left w:w="40" w:type="dxa"/>
              <w:bottom w:w="40" w:type="dxa"/>
              <w:right w:w="40" w:type="dxa"/>
            </w:tcMar>
            <w:vAlign w:val="bottom"/>
          </w:tcPr>
          <w:p w14:paraId="42A1326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262"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1,473</w:t>
            </w:r>
          </w:p>
        </w:tc>
        <w:tc>
          <w:tcPr>
            <w:tcW w:w="0" w:type="auto"/>
            <w:shd w:val="clear" w:color="auto" w:fill="auto"/>
            <w:vAlign w:val="bottom"/>
          </w:tcPr>
          <w:p w14:paraId="42A13263" w14:textId="77777777" w:rsidR="00BB68E1" w:rsidRDefault="00BB68E1">
            <w:pPr>
              <w:textAlignment w:val="bottom"/>
              <w:rPr>
                <w:rFonts w:ascii="Times New Roman" w:hAnsi="Times New Roman"/>
                <w:sz w:val="20"/>
                <w:szCs w:val="20"/>
              </w:rPr>
            </w:pPr>
          </w:p>
        </w:tc>
      </w:tr>
      <w:tr w:rsidR="00BB68E1" w14:paraId="42A13271" w14:textId="77777777">
        <w:tc>
          <w:tcPr>
            <w:tcW w:w="0" w:type="auto"/>
            <w:shd w:val="clear" w:color="auto" w:fill="CCEEFF"/>
            <w:tcMar>
              <w:top w:w="40" w:type="dxa"/>
              <w:left w:w="40" w:type="dxa"/>
              <w:bottom w:w="40" w:type="dxa"/>
              <w:right w:w="40" w:type="dxa"/>
            </w:tcMar>
            <w:vAlign w:val="bottom"/>
          </w:tcPr>
          <w:p w14:paraId="42A13265"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lastRenderedPageBreak/>
              <w:t>June 27, 2018</w:t>
            </w:r>
          </w:p>
        </w:tc>
        <w:tc>
          <w:tcPr>
            <w:tcW w:w="0" w:type="auto"/>
            <w:shd w:val="clear" w:color="auto" w:fill="CCEEFF"/>
            <w:tcMar>
              <w:top w:w="40" w:type="dxa"/>
              <w:left w:w="40" w:type="dxa"/>
              <w:bottom w:w="40" w:type="dxa"/>
              <w:right w:w="40" w:type="dxa"/>
            </w:tcMar>
            <w:vAlign w:val="bottom"/>
          </w:tcPr>
          <w:p w14:paraId="42A1326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67"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$3,000</w:t>
            </w:r>
          </w:p>
        </w:tc>
        <w:tc>
          <w:tcPr>
            <w:tcW w:w="0" w:type="auto"/>
            <w:shd w:val="clear" w:color="auto" w:fill="CCEEFF"/>
            <w:tcMar>
              <w:top w:w="40" w:type="dxa"/>
              <w:left w:w="40" w:type="dxa"/>
              <w:bottom w:w="40" w:type="dxa"/>
              <w:right w:w="40" w:type="dxa"/>
            </w:tcMar>
            <w:vAlign w:val="bottom"/>
          </w:tcPr>
          <w:p w14:paraId="42A1326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69"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June 29, 2048</w:t>
            </w:r>
          </w:p>
        </w:tc>
        <w:tc>
          <w:tcPr>
            <w:tcW w:w="0" w:type="auto"/>
            <w:shd w:val="clear" w:color="auto" w:fill="CCEEFF"/>
            <w:tcMar>
              <w:top w:w="40" w:type="dxa"/>
              <w:left w:w="40" w:type="dxa"/>
              <w:bottom w:w="40" w:type="dxa"/>
              <w:right w:w="40" w:type="dxa"/>
            </w:tcMar>
            <w:vAlign w:val="bottom"/>
          </w:tcPr>
          <w:p w14:paraId="42A1326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6B"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Fixed</w:t>
            </w:r>
          </w:p>
        </w:tc>
        <w:tc>
          <w:tcPr>
            <w:tcW w:w="0" w:type="auto"/>
            <w:shd w:val="clear" w:color="auto" w:fill="CCEEFF"/>
            <w:tcMar>
              <w:top w:w="40" w:type="dxa"/>
              <w:left w:w="40" w:type="dxa"/>
              <w:bottom w:w="40" w:type="dxa"/>
              <w:right w:w="40" w:type="dxa"/>
            </w:tcMar>
            <w:vAlign w:val="bottom"/>
          </w:tcPr>
          <w:p w14:paraId="42A1326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6D"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4.050%</w:t>
            </w:r>
          </w:p>
        </w:tc>
        <w:tc>
          <w:tcPr>
            <w:tcW w:w="0" w:type="auto"/>
            <w:shd w:val="clear" w:color="auto" w:fill="CCEEFF"/>
            <w:tcMar>
              <w:top w:w="40" w:type="dxa"/>
              <w:left w:w="40" w:type="dxa"/>
              <w:bottom w:w="40" w:type="dxa"/>
              <w:right w:w="40" w:type="dxa"/>
            </w:tcMar>
            <w:vAlign w:val="bottom"/>
          </w:tcPr>
          <w:p w14:paraId="42A132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26F"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2,935</w:t>
            </w:r>
          </w:p>
        </w:tc>
        <w:tc>
          <w:tcPr>
            <w:tcW w:w="0" w:type="auto"/>
            <w:shd w:val="clear" w:color="auto" w:fill="CCEEFF"/>
            <w:vAlign w:val="bottom"/>
          </w:tcPr>
          <w:p w14:paraId="42A13270" w14:textId="77777777" w:rsidR="00BB68E1" w:rsidRDefault="00BB68E1">
            <w:pPr>
              <w:textAlignment w:val="bottom"/>
              <w:rPr>
                <w:rFonts w:ascii="Times New Roman" w:hAnsi="Times New Roman"/>
                <w:sz w:val="20"/>
                <w:szCs w:val="20"/>
              </w:rPr>
            </w:pPr>
          </w:p>
        </w:tc>
      </w:tr>
      <w:tr w:rsidR="00BB68E1" w14:paraId="42A1327E" w14:textId="77777777">
        <w:tc>
          <w:tcPr>
            <w:tcW w:w="0" w:type="auto"/>
            <w:shd w:val="clear" w:color="auto" w:fill="auto"/>
            <w:tcMar>
              <w:top w:w="40" w:type="dxa"/>
              <w:left w:w="40" w:type="dxa"/>
              <w:bottom w:w="40" w:type="dxa"/>
              <w:right w:w="40" w:type="dxa"/>
            </w:tcMar>
            <w:vAlign w:val="bottom"/>
          </w:tcPr>
          <w:p w14:paraId="42A13272"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Various</w:t>
            </w:r>
          </w:p>
        </w:tc>
        <w:tc>
          <w:tcPr>
            <w:tcW w:w="0" w:type="auto"/>
            <w:shd w:val="clear" w:color="auto" w:fill="auto"/>
            <w:tcMar>
              <w:top w:w="40" w:type="dxa"/>
              <w:left w:w="40" w:type="dxa"/>
              <w:bottom w:w="40" w:type="dxa"/>
              <w:right w:w="40" w:type="dxa"/>
            </w:tcMar>
            <w:vAlign w:val="bottom"/>
          </w:tcPr>
          <w:p w14:paraId="42A1327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74"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$21</w:t>
            </w:r>
          </w:p>
        </w:tc>
        <w:tc>
          <w:tcPr>
            <w:tcW w:w="0" w:type="auto"/>
            <w:shd w:val="clear" w:color="auto" w:fill="auto"/>
            <w:tcMar>
              <w:top w:w="40" w:type="dxa"/>
              <w:left w:w="40" w:type="dxa"/>
              <w:bottom w:w="40" w:type="dxa"/>
              <w:right w:w="40" w:type="dxa"/>
            </w:tcMar>
            <w:vAlign w:val="bottom"/>
          </w:tcPr>
          <w:p w14:paraId="42A1327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76"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Various</w:t>
            </w:r>
          </w:p>
        </w:tc>
        <w:tc>
          <w:tcPr>
            <w:tcW w:w="0" w:type="auto"/>
            <w:shd w:val="clear" w:color="auto" w:fill="auto"/>
            <w:tcMar>
              <w:top w:w="40" w:type="dxa"/>
              <w:left w:w="40" w:type="dxa"/>
              <w:bottom w:w="40" w:type="dxa"/>
              <w:right w:w="40" w:type="dxa"/>
            </w:tcMar>
            <w:vAlign w:val="bottom"/>
          </w:tcPr>
          <w:p w14:paraId="42A1327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78"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Various</w:t>
            </w:r>
          </w:p>
        </w:tc>
        <w:tc>
          <w:tcPr>
            <w:tcW w:w="0" w:type="auto"/>
            <w:shd w:val="clear" w:color="auto" w:fill="auto"/>
            <w:tcMar>
              <w:top w:w="40" w:type="dxa"/>
              <w:left w:w="40" w:type="dxa"/>
              <w:bottom w:w="40" w:type="dxa"/>
              <w:right w:w="40" w:type="dxa"/>
            </w:tcMar>
            <w:vAlign w:val="bottom"/>
          </w:tcPr>
          <w:p w14:paraId="42A1327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7A"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Various</w:t>
            </w:r>
          </w:p>
        </w:tc>
        <w:tc>
          <w:tcPr>
            <w:tcW w:w="0" w:type="auto"/>
            <w:shd w:val="clear" w:color="auto" w:fill="auto"/>
            <w:tcMar>
              <w:top w:w="40" w:type="dxa"/>
              <w:left w:w="40" w:type="dxa"/>
              <w:bottom w:w="40" w:type="dxa"/>
              <w:right w:w="40" w:type="dxa"/>
            </w:tcMar>
            <w:vAlign w:val="bottom"/>
          </w:tcPr>
          <w:p w14:paraId="42A1327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2A1327C"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21</w:t>
            </w:r>
          </w:p>
        </w:tc>
        <w:tc>
          <w:tcPr>
            <w:tcW w:w="0" w:type="auto"/>
            <w:tcBorders>
              <w:bottom w:val="single" w:sz="8" w:space="0" w:color="000000"/>
            </w:tcBorders>
            <w:shd w:val="clear" w:color="auto" w:fill="auto"/>
            <w:vAlign w:val="bottom"/>
          </w:tcPr>
          <w:p w14:paraId="42A1327D" w14:textId="77777777" w:rsidR="00BB68E1" w:rsidRDefault="00BB68E1">
            <w:pPr>
              <w:textAlignment w:val="bottom"/>
              <w:rPr>
                <w:rFonts w:ascii="Times New Roman" w:hAnsi="Times New Roman"/>
                <w:sz w:val="20"/>
                <w:szCs w:val="20"/>
              </w:rPr>
            </w:pPr>
          </w:p>
        </w:tc>
      </w:tr>
      <w:tr w:rsidR="00BB68E1" w14:paraId="42A1328C" w14:textId="77777777">
        <w:tc>
          <w:tcPr>
            <w:tcW w:w="0" w:type="auto"/>
            <w:shd w:val="clear" w:color="auto" w:fill="CCEEFF"/>
            <w:tcMar>
              <w:top w:w="40" w:type="dxa"/>
              <w:left w:w="40" w:type="dxa"/>
              <w:bottom w:w="40" w:type="dxa"/>
              <w:right w:w="40" w:type="dxa"/>
            </w:tcMar>
            <w:vAlign w:val="bottom"/>
          </w:tcPr>
          <w:p w14:paraId="42A1327F"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CCEEFF"/>
            <w:tcMar>
              <w:top w:w="40" w:type="dxa"/>
              <w:left w:w="40" w:type="dxa"/>
              <w:bottom w:w="40" w:type="dxa"/>
              <w:right w:w="40" w:type="dxa"/>
            </w:tcMar>
            <w:vAlign w:val="bottom"/>
          </w:tcPr>
          <w:p w14:paraId="42A1328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8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8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8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8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2A1328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2A1328A"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15,872</w:t>
            </w:r>
          </w:p>
        </w:tc>
        <w:tc>
          <w:tcPr>
            <w:tcW w:w="0" w:type="auto"/>
            <w:tcBorders>
              <w:top w:val="single" w:sz="8" w:space="0" w:color="000000"/>
              <w:bottom w:val="double" w:sz="6" w:space="0" w:color="000000"/>
            </w:tcBorders>
            <w:shd w:val="clear" w:color="auto" w:fill="CCEEFF"/>
            <w:vAlign w:val="bottom"/>
          </w:tcPr>
          <w:p w14:paraId="42A1328B" w14:textId="77777777" w:rsidR="00BB68E1" w:rsidRDefault="00BB68E1">
            <w:pPr>
              <w:textAlignment w:val="bottom"/>
              <w:rPr>
                <w:rFonts w:ascii="Times New Roman" w:hAnsi="Times New Roman"/>
                <w:sz w:val="20"/>
                <w:szCs w:val="20"/>
              </w:rPr>
            </w:pPr>
          </w:p>
        </w:tc>
      </w:tr>
    </w:tbl>
    <w:p w14:paraId="42A1328D" w14:textId="77777777" w:rsidR="00BB68E1" w:rsidRDefault="00BB68E1"/>
    <w:p w14:paraId="42A1328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fiscal 2020 and fiscal 2019 issuances are senior, unsecured notes which rank equally with all other senior, </w:t>
      </w:r>
      <w:r>
        <w:rPr>
          <w:rFonts w:ascii="Times New Roman" w:eastAsia="宋体" w:hAnsi="Times New Roman"/>
          <w:sz w:val="20"/>
          <w:szCs w:val="20"/>
        </w:rPr>
        <w:t>unsecured debt obligations of the Company, and are not convertible or exchangeable. These issuances do not contain any financial covenants which restrict the Company's ability to pay dividends or repurchase company stock.</w:t>
      </w:r>
    </w:p>
    <w:p w14:paraId="42A1328F"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Repayments</w:t>
      </w:r>
    </w:p>
    <w:p w14:paraId="42A1329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following </w:t>
      </w:r>
      <w:r>
        <w:rPr>
          <w:rFonts w:ascii="Times New Roman" w:eastAsia="宋体" w:hAnsi="Times New Roman"/>
          <w:sz w:val="20"/>
          <w:szCs w:val="20"/>
        </w:rPr>
        <w:t>table provides details of debt repayments during fiscal 2020:</w:t>
      </w:r>
    </w:p>
    <w:tbl>
      <w:tblPr>
        <w:tblW w:w="5000" w:type="pct"/>
        <w:jc w:val="center"/>
        <w:tblCellMar>
          <w:left w:w="0" w:type="dxa"/>
          <w:right w:w="0" w:type="dxa"/>
        </w:tblCellMar>
        <w:tblLook w:val="04A0" w:firstRow="1" w:lastRow="0" w:firstColumn="1" w:lastColumn="0" w:noHBand="0" w:noVBand="1"/>
      </w:tblPr>
      <w:tblGrid>
        <w:gridCol w:w="2618"/>
        <w:gridCol w:w="130"/>
        <w:gridCol w:w="1289"/>
        <w:gridCol w:w="130"/>
        <w:gridCol w:w="1290"/>
        <w:gridCol w:w="130"/>
        <w:gridCol w:w="1290"/>
        <w:gridCol w:w="130"/>
        <w:gridCol w:w="121"/>
        <w:gridCol w:w="1125"/>
        <w:gridCol w:w="53"/>
      </w:tblGrid>
      <w:tr w:rsidR="00BB68E1" w14:paraId="42A13292" w14:textId="77777777">
        <w:trPr>
          <w:jc w:val="center"/>
        </w:trPr>
        <w:tc>
          <w:tcPr>
            <w:tcW w:w="0" w:type="auto"/>
            <w:gridSpan w:val="11"/>
            <w:shd w:val="clear" w:color="auto" w:fill="auto"/>
            <w:vAlign w:val="center"/>
          </w:tcPr>
          <w:p w14:paraId="42A13291" w14:textId="77777777" w:rsidR="00BB68E1" w:rsidRDefault="00BB68E1">
            <w:pPr>
              <w:rPr>
                <w:rFonts w:ascii="Times New Roman" w:hAnsi="Times New Roman"/>
                <w:sz w:val="20"/>
                <w:szCs w:val="20"/>
              </w:rPr>
            </w:pPr>
          </w:p>
        </w:tc>
      </w:tr>
      <w:tr w:rsidR="00BB68E1" w14:paraId="42A1329E" w14:textId="77777777">
        <w:trPr>
          <w:jc w:val="center"/>
        </w:trPr>
        <w:tc>
          <w:tcPr>
            <w:tcW w:w="1600" w:type="pct"/>
            <w:shd w:val="clear" w:color="auto" w:fill="auto"/>
            <w:vAlign w:val="center"/>
          </w:tcPr>
          <w:p w14:paraId="42A13293" w14:textId="77777777" w:rsidR="00BB68E1" w:rsidRDefault="00BB68E1">
            <w:pPr>
              <w:rPr>
                <w:rFonts w:ascii="Times New Roman" w:hAnsi="Times New Roman"/>
                <w:sz w:val="20"/>
                <w:szCs w:val="20"/>
              </w:rPr>
            </w:pPr>
          </w:p>
        </w:tc>
        <w:tc>
          <w:tcPr>
            <w:tcW w:w="50" w:type="pct"/>
            <w:shd w:val="clear" w:color="auto" w:fill="auto"/>
            <w:vAlign w:val="center"/>
          </w:tcPr>
          <w:p w14:paraId="42A13294" w14:textId="77777777" w:rsidR="00BB68E1" w:rsidRDefault="00BB68E1">
            <w:pPr>
              <w:rPr>
                <w:rFonts w:ascii="Times New Roman" w:hAnsi="Times New Roman"/>
                <w:sz w:val="20"/>
                <w:szCs w:val="20"/>
              </w:rPr>
            </w:pPr>
          </w:p>
        </w:tc>
        <w:tc>
          <w:tcPr>
            <w:tcW w:w="800" w:type="pct"/>
            <w:shd w:val="clear" w:color="auto" w:fill="auto"/>
            <w:vAlign w:val="center"/>
          </w:tcPr>
          <w:p w14:paraId="42A13295" w14:textId="77777777" w:rsidR="00BB68E1" w:rsidRDefault="00BB68E1">
            <w:pPr>
              <w:rPr>
                <w:rFonts w:ascii="Times New Roman" w:hAnsi="Times New Roman"/>
                <w:sz w:val="20"/>
                <w:szCs w:val="20"/>
              </w:rPr>
            </w:pPr>
          </w:p>
        </w:tc>
        <w:tc>
          <w:tcPr>
            <w:tcW w:w="50" w:type="pct"/>
            <w:shd w:val="clear" w:color="auto" w:fill="auto"/>
            <w:vAlign w:val="center"/>
          </w:tcPr>
          <w:p w14:paraId="42A13296" w14:textId="77777777" w:rsidR="00BB68E1" w:rsidRDefault="00BB68E1">
            <w:pPr>
              <w:rPr>
                <w:rFonts w:ascii="Times New Roman" w:hAnsi="Times New Roman"/>
                <w:sz w:val="20"/>
                <w:szCs w:val="20"/>
              </w:rPr>
            </w:pPr>
          </w:p>
        </w:tc>
        <w:tc>
          <w:tcPr>
            <w:tcW w:w="800" w:type="pct"/>
            <w:shd w:val="clear" w:color="auto" w:fill="auto"/>
            <w:vAlign w:val="center"/>
          </w:tcPr>
          <w:p w14:paraId="42A13297" w14:textId="77777777" w:rsidR="00BB68E1" w:rsidRDefault="00BB68E1">
            <w:pPr>
              <w:rPr>
                <w:rFonts w:ascii="Times New Roman" w:hAnsi="Times New Roman"/>
                <w:sz w:val="20"/>
                <w:szCs w:val="20"/>
              </w:rPr>
            </w:pPr>
          </w:p>
        </w:tc>
        <w:tc>
          <w:tcPr>
            <w:tcW w:w="50" w:type="pct"/>
            <w:shd w:val="clear" w:color="auto" w:fill="auto"/>
            <w:vAlign w:val="center"/>
          </w:tcPr>
          <w:p w14:paraId="42A13298" w14:textId="77777777" w:rsidR="00BB68E1" w:rsidRDefault="00BB68E1">
            <w:pPr>
              <w:rPr>
                <w:rFonts w:ascii="Times New Roman" w:hAnsi="Times New Roman"/>
                <w:sz w:val="20"/>
                <w:szCs w:val="20"/>
              </w:rPr>
            </w:pPr>
          </w:p>
        </w:tc>
        <w:tc>
          <w:tcPr>
            <w:tcW w:w="800" w:type="pct"/>
            <w:shd w:val="clear" w:color="auto" w:fill="auto"/>
            <w:vAlign w:val="center"/>
          </w:tcPr>
          <w:p w14:paraId="42A13299" w14:textId="77777777" w:rsidR="00BB68E1" w:rsidRDefault="00BB68E1">
            <w:pPr>
              <w:rPr>
                <w:rFonts w:ascii="Times New Roman" w:hAnsi="Times New Roman"/>
                <w:sz w:val="20"/>
                <w:szCs w:val="20"/>
              </w:rPr>
            </w:pPr>
          </w:p>
        </w:tc>
        <w:tc>
          <w:tcPr>
            <w:tcW w:w="50" w:type="pct"/>
            <w:shd w:val="clear" w:color="auto" w:fill="auto"/>
            <w:vAlign w:val="center"/>
          </w:tcPr>
          <w:p w14:paraId="42A1329A" w14:textId="77777777" w:rsidR="00BB68E1" w:rsidRDefault="00BB68E1">
            <w:pPr>
              <w:rPr>
                <w:rFonts w:ascii="Times New Roman" w:hAnsi="Times New Roman"/>
                <w:sz w:val="20"/>
                <w:szCs w:val="20"/>
              </w:rPr>
            </w:pPr>
          </w:p>
        </w:tc>
        <w:tc>
          <w:tcPr>
            <w:tcW w:w="50" w:type="pct"/>
            <w:shd w:val="clear" w:color="auto" w:fill="auto"/>
            <w:vAlign w:val="center"/>
          </w:tcPr>
          <w:p w14:paraId="42A1329B" w14:textId="77777777" w:rsidR="00BB68E1" w:rsidRDefault="00BB68E1">
            <w:pPr>
              <w:rPr>
                <w:rFonts w:ascii="Times New Roman" w:hAnsi="Times New Roman"/>
                <w:sz w:val="20"/>
                <w:szCs w:val="20"/>
              </w:rPr>
            </w:pPr>
          </w:p>
        </w:tc>
        <w:tc>
          <w:tcPr>
            <w:tcW w:w="700" w:type="pct"/>
            <w:shd w:val="clear" w:color="auto" w:fill="auto"/>
            <w:vAlign w:val="center"/>
          </w:tcPr>
          <w:p w14:paraId="42A1329C" w14:textId="77777777" w:rsidR="00BB68E1" w:rsidRDefault="00BB68E1">
            <w:pPr>
              <w:rPr>
                <w:rFonts w:ascii="Times New Roman" w:hAnsi="Times New Roman"/>
                <w:sz w:val="20"/>
                <w:szCs w:val="20"/>
              </w:rPr>
            </w:pPr>
          </w:p>
        </w:tc>
        <w:tc>
          <w:tcPr>
            <w:tcW w:w="50" w:type="pct"/>
            <w:shd w:val="clear" w:color="auto" w:fill="auto"/>
            <w:vAlign w:val="center"/>
          </w:tcPr>
          <w:p w14:paraId="42A1329D" w14:textId="77777777" w:rsidR="00BB68E1" w:rsidRDefault="00BB68E1">
            <w:pPr>
              <w:rPr>
                <w:rFonts w:ascii="Times New Roman" w:hAnsi="Times New Roman"/>
                <w:sz w:val="20"/>
                <w:szCs w:val="20"/>
              </w:rPr>
            </w:pPr>
          </w:p>
        </w:tc>
      </w:tr>
      <w:tr w:rsidR="00BB68E1" w14:paraId="42A132A8" w14:textId="77777777">
        <w:trPr>
          <w:jc w:val="center"/>
        </w:trPr>
        <w:tc>
          <w:tcPr>
            <w:tcW w:w="0" w:type="auto"/>
            <w:shd w:val="clear" w:color="auto" w:fill="auto"/>
            <w:tcMar>
              <w:top w:w="40" w:type="dxa"/>
              <w:left w:w="40" w:type="dxa"/>
              <w:bottom w:w="40" w:type="dxa"/>
              <w:right w:w="40" w:type="dxa"/>
            </w:tcMar>
            <w:vAlign w:val="bottom"/>
          </w:tcPr>
          <w:p w14:paraId="42A1329F"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32A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A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A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A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A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A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A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2A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2B2"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42A132A9"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Maturity Date</w:t>
            </w:r>
          </w:p>
        </w:tc>
        <w:tc>
          <w:tcPr>
            <w:tcW w:w="0" w:type="auto"/>
            <w:shd w:val="clear" w:color="auto" w:fill="auto"/>
            <w:tcMar>
              <w:top w:w="40" w:type="dxa"/>
              <w:left w:w="40" w:type="dxa"/>
              <w:bottom w:w="40" w:type="dxa"/>
              <w:right w:w="40" w:type="dxa"/>
            </w:tcMar>
            <w:vAlign w:val="bottom"/>
          </w:tcPr>
          <w:p w14:paraId="42A132A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32A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Principal Amount</w:t>
            </w:r>
          </w:p>
        </w:tc>
        <w:tc>
          <w:tcPr>
            <w:tcW w:w="0" w:type="auto"/>
            <w:shd w:val="clear" w:color="auto" w:fill="auto"/>
            <w:tcMar>
              <w:top w:w="40" w:type="dxa"/>
              <w:left w:w="40" w:type="dxa"/>
              <w:bottom w:w="40" w:type="dxa"/>
              <w:right w:w="40" w:type="dxa"/>
            </w:tcMar>
            <w:vAlign w:val="bottom"/>
          </w:tcPr>
          <w:p w14:paraId="42A132A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32AD"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Fixed vs. Floating</w:t>
            </w:r>
          </w:p>
        </w:tc>
        <w:tc>
          <w:tcPr>
            <w:tcW w:w="0" w:type="auto"/>
            <w:shd w:val="clear" w:color="auto" w:fill="auto"/>
            <w:tcMar>
              <w:top w:w="40" w:type="dxa"/>
              <w:left w:w="40" w:type="dxa"/>
              <w:bottom w:w="40" w:type="dxa"/>
              <w:right w:w="40" w:type="dxa"/>
            </w:tcMar>
            <w:vAlign w:val="bottom"/>
          </w:tcPr>
          <w:p w14:paraId="42A132A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32A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Interest Rate</w:t>
            </w:r>
          </w:p>
        </w:tc>
        <w:tc>
          <w:tcPr>
            <w:tcW w:w="0" w:type="auto"/>
            <w:shd w:val="clear" w:color="auto" w:fill="auto"/>
            <w:tcMar>
              <w:top w:w="40" w:type="dxa"/>
              <w:left w:w="40" w:type="dxa"/>
              <w:bottom w:w="40" w:type="dxa"/>
              <w:right w:w="40" w:type="dxa"/>
            </w:tcMar>
            <w:vAlign w:val="bottom"/>
          </w:tcPr>
          <w:p w14:paraId="42A132B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2B1"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Repayment</w:t>
            </w:r>
          </w:p>
        </w:tc>
      </w:tr>
      <w:tr w:rsidR="00BB68E1" w14:paraId="42A132BE" w14:textId="77777777">
        <w:trPr>
          <w:jc w:val="center"/>
        </w:trPr>
        <w:tc>
          <w:tcPr>
            <w:tcW w:w="0" w:type="auto"/>
            <w:shd w:val="clear" w:color="auto" w:fill="CCEEFF"/>
            <w:tcMar>
              <w:top w:w="40" w:type="dxa"/>
              <w:left w:w="40" w:type="dxa"/>
              <w:bottom w:w="40" w:type="dxa"/>
              <w:right w:w="40" w:type="dxa"/>
            </w:tcMar>
            <w:vAlign w:val="bottom"/>
          </w:tcPr>
          <w:p w14:paraId="42A132B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February 1, 2019</w:t>
            </w:r>
          </w:p>
        </w:tc>
        <w:tc>
          <w:tcPr>
            <w:tcW w:w="0" w:type="auto"/>
            <w:shd w:val="clear" w:color="auto" w:fill="CCEEFF"/>
            <w:tcMar>
              <w:top w:w="40" w:type="dxa"/>
              <w:left w:w="40" w:type="dxa"/>
              <w:bottom w:w="40" w:type="dxa"/>
              <w:right w:w="40" w:type="dxa"/>
            </w:tcMar>
            <w:vAlign w:val="bottom"/>
          </w:tcPr>
          <w:p w14:paraId="42A132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42A132B5"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$500</w:t>
            </w:r>
          </w:p>
        </w:tc>
        <w:tc>
          <w:tcPr>
            <w:tcW w:w="0" w:type="auto"/>
            <w:shd w:val="clear" w:color="auto" w:fill="CCEEFF"/>
            <w:tcMar>
              <w:top w:w="40" w:type="dxa"/>
              <w:left w:w="40" w:type="dxa"/>
              <w:bottom w:w="40" w:type="dxa"/>
              <w:right w:w="40" w:type="dxa"/>
            </w:tcMar>
            <w:vAlign w:val="bottom"/>
          </w:tcPr>
          <w:p w14:paraId="42A132B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B7"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Fixed</w:t>
            </w:r>
          </w:p>
        </w:tc>
        <w:tc>
          <w:tcPr>
            <w:tcW w:w="0" w:type="auto"/>
            <w:shd w:val="clear" w:color="auto" w:fill="CCEEFF"/>
            <w:tcMar>
              <w:top w:w="40" w:type="dxa"/>
              <w:left w:w="40" w:type="dxa"/>
              <w:bottom w:w="40" w:type="dxa"/>
              <w:right w:w="40" w:type="dxa"/>
            </w:tcMar>
            <w:vAlign w:val="bottom"/>
          </w:tcPr>
          <w:p w14:paraId="42A132B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B9"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4.125%</w:t>
            </w:r>
          </w:p>
        </w:tc>
        <w:tc>
          <w:tcPr>
            <w:tcW w:w="0" w:type="auto"/>
            <w:shd w:val="clear" w:color="auto" w:fill="CCEEFF"/>
            <w:tcMar>
              <w:top w:w="40" w:type="dxa"/>
              <w:left w:w="40" w:type="dxa"/>
              <w:bottom w:w="40" w:type="dxa"/>
              <w:right w:w="40" w:type="dxa"/>
            </w:tcMar>
            <w:vAlign w:val="bottom"/>
          </w:tcPr>
          <w:p w14:paraId="42A132B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2A132BB"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bottom"/>
          </w:tcPr>
          <w:p w14:paraId="42A132BC"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364</w:t>
            </w:r>
          </w:p>
        </w:tc>
        <w:tc>
          <w:tcPr>
            <w:tcW w:w="0" w:type="auto"/>
            <w:shd w:val="clear" w:color="auto" w:fill="CCEEFF"/>
            <w:vAlign w:val="bottom"/>
          </w:tcPr>
          <w:p w14:paraId="42A132BD" w14:textId="77777777" w:rsidR="00BB68E1" w:rsidRDefault="00BB68E1">
            <w:pPr>
              <w:textAlignment w:val="bottom"/>
              <w:rPr>
                <w:rFonts w:ascii="Times New Roman" w:hAnsi="Times New Roman"/>
                <w:sz w:val="20"/>
                <w:szCs w:val="20"/>
              </w:rPr>
            </w:pPr>
          </w:p>
        </w:tc>
      </w:tr>
      <w:tr w:rsidR="00BB68E1" w14:paraId="42A132C9" w14:textId="77777777">
        <w:trPr>
          <w:jc w:val="center"/>
        </w:trPr>
        <w:tc>
          <w:tcPr>
            <w:tcW w:w="0" w:type="auto"/>
            <w:shd w:val="clear" w:color="auto" w:fill="auto"/>
            <w:tcMar>
              <w:top w:w="40" w:type="dxa"/>
              <w:left w:w="40" w:type="dxa"/>
              <w:bottom w:w="40" w:type="dxa"/>
              <w:right w:w="40" w:type="dxa"/>
            </w:tcMar>
            <w:vAlign w:val="bottom"/>
          </w:tcPr>
          <w:p w14:paraId="42A132B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October 20, 2019</w:t>
            </w:r>
          </w:p>
        </w:tc>
        <w:tc>
          <w:tcPr>
            <w:tcW w:w="0" w:type="auto"/>
            <w:shd w:val="clear" w:color="auto" w:fill="auto"/>
            <w:tcMar>
              <w:top w:w="40" w:type="dxa"/>
              <w:left w:w="40" w:type="dxa"/>
              <w:bottom w:w="40" w:type="dxa"/>
              <w:right w:w="40" w:type="dxa"/>
            </w:tcMar>
            <w:vAlign w:val="bottom"/>
          </w:tcPr>
          <w:p w14:paraId="42A132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C1"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$300</w:t>
            </w:r>
          </w:p>
        </w:tc>
        <w:tc>
          <w:tcPr>
            <w:tcW w:w="0" w:type="auto"/>
            <w:shd w:val="clear" w:color="auto" w:fill="auto"/>
            <w:tcMar>
              <w:top w:w="40" w:type="dxa"/>
              <w:left w:w="40" w:type="dxa"/>
              <w:bottom w:w="40" w:type="dxa"/>
              <w:right w:w="40" w:type="dxa"/>
            </w:tcMar>
            <w:vAlign w:val="bottom"/>
          </w:tcPr>
          <w:p w14:paraId="42A132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C3"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Floating</w:t>
            </w:r>
          </w:p>
        </w:tc>
        <w:tc>
          <w:tcPr>
            <w:tcW w:w="0" w:type="auto"/>
            <w:shd w:val="clear" w:color="auto" w:fill="auto"/>
            <w:tcMar>
              <w:top w:w="40" w:type="dxa"/>
              <w:left w:w="40" w:type="dxa"/>
              <w:bottom w:w="40" w:type="dxa"/>
              <w:right w:w="40" w:type="dxa"/>
            </w:tcMar>
            <w:vAlign w:val="bottom"/>
          </w:tcPr>
          <w:p w14:paraId="42A132C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C5"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Floating</w:t>
            </w:r>
          </w:p>
        </w:tc>
        <w:tc>
          <w:tcPr>
            <w:tcW w:w="0" w:type="auto"/>
            <w:shd w:val="clear" w:color="auto" w:fill="auto"/>
            <w:tcMar>
              <w:top w:w="40" w:type="dxa"/>
              <w:left w:w="40" w:type="dxa"/>
              <w:bottom w:w="40" w:type="dxa"/>
              <w:right w:w="40" w:type="dxa"/>
            </w:tcMar>
            <w:vAlign w:val="bottom"/>
          </w:tcPr>
          <w:p w14:paraId="42A132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2C7"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300</w:t>
            </w:r>
          </w:p>
        </w:tc>
        <w:tc>
          <w:tcPr>
            <w:tcW w:w="0" w:type="auto"/>
            <w:shd w:val="clear" w:color="auto" w:fill="auto"/>
            <w:vAlign w:val="bottom"/>
          </w:tcPr>
          <w:p w14:paraId="42A132C8" w14:textId="77777777" w:rsidR="00BB68E1" w:rsidRDefault="00BB68E1">
            <w:pPr>
              <w:textAlignment w:val="bottom"/>
              <w:rPr>
                <w:rFonts w:ascii="Times New Roman" w:hAnsi="Times New Roman"/>
                <w:sz w:val="20"/>
                <w:szCs w:val="20"/>
              </w:rPr>
            </w:pPr>
          </w:p>
        </w:tc>
      </w:tr>
      <w:tr w:rsidR="00BB68E1" w14:paraId="42A132D4" w14:textId="77777777">
        <w:trPr>
          <w:jc w:val="center"/>
        </w:trPr>
        <w:tc>
          <w:tcPr>
            <w:tcW w:w="0" w:type="auto"/>
            <w:shd w:val="clear" w:color="auto" w:fill="CCEEFF"/>
            <w:tcMar>
              <w:top w:w="40" w:type="dxa"/>
              <w:left w:w="40" w:type="dxa"/>
              <w:bottom w:w="40" w:type="dxa"/>
              <w:right w:w="40" w:type="dxa"/>
            </w:tcMar>
            <w:vAlign w:val="bottom"/>
          </w:tcPr>
          <w:p w14:paraId="42A132CA"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October 20, 2019</w:t>
            </w:r>
          </w:p>
        </w:tc>
        <w:tc>
          <w:tcPr>
            <w:tcW w:w="0" w:type="auto"/>
            <w:shd w:val="clear" w:color="auto" w:fill="CCEEFF"/>
            <w:tcMar>
              <w:top w:w="40" w:type="dxa"/>
              <w:left w:w="40" w:type="dxa"/>
              <w:bottom w:w="40" w:type="dxa"/>
              <w:right w:w="40" w:type="dxa"/>
            </w:tcMar>
            <w:vAlign w:val="bottom"/>
          </w:tcPr>
          <w:p w14:paraId="42A132C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CC"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$1,200</w:t>
            </w:r>
          </w:p>
        </w:tc>
        <w:tc>
          <w:tcPr>
            <w:tcW w:w="0" w:type="auto"/>
            <w:shd w:val="clear" w:color="auto" w:fill="CCEEFF"/>
            <w:tcMar>
              <w:top w:w="40" w:type="dxa"/>
              <w:left w:w="40" w:type="dxa"/>
              <w:bottom w:w="40" w:type="dxa"/>
              <w:right w:w="40" w:type="dxa"/>
            </w:tcMar>
            <w:vAlign w:val="bottom"/>
          </w:tcPr>
          <w:p w14:paraId="42A132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CE"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Fixed</w:t>
            </w:r>
          </w:p>
        </w:tc>
        <w:tc>
          <w:tcPr>
            <w:tcW w:w="0" w:type="auto"/>
            <w:shd w:val="clear" w:color="auto" w:fill="CCEEFF"/>
            <w:tcMar>
              <w:top w:w="40" w:type="dxa"/>
              <w:left w:w="40" w:type="dxa"/>
              <w:bottom w:w="40" w:type="dxa"/>
              <w:right w:w="40" w:type="dxa"/>
            </w:tcMar>
            <w:vAlign w:val="bottom"/>
          </w:tcPr>
          <w:p w14:paraId="42A132C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D0"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1.750%</w:t>
            </w:r>
          </w:p>
        </w:tc>
        <w:tc>
          <w:tcPr>
            <w:tcW w:w="0" w:type="auto"/>
            <w:shd w:val="clear" w:color="auto" w:fill="CCEEFF"/>
            <w:tcMar>
              <w:top w:w="40" w:type="dxa"/>
              <w:left w:w="40" w:type="dxa"/>
              <w:bottom w:w="40" w:type="dxa"/>
              <w:right w:w="40" w:type="dxa"/>
            </w:tcMar>
            <w:vAlign w:val="bottom"/>
          </w:tcPr>
          <w:p w14:paraId="42A132D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2D2"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1,200</w:t>
            </w:r>
          </w:p>
        </w:tc>
        <w:tc>
          <w:tcPr>
            <w:tcW w:w="0" w:type="auto"/>
            <w:shd w:val="clear" w:color="auto" w:fill="CCEEFF"/>
            <w:vAlign w:val="bottom"/>
          </w:tcPr>
          <w:p w14:paraId="42A132D3" w14:textId="77777777" w:rsidR="00BB68E1" w:rsidRDefault="00BB68E1">
            <w:pPr>
              <w:textAlignment w:val="bottom"/>
              <w:rPr>
                <w:rFonts w:ascii="Times New Roman" w:hAnsi="Times New Roman"/>
                <w:sz w:val="20"/>
                <w:szCs w:val="20"/>
              </w:rPr>
            </w:pPr>
          </w:p>
        </w:tc>
      </w:tr>
      <w:tr w:rsidR="00BB68E1" w14:paraId="42A132DF" w14:textId="77777777">
        <w:trPr>
          <w:jc w:val="center"/>
        </w:trPr>
        <w:tc>
          <w:tcPr>
            <w:tcW w:w="0" w:type="auto"/>
            <w:shd w:val="clear" w:color="auto" w:fill="auto"/>
            <w:tcMar>
              <w:top w:w="40" w:type="dxa"/>
              <w:left w:w="40" w:type="dxa"/>
              <w:bottom w:w="40" w:type="dxa"/>
              <w:right w:w="40" w:type="dxa"/>
            </w:tcMar>
            <w:vAlign w:val="bottom"/>
          </w:tcPr>
          <w:p w14:paraId="42A132D5"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Various</w:t>
            </w:r>
            <w:r>
              <w:rPr>
                <w:rFonts w:ascii="Times New Roman" w:eastAsia="宋体" w:hAnsi="Times New Roman"/>
                <w:sz w:val="10"/>
                <w:szCs w:val="10"/>
              </w:rPr>
              <w:t>(1)</w:t>
            </w:r>
          </w:p>
        </w:tc>
        <w:tc>
          <w:tcPr>
            <w:tcW w:w="0" w:type="auto"/>
            <w:shd w:val="clear" w:color="auto" w:fill="auto"/>
            <w:tcMar>
              <w:top w:w="40" w:type="dxa"/>
              <w:left w:w="40" w:type="dxa"/>
              <w:bottom w:w="40" w:type="dxa"/>
              <w:right w:w="40" w:type="dxa"/>
            </w:tcMar>
            <w:vAlign w:val="bottom"/>
          </w:tcPr>
          <w:p w14:paraId="42A132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D7"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$43</w:t>
            </w:r>
          </w:p>
        </w:tc>
        <w:tc>
          <w:tcPr>
            <w:tcW w:w="0" w:type="auto"/>
            <w:shd w:val="clear" w:color="auto" w:fill="auto"/>
            <w:tcMar>
              <w:top w:w="40" w:type="dxa"/>
              <w:left w:w="40" w:type="dxa"/>
              <w:bottom w:w="40" w:type="dxa"/>
              <w:right w:w="40" w:type="dxa"/>
            </w:tcMar>
            <w:vAlign w:val="bottom"/>
          </w:tcPr>
          <w:p w14:paraId="42A132D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D9"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Various</w:t>
            </w:r>
          </w:p>
        </w:tc>
        <w:tc>
          <w:tcPr>
            <w:tcW w:w="0" w:type="auto"/>
            <w:shd w:val="clear" w:color="auto" w:fill="auto"/>
            <w:tcMar>
              <w:top w:w="40" w:type="dxa"/>
              <w:left w:w="40" w:type="dxa"/>
              <w:bottom w:w="40" w:type="dxa"/>
              <w:right w:w="40" w:type="dxa"/>
            </w:tcMar>
            <w:vAlign w:val="bottom"/>
          </w:tcPr>
          <w:p w14:paraId="42A132D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2DB"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Various</w:t>
            </w:r>
          </w:p>
        </w:tc>
        <w:tc>
          <w:tcPr>
            <w:tcW w:w="0" w:type="auto"/>
            <w:shd w:val="clear" w:color="auto" w:fill="auto"/>
            <w:tcMar>
              <w:top w:w="40" w:type="dxa"/>
              <w:left w:w="40" w:type="dxa"/>
              <w:bottom w:w="40" w:type="dxa"/>
              <w:right w:w="40" w:type="dxa"/>
            </w:tcMar>
            <w:vAlign w:val="bottom"/>
          </w:tcPr>
          <w:p w14:paraId="42A132D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2DD"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43</w:t>
            </w:r>
          </w:p>
        </w:tc>
        <w:tc>
          <w:tcPr>
            <w:tcW w:w="0" w:type="auto"/>
            <w:shd w:val="clear" w:color="auto" w:fill="auto"/>
            <w:vAlign w:val="bottom"/>
          </w:tcPr>
          <w:p w14:paraId="42A132DE" w14:textId="77777777" w:rsidR="00BB68E1" w:rsidRDefault="00BB68E1">
            <w:pPr>
              <w:textAlignment w:val="bottom"/>
              <w:rPr>
                <w:rFonts w:ascii="Times New Roman" w:hAnsi="Times New Roman"/>
                <w:sz w:val="20"/>
                <w:szCs w:val="20"/>
              </w:rPr>
            </w:pPr>
          </w:p>
        </w:tc>
      </w:tr>
      <w:tr w:rsidR="00BB68E1" w14:paraId="42A132EB" w14:textId="77777777">
        <w:trPr>
          <w:jc w:val="center"/>
        </w:trPr>
        <w:tc>
          <w:tcPr>
            <w:tcW w:w="0" w:type="auto"/>
            <w:shd w:val="clear" w:color="auto" w:fill="CCEEFF"/>
            <w:tcMar>
              <w:top w:w="40" w:type="dxa"/>
              <w:left w:w="400" w:type="dxa"/>
              <w:bottom w:w="40" w:type="dxa"/>
              <w:right w:w="40" w:type="dxa"/>
            </w:tcMar>
            <w:vAlign w:val="bottom"/>
          </w:tcPr>
          <w:p w14:paraId="42A132E0"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Total repayment of matured debt</w:t>
            </w:r>
          </w:p>
        </w:tc>
        <w:tc>
          <w:tcPr>
            <w:tcW w:w="0" w:type="auto"/>
            <w:shd w:val="clear" w:color="auto" w:fill="CCEEFF"/>
            <w:tcMar>
              <w:top w:w="40" w:type="dxa"/>
              <w:left w:w="40" w:type="dxa"/>
              <w:bottom w:w="40" w:type="dxa"/>
              <w:right w:w="40" w:type="dxa"/>
            </w:tcMar>
            <w:vAlign w:val="bottom"/>
          </w:tcPr>
          <w:p w14:paraId="42A132E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E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E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E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E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E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2E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2A132E8"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2A132E9"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1,907</w:t>
            </w:r>
          </w:p>
        </w:tc>
        <w:tc>
          <w:tcPr>
            <w:tcW w:w="0" w:type="auto"/>
            <w:tcBorders>
              <w:top w:val="single" w:sz="8" w:space="0" w:color="000000"/>
              <w:bottom w:val="double" w:sz="6" w:space="0" w:color="000000"/>
            </w:tcBorders>
            <w:shd w:val="clear" w:color="auto" w:fill="CCEEFF"/>
            <w:vAlign w:val="bottom"/>
          </w:tcPr>
          <w:p w14:paraId="42A132EA" w14:textId="77777777" w:rsidR="00BB68E1" w:rsidRDefault="00BB68E1">
            <w:pPr>
              <w:textAlignment w:val="bottom"/>
              <w:rPr>
                <w:rFonts w:ascii="Times New Roman" w:hAnsi="Times New Roman"/>
                <w:sz w:val="20"/>
                <w:szCs w:val="20"/>
              </w:rPr>
            </w:pPr>
          </w:p>
        </w:tc>
      </w:tr>
    </w:tbl>
    <w:p w14:paraId="42A132EC" w14:textId="77777777" w:rsidR="00BB68E1" w:rsidRDefault="00BB68E1">
      <w:pPr>
        <w:spacing w:line="288" w:lineRule="auto"/>
        <w:jc w:val="center"/>
        <w:rPr>
          <w:rFonts w:ascii="Times New Roman" w:hAnsi="Times New Roman"/>
          <w:sz w:val="20"/>
          <w:szCs w:val="20"/>
        </w:rPr>
      </w:pPr>
    </w:p>
    <w:p w14:paraId="42A132ED" w14:textId="77777777" w:rsidR="00BB68E1" w:rsidRDefault="005D2D5E">
      <w:pPr>
        <w:spacing w:line="288" w:lineRule="auto"/>
        <w:rPr>
          <w:rFonts w:ascii="Times New Roman" w:hAnsi="Times New Roman"/>
          <w:sz w:val="16"/>
          <w:szCs w:val="16"/>
        </w:rPr>
      </w:pPr>
      <w:r>
        <w:rPr>
          <w:rFonts w:ascii="Times New Roman" w:eastAsia="宋体" w:hAnsi="Times New Roman"/>
          <w:sz w:val="16"/>
          <w:szCs w:val="16"/>
        </w:rPr>
        <w:t xml:space="preserve">(1) Includes repayments of smaller </w:t>
      </w:r>
      <w:r>
        <w:rPr>
          <w:rFonts w:ascii="Times New Roman" w:eastAsia="宋体" w:hAnsi="Times New Roman"/>
          <w:sz w:val="16"/>
          <w:szCs w:val="16"/>
        </w:rPr>
        <w:t>long-term debt as it matured in several non-U.S. operations.</w:t>
      </w:r>
    </w:p>
    <w:p w14:paraId="42A132EE" w14:textId="77777777" w:rsidR="00BB68E1" w:rsidRDefault="00BB68E1">
      <w:pPr>
        <w:rPr>
          <w:rFonts w:ascii="Times New Roman" w:hAnsi="Times New Roman"/>
          <w:sz w:val="20"/>
          <w:szCs w:val="20"/>
        </w:rPr>
      </w:pPr>
    </w:p>
    <w:p w14:paraId="42A132EF"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65</w:t>
      </w:r>
    </w:p>
    <w:p w14:paraId="42A132F0" w14:textId="77777777" w:rsidR="00BB68E1" w:rsidRDefault="00BB68E1">
      <w:pPr>
        <w:spacing w:line="288" w:lineRule="auto"/>
        <w:jc w:val="center"/>
        <w:rPr>
          <w:rFonts w:ascii="Times New Roman" w:hAnsi="Times New Roman"/>
          <w:sz w:val="20"/>
          <w:szCs w:val="20"/>
        </w:rPr>
      </w:pPr>
    </w:p>
    <w:p w14:paraId="42A132F1" w14:textId="77777777" w:rsidR="00BB68E1" w:rsidRDefault="005D2D5E">
      <w:r>
        <w:rPr>
          <w:rFonts w:ascii="Times New Roman" w:hAnsi="Times New Roman"/>
          <w:sz w:val="20"/>
          <w:szCs w:val="20"/>
        </w:rPr>
        <w:pict w14:anchorId="42A142B8">
          <v:rect id="_x0000_i1089" style="width:415.3pt;height:1.5pt" o:hralign="center" o:hrstd="t" o:hr="t" fillcolor="#a0a0a0" stroked="f"/>
        </w:pict>
      </w:r>
    </w:p>
    <w:p w14:paraId="42A132F2" w14:textId="77777777" w:rsidR="00BB68E1" w:rsidRDefault="00BB68E1">
      <w:pPr>
        <w:spacing w:line="288" w:lineRule="auto"/>
        <w:rPr>
          <w:rFonts w:ascii="Times New Roman" w:hAnsi="Times New Roman"/>
          <w:sz w:val="20"/>
          <w:szCs w:val="20"/>
        </w:rPr>
      </w:pPr>
    </w:p>
    <w:p w14:paraId="42A132F3" w14:textId="77777777" w:rsidR="00BB68E1" w:rsidRDefault="00BB68E1">
      <w:pPr>
        <w:rPr>
          <w:rFonts w:ascii="Times New Roman" w:hAnsi="Times New Roman"/>
          <w:sz w:val="20"/>
          <w:szCs w:val="20"/>
        </w:rPr>
      </w:pPr>
    </w:p>
    <w:p w14:paraId="42A132F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following table provides details of debt repayments during fiscal 2019:</w:t>
      </w:r>
    </w:p>
    <w:tbl>
      <w:tblPr>
        <w:tblW w:w="5000" w:type="pct"/>
        <w:jc w:val="center"/>
        <w:tblCellMar>
          <w:left w:w="0" w:type="dxa"/>
          <w:right w:w="0" w:type="dxa"/>
        </w:tblCellMar>
        <w:tblLook w:val="04A0" w:firstRow="1" w:lastRow="0" w:firstColumn="1" w:lastColumn="0" w:noHBand="0" w:noVBand="1"/>
      </w:tblPr>
      <w:tblGrid>
        <w:gridCol w:w="2618"/>
        <w:gridCol w:w="130"/>
        <w:gridCol w:w="1289"/>
        <w:gridCol w:w="130"/>
        <w:gridCol w:w="1290"/>
        <w:gridCol w:w="130"/>
        <w:gridCol w:w="1290"/>
        <w:gridCol w:w="130"/>
        <w:gridCol w:w="121"/>
        <w:gridCol w:w="1125"/>
        <w:gridCol w:w="53"/>
      </w:tblGrid>
      <w:tr w:rsidR="00BB68E1" w14:paraId="42A132F6" w14:textId="77777777">
        <w:trPr>
          <w:jc w:val="center"/>
        </w:trPr>
        <w:tc>
          <w:tcPr>
            <w:tcW w:w="0" w:type="auto"/>
            <w:gridSpan w:val="11"/>
            <w:shd w:val="clear" w:color="auto" w:fill="auto"/>
            <w:vAlign w:val="center"/>
          </w:tcPr>
          <w:p w14:paraId="42A132F5" w14:textId="77777777" w:rsidR="00BB68E1" w:rsidRDefault="00BB68E1">
            <w:pPr>
              <w:rPr>
                <w:rFonts w:ascii="Times New Roman" w:hAnsi="Times New Roman"/>
                <w:sz w:val="20"/>
                <w:szCs w:val="20"/>
              </w:rPr>
            </w:pPr>
          </w:p>
        </w:tc>
      </w:tr>
      <w:tr w:rsidR="00BB68E1" w14:paraId="42A13302" w14:textId="77777777">
        <w:trPr>
          <w:jc w:val="center"/>
        </w:trPr>
        <w:tc>
          <w:tcPr>
            <w:tcW w:w="1600" w:type="pct"/>
            <w:shd w:val="clear" w:color="auto" w:fill="auto"/>
            <w:vAlign w:val="center"/>
          </w:tcPr>
          <w:p w14:paraId="42A132F7" w14:textId="77777777" w:rsidR="00BB68E1" w:rsidRDefault="00BB68E1">
            <w:pPr>
              <w:rPr>
                <w:rFonts w:ascii="Times New Roman" w:hAnsi="Times New Roman"/>
                <w:sz w:val="20"/>
                <w:szCs w:val="20"/>
              </w:rPr>
            </w:pPr>
          </w:p>
        </w:tc>
        <w:tc>
          <w:tcPr>
            <w:tcW w:w="50" w:type="pct"/>
            <w:shd w:val="clear" w:color="auto" w:fill="auto"/>
            <w:vAlign w:val="center"/>
          </w:tcPr>
          <w:p w14:paraId="42A132F8" w14:textId="77777777" w:rsidR="00BB68E1" w:rsidRDefault="00BB68E1">
            <w:pPr>
              <w:rPr>
                <w:rFonts w:ascii="Times New Roman" w:hAnsi="Times New Roman"/>
                <w:sz w:val="20"/>
                <w:szCs w:val="20"/>
              </w:rPr>
            </w:pPr>
          </w:p>
        </w:tc>
        <w:tc>
          <w:tcPr>
            <w:tcW w:w="800" w:type="pct"/>
            <w:shd w:val="clear" w:color="auto" w:fill="auto"/>
            <w:vAlign w:val="center"/>
          </w:tcPr>
          <w:p w14:paraId="42A132F9" w14:textId="77777777" w:rsidR="00BB68E1" w:rsidRDefault="00BB68E1">
            <w:pPr>
              <w:rPr>
                <w:rFonts w:ascii="Times New Roman" w:hAnsi="Times New Roman"/>
                <w:sz w:val="20"/>
                <w:szCs w:val="20"/>
              </w:rPr>
            </w:pPr>
          </w:p>
        </w:tc>
        <w:tc>
          <w:tcPr>
            <w:tcW w:w="50" w:type="pct"/>
            <w:shd w:val="clear" w:color="auto" w:fill="auto"/>
            <w:vAlign w:val="center"/>
          </w:tcPr>
          <w:p w14:paraId="42A132FA" w14:textId="77777777" w:rsidR="00BB68E1" w:rsidRDefault="00BB68E1">
            <w:pPr>
              <w:rPr>
                <w:rFonts w:ascii="Times New Roman" w:hAnsi="Times New Roman"/>
                <w:sz w:val="20"/>
                <w:szCs w:val="20"/>
              </w:rPr>
            </w:pPr>
          </w:p>
        </w:tc>
        <w:tc>
          <w:tcPr>
            <w:tcW w:w="800" w:type="pct"/>
            <w:shd w:val="clear" w:color="auto" w:fill="auto"/>
            <w:vAlign w:val="center"/>
          </w:tcPr>
          <w:p w14:paraId="42A132FB" w14:textId="77777777" w:rsidR="00BB68E1" w:rsidRDefault="00BB68E1">
            <w:pPr>
              <w:rPr>
                <w:rFonts w:ascii="Times New Roman" w:hAnsi="Times New Roman"/>
                <w:sz w:val="20"/>
                <w:szCs w:val="20"/>
              </w:rPr>
            </w:pPr>
          </w:p>
        </w:tc>
        <w:tc>
          <w:tcPr>
            <w:tcW w:w="50" w:type="pct"/>
            <w:shd w:val="clear" w:color="auto" w:fill="auto"/>
            <w:vAlign w:val="center"/>
          </w:tcPr>
          <w:p w14:paraId="42A132FC" w14:textId="77777777" w:rsidR="00BB68E1" w:rsidRDefault="00BB68E1">
            <w:pPr>
              <w:rPr>
                <w:rFonts w:ascii="Times New Roman" w:hAnsi="Times New Roman"/>
                <w:sz w:val="20"/>
                <w:szCs w:val="20"/>
              </w:rPr>
            </w:pPr>
          </w:p>
        </w:tc>
        <w:tc>
          <w:tcPr>
            <w:tcW w:w="800" w:type="pct"/>
            <w:shd w:val="clear" w:color="auto" w:fill="auto"/>
            <w:vAlign w:val="center"/>
          </w:tcPr>
          <w:p w14:paraId="42A132FD" w14:textId="77777777" w:rsidR="00BB68E1" w:rsidRDefault="00BB68E1">
            <w:pPr>
              <w:rPr>
                <w:rFonts w:ascii="Times New Roman" w:hAnsi="Times New Roman"/>
                <w:sz w:val="20"/>
                <w:szCs w:val="20"/>
              </w:rPr>
            </w:pPr>
          </w:p>
        </w:tc>
        <w:tc>
          <w:tcPr>
            <w:tcW w:w="50" w:type="pct"/>
            <w:shd w:val="clear" w:color="auto" w:fill="auto"/>
            <w:vAlign w:val="center"/>
          </w:tcPr>
          <w:p w14:paraId="42A132FE" w14:textId="77777777" w:rsidR="00BB68E1" w:rsidRDefault="00BB68E1">
            <w:pPr>
              <w:rPr>
                <w:rFonts w:ascii="Times New Roman" w:hAnsi="Times New Roman"/>
                <w:sz w:val="20"/>
                <w:szCs w:val="20"/>
              </w:rPr>
            </w:pPr>
          </w:p>
        </w:tc>
        <w:tc>
          <w:tcPr>
            <w:tcW w:w="50" w:type="pct"/>
            <w:shd w:val="clear" w:color="auto" w:fill="auto"/>
            <w:vAlign w:val="center"/>
          </w:tcPr>
          <w:p w14:paraId="42A132FF" w14:textId="77777777" w:rsidR="00BB68E1" w:rsidRDefault="00BB68E1">
            <w:pPr>
              <w:rPr>
                <w:rFonts w:ascii="Times New Roman" w:hAnsi="Times New Roman"/>
                <w:sz w:val="20"/>
                <w:szCs w:val="20"/>
              </w:rPr>
            </w:pPr>
          </w:p>
        </w:tc>
        <w:tc>
          <w:tcPr>
            <w:tcW w:w="700" w:type="pct"/>
            <w:shd w:val="clear" w:color="auto" w:fill="auto"/>
            <w:vAlign w:val="center"/>
          </w:tcPr>
          <w:p w14:paraId="42A13300" w14:textId="77777777" w:rsidR="00BB68E1" w:rsidRDefault="00BB68E1">
            <w:pPr>
              <w:rPr>
                <w:rFonts w:ascii="Times New Roman" w:hAnsi="Times New Roman"/>
                <w:sz w:val="20"/>
                <w:szCs w:val="20"/>
              </w:rPr>
            </w:pPr>
          </w:p>
        </w:tc>
        <w:tc>
          <w:tcPr>
            <w:tcW w:w="50" w:type="pct"/>
            <w:shd w:val="clear" w:color="auto" w:fill="auto"/>
            <w:vAlign w:val="center"/>
          </w:tcPr>
          <w:p w14:paraId="42A13301" w14:textId="77777777" w:rsidR="00BB68E1" w:rsidRDefault="00BB68E1">
            <w:pPr>
              <w:rPr>
                <w:rFonts w:ascii="Times New Roman" w:hAnsi="Times New Roman"/>
                <w:sz w:val="20"/>
                <w:szCs w:val="20"/>
              </w:rPr>
            </w:pPr>
          </w:p>
        </w:tc>
      </w:tr>
      <w:tr w:rsidR="00BB68E1" w14:paraId="42A1330C" w14:textId="77777777">
        <w:trPr>
          <w:jc w:val="center"/>
        </w:trPr>
        <w:tc>
          <w:tcPr>
            <w:tcW w:w="0" w:type="auto"/>
            <w:shd w:val="clear" w:color="auto" w:fill="auto"/>
            <w:tcMar>
              <w:top w:w="40" w:type="dxa"/>
              <w:left w:w="40" w:type="dxa"/>
              <w:bottom w:w="40" w:type="dxa"/>
              <w:right w:w="40" w:type="dxa"/>
            </w:tcMar>
            <w:vAlign w:val="bottom"/>
          </w:tcPr>
          <w:p w14:paraId="42A13303"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330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0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0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0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0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0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0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30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316"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42A1330D"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Maturity Date</w:t>
            </w:r>
          </w:p>
        </w:tc>
        <w:tc>
          <w:tcPr>
            <w:tcW w:w="0" w:type="auto"/>
            <w:shd w:val="clear" w:color="auto" w:fill="auto"/>
            <w:tcMar>
              <w:top w:w="40" w:type="dxa"/>
              <w:left w:w="40" w:type="dxa"/>
              <w:bottom w:w="40" w:type="dxa"/>
              <w:right w:w="40" w:type="dxa"/>
            </w:tcMar>
            <w:vAlign w:val="bottom"/>
          </w:tcPr>
          <w:p w14:paraId="42A133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330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Principal Amount</w:t>
            </w:r>
          </w:p>
        </w:tc>
        <w:tc>
          <w:tcPr>
            <w:tcW w:w="0" w:type="auto"/>
            <w:shd w:val="clear" w:color="auto" w:fill="auto"/>
            <w:tcMar>
              <w:top w:w="40" w:type="dxa"/>
              <w:left w:w="40" w:type="dxa"/>
              <w:bottom w:w="40" w:type="dxa"/>
              <w:right w:w="40" w:type="dxa"/>
            </w:tcMar>
            <w:vAlign w:val="bottom"/>
          </w:tcPr>
          <w:p w14:paraId="42A1331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3311"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 xml:space="preserve">Fixed vs. </w:t>
            </w:r>
            <w:r>
              <w:rPr>
                <w:rFonts w:ascii="Times New Roman" w:eastAsia="宋体" w:hAnsi="Times New Roman"/>
                <w:b/>
                <w:bCs/>
                <w:sz w:val="16"/>
                <w:szCs w:val="16"/>
              </w:rPr>
              <w:t>Floating</w:t>
            </w:r>
          </w:p>
        </w:tc>
        <w:tc>
          <w:tcPr>
            <w:tcW w:w="0" w:type="auto"/>
            <w:shd w:val="clear" w:color="auto" w:fill="auto"/>
            <w:tcMar>
              <w:top w:w="40" w:type="dxa"/>
              <w:left w:w="40" w:type="dxa"/>
              <w:bottom w:w="40" w:type="dxa"/>
              <w:right w:w="40" w:type="dxa"/>
            </w:tcMar>
            <w:vAlign w:val="bottom"/>
          </w:tcPr>
          <w:p w14:paraId="42A133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331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Interest Rate</w:t>
            </w:r>
          </w:p>
        </w:tc>
        <w:tc>
          <w:tcPr>
            <w:tcW w:w="0" w:type="auto"/>
            <w:shd w:val="clear" w:color="auto" w:fill="auto"/>
            <w:tcMar>
              <w:top w:w="40" w:type="dxa"/>
              <w:left w:w="40" w:type="dxa"/>
              <w:bottom w:w="40" w:type="dxa"/>
              <w:right w:w="40" w:type="dxa"/>
            </w:tcMar>
            <w:vAlign w:val="bottom"/>
          </w:tcPr>
          <w:p w14:paraId="42A1331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315"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Repayment</w:t>
            </w:r>
          </w:p>
        </w:tc>
      </w:tr>
      <w:tr w:rsidR="00BB68E1" w14:paraId="42A13322" w14:textId="77777777">
        <w:trPr>
          <w:jc w:val="center"/>
        </w:trPr>
        <w:tc>
          <w:tcPr>
            <w:tcW w:w="0" w:type="auto"/>
            <w:tcBorders>
              <w:top w:val="single" w:sz="8" w:space="0" w:color="000000"/>
            </w:tcBorders>
            <w:shd w:val="clear" w:color="auto" w:fill="CCEEFF"/>
            <w:tcMar>
              <w:top w:w="40" w:type="dxa"/>
              <w:left w:w="40" w:type="dxa"/>
              <w:bottom w:w="40" w:type="dxa"/>
              <w:right w:w="40" w:type="dxa"/>
            </w:tcMar>
            <w:vAlign w:val="bottom"/>
          </w:tcPr>
          <w:p w14:paraId="42A1331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February 15, 2018</w:t>
            </w:r>
          </w:p>
        </w:tc>
        <w:tc>
          <w:tcPr>
            <w:tcW w:w="0" w:type="auto"/>
            <w:shd w:val="clear" w:color="auto" w:fill="CCEEFF"/>
            <w:tcMar>
              <w:top w:w="40" w:type="dxa"/>
              <w:left w:w="40" w:type="dxa"/>
              <w:bottom w:w="40" w:type="dxa"/>
              <w:right w:w="40" w:type="dxa"/>
            </w:tcMar>
            <w:vAlign w:val="bottom"/>
          </w:tcPr>
          <w:p w14:paraId="42A1331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42A13319"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$1,250</w:t>
            </w:r>
          </w:p>
        </w:tc>
        <w:tc>
          <w:tcPr>
            <w:tcW w:w="0" w:type="auto"/>
            <w:shd w:val="clear" w:color="auto" w:fill="CCEEFF"/>
            <w:tcMar>
              <w:top w:w="40" w:type="dxa"/>
              <w:left w:w="40" w:type="dxa"/>
              <w:bottom w:w="40" w:type="dxa"/>
              <w:right w:w="40" w:type="dxa"/>
            </w:tcMar>
            <w:vAlign w:val="bottom"/>
          </w:tcPr>
          <w:p w14:paraId="42A1331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42A1331B"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Fixed</w:t>
            </w:r>
          </w:p>
        </w:tc>
        <w:tc>
          <w:tcPr>
            <w:tcW w:w="0" w:type="auto"/>
            <w:shd w:val="clear" w:color="auto" w:fill="CCEEFF"/>
            <w:tcMar>
              <w:top w:w="40" w:type="dxa"/>
              <w:left w:w="40" w:type="dxa"/>
              <w:bottom w:w="40" w:type="dxa"/>
              <w:right w:w="40" w:type="dxa"/>
            </w:tcMar>
            <w:vAlign w:val="bottom"/>
          </w:tcPr>
          <w:p w14:paraId="42A1331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42A1331D"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5.800%</w:t>
            </w:r>
          </w:p>
        </w:tc>
        <w:tc>
          <w:tcPr>
            <w:tcW w:w="0" w:type="auto"/>
            <w:shd w:val="clear" w:color="auto" w:fill="CCEEFF"/>
            <w:tcMar>
              <w:top w:w="40" w:type="dxa"/>
              <w:left w:w="40" w:type="dxa"/>
              <w:bottom w:w="40" w:type="dxa"/>
              <w:right w:w="40" w:type="dxa"/>
            </w:tcMar>
            <w:vAlign w:val="bottom"/>
          </w:tcPr>
          <w:p w14:paraId="42A1331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2A1331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2A13320"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1,250</w:t>
            </w:r>
          </w:p>
        </w:tc>
        <w:tc>
          <w:tcPr>
            <w:tcW w:w="0" w:type="auto"/>
            <w:tcBorders>
              <w:top w:val="single" w:sz="8" w:space="0" w:color="000000"/>
            </w:tcBorders>
            <w:shd w:val="clear" w:color="auto" w:fill="CCEEFF"/>
            <w:vAlign w:val="bottom"/>
          </w:tcPr>
          <w:p w14:paraId="42A13321" w14:textId="77777777" w:rsidR="00BB68E1" w:rsidRDefault="00BB68E1">
            <w:pPr>
              <w:textAlignment w:val="bottom"/>
              <w:rPr>
                <w:rFonts w:ascii="Times New Roman" w:hAnsi="Times New Roman"/>
                <w:sz w:val="20"/>
                <w:szCs w:val="20"/>
              </w:rPr>
            </w:pPr>
          </w:p>
        </w:tc>
      </w:tr>
      <w:tr w:rsidR="00BB68E1" w14:paraId="42A1332D" w14:textId="77777777">
        <w:trPr>
          <w:jc w:val="center"/>
        </w:trPr>
        <w:tc>
          <w:tcPr>
            <w:tcW w:w="0" w:type="auto"/>
            <w:shd w:val="clear" w:color="auto" w:fill="auto"/>
            <w:tcMar>
              <w:top w:w="40" w:type="dxa"/>
              <w:left w:w="40" w:type="dxa"/>
              <w:bottom w:w="40" w:type="dxa"/>
              <w:right w:w="40" w:type="dxa"/>
            </w:tcMar>
            <w:vAlign w:val="bottom"/>
          </w:tcPr>
          <w:p w14:paraId="42A1332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April 11, 2018</w:t>
            </w:r>
          </w:p>
        </w:tc>
        <w:tc>
          <w:tcPr>
            <w:tcW w:w="0" w:type="auto"/>
            <w:shd w:val="clear" w:color="auto" w:fill="auto"/>
            <w:tcMar>
              <w:top w:w="40" w:type="dxa"/>
              <w:left w:w="40" w:type="dxa"/>
              <w:bottom w:w="40" w:type="dxa"/>
              <w:right w:w="40" w:type="dxa"/>
            </w:tcMar>
            <w:vAlign w:val="bottom"/>
          </w:tcPr>
          <w:p w14:paraId="42A1332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25"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$1,250</w:t>
            </w:r>
          </w:p>
        </w:tc>
        <w:tc>
          <w:tcPr>
            <w:tcW w:w="0" w:type="auto"/>
            <w:shd w:val="clear" w:color="auto" w:fill="auto"/>
            <w:tcMar>
              <w:top w:w="40" w:type="dxa"/>
              <w:left w:w="40" w:type="dxa"/>
              <w:bottom w:w="40" w:type="dxa"/>
              <w:right w:w="40" w:type="dxa"/>
            </w:tcMar>
            <w:vAlign w:val="bottom"/>
          </w:tcPr>
          <w:p w14:paraId="42A1332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27"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Fixed</w:t>
            </w:r>
          </w:p>
        </w:tc>
        <w:tc>
          <w:tcPr>
            <w:tcW w:w="0" w:type="auto"/>
            <w:shd w:val="clear" w:color="auto" w:fill="auto"/>
            <w:tcMar>
              <w:top w:w="40" w:type="dxa"/>
              <w:left w:w="40" w:type="dxa"/>
              <w:bottom w:w="40" w:type="dxa"/>
              <w:right w:w="40" w:type="dxa"/>
            </w:tcMar>
            <w:vAlign w:val="bottom"/>
          </w:tcPr>
          <w:p w14:paraId="42A1332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29"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1.125%</w:t>
            </w:r>
          </w:p>
        </w:tc>
        <w:tc>
          <w:tcPr>
            <w:tcW w:w="0" w:type="auto"/>
            <w:shd w:val="clear" w:color="auto" w:fill="auto"/>
            <w:tcMar>
              <w:top w:w="40" w:type="dxa"/>
              <w:left w:w="40" w:type="dxa"/>
              <w:bottom w:w="40" w:type="dxa"/>
              <w:right w:w="40" w:type="dxa"/>
            </w:tcMar>
            <w:vAlign w:val="bottom"/>
          </w:tcPr>
          <w:p w14:paraId="42A1332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32B"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1,250</w:t>
            </w:r>
          </w:p>
        </w:tc>
        <w:tc>
          <w:tcPr>
            <w:tcW w:w="0" w:type="auto"/>
            <w:shd w:val="clear" w:color="auto" w:fill="auto"/>
            <w:vAlign w:val="bottom"/>
          </w:tcPr>
          <w:p w14:paraId="42A1332C" w14:textId="77777777" w:rsidR="00BB68E1" w:rsidRDefault="00BB68E1">
            <w:pPr>
              <w:textAlignment w:val="bottom"/>
              <w:rPr>
                <w:rFonts w:ascii="Times New Roman" w:hAnsi="Times New Roman"/>
                <w:sz w:val="20"/>
                <w:szCs w:val="20"/>
              </w:rPr>
            </w:pPr>
          </w:p>
        </w:tc>
      </w:tr>
      <w:tr w:rsidR="00BB68E1" w14:paraId="42A13338" w14:textId="77777777">
        <w:trPr>
          <w:jc w:val="center"/>
        </w:trPr>
        <w:tc>
          <w:tcPr>
            <w:tcW w:w="0" w:type="auto"/>
            <w:shd w:val="clear" w:color="auto" w:fill="CCEEFF"/>
            <w:tcMar>
              <w:top w:w="40" w:type="dxa"/>
              <w:left w:w="40" w:type="dxa"/>
              <w:bottom w:w="40" w:type="dxa"/>
              <w:right w:w="40" w:type="dxa"/>
            </w:tcMar>
            <w:vAlign w:val="bottom"/>
          </w:tcPr>
          <w:p w14:paraId="42A1332E"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June 1, 2018</w:t>
            </w:r>
          </w:p>
        </w:tc>
        <w:tc>
          <w:tcPr>
            <w:tcW w:w="0" w:type="auto"/>
            <w:shd w:val="clear" w:color="auto" w:fill="CCEEFF"/>
            <w:tcMar>
              <w:top w:w="40" w:type="dxa"/>
              <w:left w:w="40" w:type="dxa"/>
              <w:bottom w:w="40" w:type="dxa"/>
              <w:right w:w="40" w:type="dxa"/>
            </w:tcMar>
            <w:vAlign w:val="bottom"/>
          </w:tcPr>
          <w:p w14:paraId="42A1332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330"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$500</w:t>
            </w:r>
          </w:p>
        </w:tc>
        <w:tc>
          <w:tcPr>
            <w:tcW w:w="0" w:type="auto"/>
            <w:shd w:val="clear" w:color="auto" w:fill="CCEEFF"/>
            <w:tcMar>
              <w:top w:w="40" w:type="dxa"/>
              <w:left w:w="40" w:type="dxa"/>
              <w:bottom w:w="40" w:type="dxa"/>
              <w:right w:w="40" w:type="dxa"/>
            </w:tcMar>
            <w:vAlign w:val="bottom"/>
          </w:tcPr>
          <w:p w14:paraId="42A1333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332"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Floating</w:t>
            </w:r>
          </w:p>
        </w:tc>
        <w:tc>
          <w:tcPr>
            <w:tcW w:w="0" w:type="auto"/>
            <w:shd w:val="clear" w:color="auto" w:fill="CCEEFF"/>
            <w:tcMar>
              <w:top w:w="40" w:type="dxa"/>
              <w:left w:w="40" w:type="dxa"/>
              <w:bottom w:w="40" w:type="dxa"/>
              <w:right w:w="40" w:type="dxa"/>
            </w:tcMar>
            <w:vAlign w:val="bottom"/>
          </w:tcPr>
          <w:p w14:paraId="42A1333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334"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Floating</w:t>
            </w:r>
          </w:p>
        </w:tc>
        <w:tc>
          <w:tcPr>
            <w:tcW w:w="0" w:type="auto"/>
            <w:shd w:val="clear" w:color="auto" w:fill="CCEEFF"/>
            <w:tcMar>
              <w:top w:w="40" w:type="dxa"/>
              <w:left w:w="40" w:type="dxa"/>
              <w:bottom w:w="40" w:type="dxa"/>
              <w:right w:w="40" w:type="dxa"/>
            </w:tcMar>
            <w:vAlign w:val="bottom"/>
          </w:tcPr>
          <w:p w14:paraId="42A1333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336"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500</w:t>
            </w:r>
          </w:p>
        </w:tc>
        <w:tc>
          <w:tcPr>
            <w:tcW w:w="0" w:type="auto"/>
            <w:shd w:val="clear" w:color="auto" w:fill="CCEEFF"/>
            <w:vAlign w:val="bottom"/>
          </w:tcPr>
          <w:p w14:paraId="42A13337" w14:textId="77777777" w:rsidR="00BB68E1" w:rsidRDefault="00BB68E1">
            <w:pPr>
              <w:textAlignment w:val="bottom"/>
              <w:rPr>
                <w:rFonts w:ascii="Times New Roman" w:hAnsi="Times New Roman"/>
                <w:sz w:val="20"/>
                <w:szCs w:val="20"/>
              </w:rPr>
            </w:pPr>
          </w:p>
        </w:tc>
      </w:tr>
      <w:tr w:rsidR="00BB68E1" w14:paraId="42A13343" w14:textId="77777777">
        <w:trPr>
          <w:jc w:val="center"/>
        </w:trPr>
        <w:tc>
          <w:tcPr>
            <w:tcW w:w="0" w:type="auto"/>
            <w:shd w:val="clear" w:color="auto" w:fill="auto"/>
            <w:tcMar>
              <w:top w:w="40" w:type="dxa"/>
              <w:left w:w="40" w:type="dxa"/>
              <w:bottom w:w="40" w:type="dxa"/>
              <w:right w:w="40" w:type="dxa"/>
            </w:tcMar>
            <w:vAlign w:val="bottom"/>
          </w:tcPr>
          <w:p w14:paraId="42A1333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December 15, 2018</w:t>
            </w:r>
          </w:p>
        </w:tc>
        <w:tc>
          <w:tcPr>
            <w:tcW w:w="0" w:type="auto"/>
            <w:shd w:val="clear" w:color="auto" w:fill="auto"/>
            <w:tcMar>
              <w:top w:w="40" w:type="dxa"/>
              <w:left w:w="40" w:type="dxa"/>
              <w:bottom w:w="40" w:type="dxa"/>
              <w:right w:w="40" w:type="dxa"/>
            </w:tcMar>
            <w:vAlign w:val="bottom"/>
          </w:tcPr>
          <w:p w14:paraId="42A1333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3B"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$724</w:t>
            </w:r>
          </w:p>
        </w:tc>
        <w:tc>
          <w:tcPr>
            <w:tcW w:w="0" w:type="auto"/>
            <w:shd w:val="clear" w:color="auto" w:fill="auto"/>
            <w:tcMar>
              <w:top w:w="40" w:type="dxa"/>
              <w:left w:w="40" w:type="dxa"/>
              <w:bottom w:w="40" w:type="dxa"/>
              <w:right w:w="40" w:type="dxa"/>
            </w:tcMar>
            <w:vAlign w:val="bottom"/>
          </w:tcPr>
          <w:p w14:paraId="42A133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3D"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Fixed</w:t>
            </w:r>
          </w:p>
        </w:tc>
        <w:tc>
          <w:tcPr>
            <w:tcW w:w="0" w:type="auto"/>
            <w:shd w:val="clear" w:color="auto" w:fill="auto"/>
            <w:tcMar>
              <w:top w:w="40" w:type="dxa"/>
              <w:left w:w="40" w:type="dxa"/>
              <w:bottom w:w="40" w:type="dxa"/>
              <w:right w:w="40" w:type="dxa"/>
            </w:tcMar>
            <w:vAlign w:val="bottom"/>
          </w:tcPr>
          <w:p w14:paraId="42A1333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3F"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1.950%</w:t>
            </w:r>
          </w:p>
        </w:tc>
        <w:tc>
          <w:tcPr>
            <w:tcW w:w="0" w:type="auto"/>
            <w:shd w:val="clear" w:color="auto" w:fill="auto"/>
            <w:tcMar>
              <w:top w:w="40" w:type="dxa"/>
              <w:left w:w="40" w:type="dxa"/>
              <w:bottom w:w="40" w:type="dxa"/>
              <w:right w:w="40" w:type="dxa"/>
            </w:tcMar>
            <w:vAlign w:val="bottom"/>
          </w:tcPr>
          <w:p w14:paraId="42A1334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341"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724</w:t>
            </w:r>
          </w:p>
        </w:tc>
        <w:tc>
          <w:tcPr>
            <w:tcW w:w="0" w:type="auto"/>
            <w:shd w:val="clear" w:color="auto" w:fill="auto"/>
            <w:vAlign w:val="bottom"/>
          </w:tcPr>
          <w:p w14:paraId="42A13342" w14:textId="77777777" w:rsidR="00BB68E1" w:rsidRDefault="00BB68E1">
            <w:pPr>
              <w:textAlignment w:val="bottom"/>
              <w:rPr>
                <w:rFonts w:ascii="Times New Roman" w:hAnsi="Times New Roman"/>
                <w:sz w:val="20"/>
                <w:szCs w:val="20"/>
              </w:rPr>
            </w:pPr>
          </w:p>
        </w:tc>
      </w:tr>
      <w:tr w:rsidR="00BB68E1" w14:paraId="42A1334E" w14:textId="77777777">
        <w:trPr>
          <w:jc w:val="center"/>
        </w:trPr>
        <w:tc>
          <w:tcPr>
            <w:tcW w:w="0" w:type="auto"/>
            <w:shd w:val="clear" w:color="auto" w:fill="CCEEFF"/>
            <w:tcMar>
              <w:top w:w="40" w:type="dxa"/>
              <w:left w:w="40" w:type="dxa"/>
              <w:bottom w:w="40" w:type="dxa"/>
              <w:right w:w="40" w:type="dxa"/>
            </w:tcMar>
            <w:vAlign w:val="bottom"/>
          </w:tcPr>
          <w:p w14:paraId="42A13344"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Various</w:t>
            </w:r>
            <w:r>
              <w:rPr>
                <w:rFonts w:ascii="Times New Roman" w:eastAsia="宋体" w:hAnsi="Times New Roman"/>
                <w:sz w:val="10"/>
                <w:szCs w:val="10"/>
              </w:rPr>
              <w:t>(1)</w:t>
            </w:r>
          </w:p>
        </w:tc>
        <w:tc>
          <w:tcPr>
            <w:tcW w:w="0" w:type="auto"/>
            <w:shd w:val="clear" w:color="auto" w:fill="CCEEFF"/>
            <w:tcMar>
              <w:top w:w="40" w:type="dxa"/>
              <w:left w:w="40" w:type="dxa"/>
              <w:bottom w:w="40" w:type="dxa"/>
              <w:right w:w="40" w:type="dxa"/>
            </w:tcMar>
            <w:vAlign w:val="bottom"/>
          </w:tcPr>
          <w:p w14:paraId="42A1334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346"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$60</w:t>
            </w:r>
          </w:p>
        </w:tc>
        <w:tc>
          <w:tcPr>
            <w:tcW w:w="0" w:type="auto"/>
            <w:shd w:val="clear" w:color="auto" w:fill="CCEEFF"/>
            <w:tcMar>
              <w:top w:w="40" w:type="dxa"/>
              <w:left w:w="40" w:type="dxa"/>
              <w:bottom w:w="40" w:type="dxa"/>
              <w:right w:w="40" w:type="dxa"/>
            </w:tcMar>
            <w:vAlign w:val="bottom"/>
          </w:tcPr>
          <w:p w14:paraId="42A1334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348"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Various</w:t>
            </w:r>
          </w:p>
        </w:tc>
        <w:tc>
          <w:tcPr>
            <w:tcW w:w="0" w:type="auto"/>
            <w:shd w:val="clear" w:color="auto" w:fill="CCEEFF"/>
            <w:tcMar>
              <w:top w:w="40" w:type="dxa"/>
              <w:left w:w="40" w:type="dxa"/>
              <w:bottom w:w="40" w:type="dxa"/>
              <w:right w:w="40" w:type="dxa"/>
            </w:tcMar>
            <w:vAlign w:val="bottom"/>
          </w:tcPr>
          <w:p w14:paraId="42A1334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34A" w14:textId="77777777" w:rsidR="00BB68E1" w:rsidRDefault="005D2D5E">
            <w:pPr>
              <w:jc w:val="center"/>
              <w:textAlignment w:val="bottom"/>
              <w:rPr>
                <w:rFonts w:ascii="Times New Roman" w:hAnsi="Times New Roman"/>
                <w:sz w:val="16"/>
                <w:szCs w:val="16"/>
              </w:rPr>
            </w:pPr>
            <w:r>
              <w:rPr>
                <w:rFonts w:ascii="Times New Roman" w:eastAsia="宋体" w:hAnsi="Times New Roman"/>
                <w:sz w:val="16"/>
                <w:szCs w:val="16"/>
              </w:rPr>
              <w:t>Various</w:t>
            </w:r>
          </w:p>
        </w:tc>
        <w:tc>
          <w:tcPr>
            <w:tcW w:w="0" w:type="auto"/>
            <w:shd w:val="clear" w:color="auto" w:fill="CCEEFF"/>
            <w:tcMar>
              <w:top w:w="40" w:type="dxa"/>
              <w:left w:w="40" w:type="dxa"/>
              <w:bottom w:w="40" w:type="dxa"/>
              <w:right w:w="40" w:type="dxa"/>
            </w:tcMar>
            <w:vAlign w:val="bottom"/>
          </w:tcPr>
          <w:p w14:paraId="42A1334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2A1334C"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60</w:t>
            </w:r>
          </w:p>
        </w:tc>
        <w:tc>
          <w:tcPr>
            <w:tcW w:w="0" w:type="auto"/>
            <w:tcBorders>
              <w:bottom w:val="single" w:sz="8" w:space="0" w:color="000000"/>
            </w:tcBorders>
            <w:shd w:val="clear" w:color="auto" w:fill="CCEEFF"/>
            <w:vAlign w:val="bottom"/>
          </w:tcPr>
          <w:p w14:paraId="42A1334D" w14:textId="77777777" w:rsidR="00BB68E1" w:rsidRDefault="00BB68E1">
            <w:pPr>
              <w:textAlignment w:val="bottom"/>
              <w:rPr>
                <w:rFonts w:ascii="Times New Roman" w:hAnsi="Times New Roman"/>
                <w:sz w:val="20"/>
                <w:szCs w:val="20"/>
              </w:rPr>
            </w:pPr>
          </w:p>
        </w:tc>
      </w:tr>
      <w:tr w:rsidR="00BB68E1" w14:paraId="42A1335A" w14:textId="77777777">
        <w:trPr>
          <w:jc w:val="center"/>
        </w:trPr>
        <w:tc>
          <w:tcPr>
            <w:tcW w:w="0" w:type="auto"/>
            <w:shd w:val="clear" w:color="auto" w:fill="auto"/>
            <w:tcMar>
              <w:top w:w="40" w:type="dxa"/>
              <w:left w:w="400" w:type="dxa"/>
              <w:bottom w:w="40" w:type="dxa"/>
              <w:right w:w="40" w:type="dxa"/>
            </w:tcMar>
            <w:vAlign w:val="bottom"/>
          </w:tcPr>
          <w:p w14:paraId="42A1334F"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Total repayment of matured debt</w:t>
            </w:r>
          </w:p>
        </w:tc>
        <w:tc>
          <w:tcPr>
            <w:tcW w:w="0" w:type="auto"/>
            <w:shd w:val="clear" w:color="auto" w:fill="auto"/>
            <w:tcMar>
              <w:top w:w="40" w:type="dxa"/>
              <w:left w:w="40" w:type="dxa"/>
              <w:bottom w:w="40" w:type="dxa"/>
              <w:right w:w="40" w:type="dxa"/>
            </w:tcMar>
            <w:vAlign w:val="bottom"/>
          </w:tcPr>
          <w:p w14:paraId="42A1335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5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5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5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5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5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42A1335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bottom"/>
          </w:tcPr>
          <w:p w14:paraId="42A13358"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3,784</w:t>
            </w:r>
          </w:p>
        </w:tc>
        <w:tc>
          <w:tcPr>
            <w:tcW w:w="0" w:type="auto"/>
            <w:tcBorders>
              <w:bottom w:val="double" w:sz="6" w:space="0" w:color="000000"/>
            </w:tcBorders>
            <w:shd w:val="clear" w:color="auto" w:fill="auto"/>
            <w:vAlign w:val="bottom"/>
          </w:tcPr>
          <w:p w14:paraId="42A13359" w14:textId="77777777" w:rsidR="00BB68E1" w:rsidRDefault="00BB68E1">
            <w:pPr>
              <w:textAlignment w:val="bottom"/>
              <w:rPr>
                <w:rFonts w:ascii="Times New Roman" w:hAnsi="Times New Roman"/>
                <w:sz w:val="20"/>
                <w:szCs w:val="20"/>
              </w:rPr>
            </w:pPr>
          </w:p>
        </w:tc>
      </w:tr>
    </w:tbl>
    <w:p w14:paraId="42A1335B" w14:textId="77777777" w:rsidR="00BB68E1" w:rsidRDefault="005D2D5E">
      <w:pPr>
        <w:spacing w:line="288" w:lineRule="auto"/>
        <w:rPr>
          <w:rFonts w:ascii="Times New Roman" w:hAnsi="Times New Roman"/>
          <w:sz w:val="16"/>
          <w:szCs w:val="16"/>
        </w:rPr>
      </w:pPr>
      <w:r>
        <w:rPr>
          <w:rFonts w:ascii="Times New Roman" w:eastAsia="宋体" w:hAnsi="Times New Roman"/>
          <w:sz w:val="16"/>
          <w:szCs w:val="16"/>
        </w:rPr>
        <w:t>(1) Includes repayments of smaller long-term debt as it matured in several non-U.S. operations.</w:t>
      </w:r>
    </w:p>
    <w:p w14:paraId="42A1335C"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Note 7. Leases</w:t>
      </w:r>
    </w:p>
    <w:p w14:paraId="42A1335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Company leases certain retail locations, distribution and fulfillment centers, warehouses, office spaces, land and equipment throughout the U.S. and internationally. </w:t>
      </w:r>
    </w:p>
    <w:p w14:paraId="42A1335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Company's lease costs recognized in the Consolidated Statement of Income consist </w:t>
      </w:r>
      <w:r>
        <w:rPr>
          <w:rFonts w:ascii="Times New Roman" w:eastAsia="宋体" w:hAnsi="Times New Roman"/>
          <w:sz w:val="20"/>
          <w:szCs w:val="20"/>
        </w:rPr>
        <w:t>of the following:</w:t>
      </w:r>
    </w:p>
    <w:tbl>
      <w:tblPr>
        <w:tblW w:w="5000" w:type="pct"/>
        <w:jc w:val="center"/>
        <w:tblCellMar>
          <w:left w:w="0" w:type="dxa"/>
          <w:right w:w="0" w:type="dxa"/>
        </w:tblCellMar>
        <w:tblLook w:val="04A0" w:firstRow="1" w:lastRow="0" w:firstColumn="1" w:lastColumn="0" w:noHBand="0" w:noVBand="1"/>
      </w:tblPr>
      <w:tblGrid>
        <w:gridCol w:w="6865"/>
        <w:gridCol w:w="130"/>
        <w:gridCol w:w="121"/>
        <w:gridCol w:w="1135"/>
        <w:gridCol w:w="55"/>
      </w:tblGrid>
      <w:tr w:rsidR="00BB68E1" w14:paraId="42A13360" w14:textId="77777777">
        <w:trPr>
          <w:jc w:val="center"/>
        </w:trPr>
        <w:tc>
          <w:tcPr>
            <w:tcW w:w="0" w:type="auto"/>
            <w:gridSpan w:val="5"/>
            <w:shd w:val="clear" w:color="auto" w:fill="auto"/>
            <w:vAlign w:val="center"/>
          </w:tcPr>
          <w:p w14:paraId="42A1335F" w14:textId="77777777" w:rsidR="00BB68E1" w:rsidRDefault="00BB68E1">
            <w:pPr>
              <w:rPr>
                <w:rFonts w:ascii="Times New Roman" w:hAnsi="Times New Roman"/>
                <w:sz w:val="20"/>
                <w:szCs w:val="20"/>
              </w:rPr>
            </w:pPr>
          </w:p>
        </w:tc>
      </w:tr>
      <w:tr w:rsidR="00BB68E1" w14:paraId="42A13366" w14:textId="77777777">
        <w:trPr>
          <w:jc w:val="center"/>
        </w:trPr>
        <w:tc>
          <w:tcPr>
            <w:tcW w:w="4150" w:type="pct"/>
            <w:shd w:val="clear" w:color="auto" w:fill="auto"/>
            <w:vAlign w:val="center"/>
          </w:tcPr>
          <w:p w14:paraId="42A13361" w14:textId="77777777" w:rsidR="00BB68E1" w:rsidRDefault="00BB68E1">
            <w:pPr>
              <w:rPr>
                <w:rFonts w:ascii="Times New Roman" w:hAnsi="Times New Roman"/>
                <w:sz w:val="20"/>
                <w:szCs w:val="20"/>
              </w:rPr>
            </w:pPr>
          </w:p>
        </w:tc>
        <w:tc>
          <w:tcPr>
            <w:tcW w:w="50" w:type="pct"/>
            <w:shd w:val="clear" w:color="auto" w:fill="auto"/>
            <w:vAlign w:val="center"/>
          </w:tcPr>
          <w:p w14:paraId="42A13362" w14:textId="77777777" w:rsidR="00BB68E1" w:rsidRDefault="00BB68E1">
            <w:pPr>
              <w:rPr>
                <w:rFonts w:ascii="Times New Roman" w:hAnsi="Times New Roman"/>
                <w:sz w:val="20"/>
                <w:szCs w:val="20"/>
              </w:rPr>
            </w:pPr>
          </w:p>
        </w:tc>
        <w:tc>
          <w:tcPr>
            <w:tcW w:w="50" w:type="pct"/>
            <w:shd w:val="clear" w:color="auto" w:fill="auto"/>
            <w:vAlign w:val="center"/>
          </w:tcPr>
          <w:p w14:paraId="42A13363" w14:textId="77777777" w:rsidR="00BB68E1" w:rsidRDefault="00BB68E1">
            <w:pPr>
              <w:rPr>
                <w:rFonts w:ascii="Times New Roman" w:hAnsi="Times New Roman"/>
                <w:sz w:val="20"/>
                <w:szCs w:val="20"/>
              </w:rPr>
            </w:pPr>
          </w:p>
        </w:tc>
        <w:tc>
          <w:tcPr>
            <w:tcW w:w="700" w:type="pct"/>
            <w:shd w:val="clear" w:color="auto" w:fill="auto"/>
            <w:vAlign w:val="center"/>
          </w:tcPr>
          <w:p w14:paraId="42A13364" w14:textId="77777777" w:rsidR="00BB68E1" w:rsidRDefault="00BB68E1">
            <w:pPr>
              <w:rPr>
                <w:rFonts w:ascii="Times New Roman" w:hAnsi="Times New Roman"/>
                <w:sz w:val="20"/>
                <w:szCs w:val="20"/>
              </w:rPr>
            </w:pPr>
          </w:p>
        </w:tc>
        <w:tc>
          <w:tcPr>
            <w:tcW w:w="50" w:type="pct"/>
            <w:shd w:val="clear" w:color="auto" w:fill="auto"/>
            <w:vAlign w:val="center"/>
          </w:tcPr>
          <w:p w14:paraId="42A13365" w14:textId="77777777" w:rsidR="00BB68E1" w:rsidRDefault="00BB68E1">
            <w:pPr>
              <w:rPr>
                <w:rFonts w:ascii="Times New Roman" w:hAnsi="Times New Roman"/>
                <w:sz w:val="20"/>
                <w:szCs w:val="20"/>
              </w:rPr>
            </w:pPr>
          </w:p>
        </w:tc>
      </w:tr>
      <w:tr w:rsidR="00BB68E1" w14:paraId="42A1336A" w14:textId="77777777">
        <w:trPr>
          <w:jc w:val="center"/>
        </w:trPr>
        <w:tc>
          <w:tcPr>
            <w:tcW w:w="0" w:type="auto"/>
            <w:shd w:val="clear" w:color="auto" w:fill="auto"/>
            <w:tcMar>
              <w:top w:w="40" w:type="dxa"/>
              <w:left w:w="40" w:type="dxa"/>
              <w:bottom w:w="40" w:type="dxa"/>
              <w:right w:w="20" w:type="dxa"/>
            </w:tcMar>
            <w:vAlign w:val="bottom"/>
          </w:tcPr>
          <w:p w14:paraId="42A13367"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lastRenderedPageBreak/>
              <w:t>(Amounts in millions)</w:t>
            </w:r>
          </w:p>
        </w:tc>
        <w:tc>
          <w:tcPr>
            <w:tcW w:w="0" w:type="auto"/>
            <w:shd w:val="clear" w:color="auto" w:fill="auto"/>
            <w:tcMar>
              <w:top w:w="40" w:type="dxa"/>
              <w:left w:w="40" w:type="dxa"/>
              <w:bottom w:w="40" w:type="dxa"/>
              <w:right w:w="40" w:type="dxa"/>
            </w:tcMar>
            <w:vAlign w:val="bottom"/>
          </w:tcPr>
          <w:p w14:paraId="42A1336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120" w:type="dxa"/>
              <w:bottom w:w="40" w:type="dxa"/>
              <w:right w:w="40" w:type="dxa"/>
            </w:tcMar>
            <w:vAlign w:val="bottom"/>
          </w:tcPr>
          <w:p w14:paraId="42A13369"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 Ended January 31, 2020</w:t>
            </w:r>
          </w:p>
        </w:tc>
      </w:tr>
      <w:tr w:rsidR="00BB68E1" w14:paraId="42A13370" w14:textId="77777777">
        <w:trPr>
          <w:jc w:val="center"/>
        </w:trPr>
        <w:tc>
          <w:tcPr>
            <w:tcW w:w="0" w:type="auto"/>
            <w:shd w:val="clear" w:color="auto" w:fill="CCEEFF"/>
            <w:tcMar>
              <w:top w:w="40" w:type="dxa"/>
              <w:left w:w="40" w:type="dxa"/>
              <w:bottom w:w="40" w:type="dxa"/>
              <w:right w:w="40" w:type="dxa"/>
            </w:tcMar>
            <w:vAlign w:val="bottom"/>
          </w:tcPr>
          <w:p w14:paraId="42A1336B"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Operating lease cost</w:t>
            </w:r>
            <w:r>
              <w:rPr>
                <w:rFonts w:ascii="Times New Roman" w:eastAsia="宋体" w:hAnsi="Times New Roman"/>
                <w:sz w:val="10"/>
                <w:szCs w:val="10"/>
              </w:rPr>
              <w:t>(1)</w:t>
            </w:r>
          </w:p>
        </w:tc>
        <w:tc>
          <w:tcPr>
            <w:tcW w:w="0" w:type="auto"/>
            <w:shd w:val="clear" w:color="auto" w:fill="CCEEFF"/>
            <w:tcMar>
              <w:top w:w="40" w:type="dxa"/>
              <w:left w:w="40" w:type="dxa"/>
              <w:bottom w:w="40" w:type="dxa"/>
              <w:right w:w="40" w:type="dxa"/>
            </w:tcMar>
            <w:vAlign w:val="bottom"/>
          </w:tcPr>
          <w:p w14:paraId="42A1336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336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336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2,670</w:t>
            </w:r>
          </w:p>
        </w:tc>
        <w:tc>
          <w:tcPr>
            <w:tcW w:w="0" w:type="auto"/>
            <w:tcBorders>
              <w:top w:val="single" w:sz="8" w:space="0" w:color="000000"/>
            </w:tcBorders>
            <w:shd w:val="clear" w:color="auto" w:fill="CCEEFF"/>
            <w:vAlign w:val="bottom"/>
          </w:tcPr>
          <w:p w14:paraId="42A1336F" w14:textId="77777777" w:rsidR="00BB68E1" w:rsidRDefault="00BB68E1">
            <w:pPr>
              <w:textAlignment w:val="bottom"/>
              <w:rPr>
                <w:rFonts w:ascii="Times New Roman" w:hAnsi="Times New Roman"/>
                <w:sz w:val="20"/>
                <w:szCs w:val="20"/>
              </w:rPr>
            </w:pPr>
          </w:p>
        </w:tc>
      </w:tr>
      <w:tr w:rsidR="00BB68E1" w14:paraId="42A13374" w14:textId="77777777">
        <w:trPr>
          <w:jc w:val="center"/>
        </w:trPr>
        <w:tc>
          <w:tcPr>
            <w:tcW w:w="0" w:type="auto"/>
            <w:shd w:val="clear" w:color="auto" w:fill="auto"/>
            <w:tcMar>
              <w:top w:w="40" w:type="dxa"/>
              <w:left w:w="40" w:type="dxa"/>
              <w:bottom w:w="40" w:type="dxa"/>
              <w:right w:w="40" w:type="dxa"/>
            </w:tcMar>
            <w:vAlign w:val="bottom"/>
          </w:tcPr>
          <w:p w14:paraId="42A1337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Finance lease cost:</w:t>
            </w:r>
          </w:p>
        </w:tc>
        <w:tc>
          <w:tcPr>
            <w:tcW w:w="0" w:type="auto"/>
            <w:shd w:val="clear" w:color="auto" w:fill="auto"/>
            <w:tcMar>
              <w:top w:w="40" w:type="dxa"/>
              <w:left w:w="40" w:type="dxa"/>
              <w:bottom w:w="40" w:type="dxa"/>
              <w:right w:w="40" w:type="dxa"/>
            </w:tcMar>
            <w:vAlign w:val="bottom"/>
          </w:tcPr>
          <w:p w14:paraId="42A1337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37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379" w14:textId="77777777">
        <w:trPr>
          <w:jc w:val="center"/>
        </w:trPr>
        <w:tc>
          <w:tcPr>
            <w:tcW w:w="0" w:type="auto"/>
            <w:shd w:val="clear" w:color="auto" w:fill="CCEEFF"/>
            <w:tcMar>
              <w:top w:w="40" w:type="dxa"/>
              <w:left w:w="40" w:type="dxa"/>
              <w:bottom w:w="40" w:type="dxa"/>
              <w:right w:w="40" w:type="dxa"/>
            </w:tcMar>
            <w:vAlign w:val="bottom"/>
          </w:tcPr>
          <w:p w14:paraId="42A13375"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Amortization of right-of-use assets</w:t>
            </w:r>
          </w:p>
        </w:tc>
        <w:tc>
          <w:tcPr>
            <w:tcW w:w="0" w:type="auto"/>
            <w:shd w:val="clear" w:color="auto" w:fill="CCEEFF"/>
            <w:tcMar>
              <w:top w:w="40" w:type="dxa"/>
              <w:left w:w="40" w:type="dxa"/>
              <w:bottom w:w="40" w:type="dxa"/>
              <w:right w:w="40" w:type="dxa"/>
            </w:tcMar>
            <w:vAlign w:val="bottom"/>
          </w:tcPr>
          <w:p w14:paraId="42A1337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37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480</w:t>
            </w:r>
          </w:p>
        </w:tc>
        <w:tc>
          <w:tcPr>
            <w:tcW w:w="0" w:type="auto"/>
            <w:shd w:val="clear" w:color="auto" w:fill="CCEEFF"/>
            <w:vAlign w:val="bottom"/>
          </w:tcPr>
          <w:p w14:paraId="42A13378" w14:textId="77777777" w:rsidR="00BB68E1" w:rsidRDefault="00BB68E1">
            <w:pPr>
              <w:textAlignment w:val="bottom"/>
              <w:rPr>
                <w:rFonts w:ascii="Times New Roman" w:hAnsi="Times New Roman"/>
                <w:sz w:val="20"/>
                <w:szCs w:val="20"/>
              </w:rPr>
            </w:pPr>
          </w:p>
        </w:tc>
      </w:tr>
      <w:tr w:rsidR="00BB68E1" w14:paraId="42A1337E" w14:textId="77777777">
        <w:trPr>
          <w:jc w:val="center"/>
        </w:trPr>
        <w:tc>
          <w:tcPr>
            <w:tcW w:w="0" w:type="auto"/>
            <w:shd w:val="clear" w:color="auto" w:fill="auto"/>
            <w:tcMar>
              <w:top w:w="40" w:type="dxa"/>
              <w:left w:w="40" w:type="dxa"/>
              <w:bottom w:w="40" w:type="dxa"/>
              <w:right w:w="40" w:type="dxa"/>
            </w:tcMar>
            <w:vAlign w:val="bottom"/>
          </w:tcPr>
          <w:p w14:paraId="42A1337A"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Interest on lease obligations</w:t>
            </w:r>
          </w:p>
        </w:tc>
        <w:tc>
          <w:tcPr>
            <w:tcW w:w="0" w:type="auto"/>
            <w:shd w:val="clear" w:color="auto" w:fill="auto"/>
            <w:tcMar>
              <w:top w:w="40" w:type="dxa"/>
              <w:left w:w="40" w:type="dxa"/>
              <w:bottom w:w="40" w:type="dxa"/>
              <w:right w:w="40" w:type="dxa"/>
            </w:tcMar>
            <w:vAlign w:val="bottom"/>
          </w:tcPr>
          <w:p w14:paraId="42A1337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37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306</w:t>
            </w:r>
          </w:p>
        </w:tc>
        <w:tc>
          <w:tcPr>
            <w:tcW w:w="0" w:type="auto"/>
            <w:shd w:val="clear" w:color="auto" w:fill="auto"/>
            <w:vAlign w:val="bottom"/>
          </w:tcPr>
          <w:p w14:paraId="42A1337D" w14:textId="77777777" w:rsidR="00BB68E1" w:rsidRDefault="00BB68E1">
            <w:pPr>
              <w:textAlignment w:val="bottom"/>
              <w:rPr>
                <w:rFonts w:ascii="Times New Roman" w:hAnsi="Times New Roman"/>
                <w:sz w:val="20"/>
                <w:szCs w:val="20"/>
              </w:rPr>
            </w:pPr>
          </w:p>
        </w:tc>
      </w:tr>
      <w:tr w:rsidR="00BB68E1" w14:paraId="42A13383" w14:textId="77777777">
        <w:trPr>
          <w:jc w:val="center"/>
        </w:trPr>
        <w:tc>
          <w:tcPr>
            <w:tcW w:w="0" w:type="auto"/>
            <w:shd w:val="clear" w:color="auto" w:fill="CCEEFF"/>
            <w:tcMar>
              <w:top w:w="40" w:type="dxa"/>
              <w:left w:w="40" w:type="dxa"/>
              <w:bottom w:w="40" w:type="dxa"/>
              <w:right w:w="40" w:type="dxa"/>
            </w:tcMar>
            <w:vAlign w:val="bottom"/>
          </w:tcPr>
          <w:p w14:paraId="42A1337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xml:space="preserve">Variable lease </w:t>
            </w:r>
            <w:r>
              <w:rPr>
                <w:rFonts w:ascii="Times New Roman" w:eastAsia="宋体" w:hAnsi="Times New Roman"/>
                <w:sz w:val="16"/>
                <w:szCs w:val="16"/>
              </w:rPr>
              <w:t>cost</w:t>
            </w:r>
          </w:p>
        </w:tc>
        <w:tc>
          <w:tcPr>
            <w:tcW w:w="0" w:type="auto"/>
            <w:shd w:val="clear" w:color="auto" w:fill="CCEEFF"/>
            <w:tcMar>
              <w:top w:w="40" w:type="dxa"/>
              <w:left w:w="40" w:type="dxa"/>
              <w:bottom w:w="40" w:type="dxa"/>
              <w:right w:w="40" w:type="dxa"/>
            </w:tcMar>
            <w:vAlign w:val="bottom"/>
          </w:tcPr>
          <w:p w14:paraId="42A1338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38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691</w:t>
            </w:r>
          </w:p>
        </w:tc>
        <w:tc>
          <w:tcPr>
            <w:tcW w:w="0" w:type="auto"/>
            <w:shd w:val="clear" w:color="auto" w:fill="CCEEFF"/>
            <w:vAlign w:val="bottom"/>
          </w:tcPr>
          <w:p w14:paraId="42A13382" w14:textId="77777777" w:rsidR="00BB68E1" w:rsidRDefault="00BB68E1">
            <w:pPr>
              <w:textAlignment w:val="bottom"/>
              <w:rPr>
                <w:rFonts w:ascii="Times New Roman" w:hAnsi="Times New Roman"/>
                <w:sz w:val="20"/>
                <w:szCs w:val="20"/>
              </w:rPr>
            </w:pPr>
          </w:p>
        </w:tc>
      </w:tr>
    </w:tbl>
    <w:p w14:paraId="42A13384" w14:textId="77777777" w:rsidR="00BB68E1" w:rsidRDefault="00BB68E1">
      <w:pPr>
        <w:spacing w:line="288" w:lineRule="auto"/>
        <w:jc w:val="center"/>
        <w:rPr>
          <w:rFonts w:ascii="Times New Roman" w:hAnsi="Times New Roman"/>
          <w:sz w:val="20"/>
          <w:szCs w:val="20"/>
        </w:rPr>
      </w:pPr>
    </w:p>
    <w:p w14:paraId="42A13385" w14:textId="77777777" w:rsidR="00BB68E1" w:rsidRDefault="005D2D5E">
      <w:pPr>
        <w:spacing w:line="288" w:lineRule="auto"/>
        <w:ind w:hanging="480"/>
        <w:rPr>
          <w:rFonts w:ascii="Times New Roman" w:hAnsi="Times New Roman"/>
          <w:sz w:val="16"/>
          <w:szCs w:val="16"/>
        </w:rPr>
      </w:pPr>
      <w:r>
        <w:rPr>
          <w:rFonts w:ascii="Times New Roman" w:eastAsia="宋体" w:hAnsi="Times New Roman"/>
          <w:sz w:val="16"/>
          <w:szCs w:val="16"/>
        </w:rPr>
        <w:t>(1) Rentals (including amounts applicable to taxes, insurance, maintenance, other operating expenses and contingent rentals) under operating leases and other short-term rental arrangements were $3.0 billion and $2.9 billion in fiscal 2019 and 2018, respect</w:t>
      </w:r>
      <w:r>
        <w:rPr>
          <w:rFonts w:ascii="Times New Roman" w:eastAsia="宋体" w:hAnsi="Times New Roman"/>
          <w:sz w:val="16"/>
          <w:szCs w:val="16"/>
        </w:rPr>
        <w:t xml:space="preserve">ively. </w:t>
      </w:r>
    </w:p>
    <w:p w14:paraId="42A1338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Other lease information is as follows:</w:t>
      </w:r>
    </w:p>
    <w:tbl>
      <w:tblPr>
        <w:tblW w:w="5000" w:type="pct"/>
        <w:jc w:val="center"/>
        <w:tblCellMar>
          <w:left w:w="0" w:type="dxa"/>
          <w:right w:w="0" w:type="dxa"/>
        </w:tblCellMar>
        <w:tblLook w:val="04A0" w:firstRow="1" w:lastRow="0" w:firstColumn="1" w:lastColumn="0" w:noHBand="0" w:noVBand="1"/>
      </w:tblPr>
      <w:tblGrid>
        <w:gridCol w:w="6706"/>
        <w:gridCol w:w="130"/>
        <w:gridCol w:w="120"/>
        <w:gridCol w:w="976"/>
        <w:gridCol w:w="374"/>
      </w:tblGrid>
      <w:tr w:rsidR="00BB68E1" w14:paraId="42A13388" w14:textId="77777777">
        <w:trPr>
          <w:jc w:val="center"/>
        </w:trPr>
        <w:tc>
          <w:tcPr>
            <w:tcW w:w="0" w:type="auto"/>
            <w:gridSpan w:val="5"/>
            <w:shd w:val="clear" w:color="auto" w:fill="auto"/>
            <w:vAlign w:val="center"/>
          </w:tcPr>
          <w:p w14:paraId="42A13387" w14:textId="77777777" w:rsidR="00BB68E1" w:rsidRDefault="00BB68E1">
            <w:pPr>
              <w:rPr>
                <w:rFonts w:ascii="Times New Roman" w:hAnsi="Times New Roman"/>
                <w:sz w:val="20"/>
                <w:szCs w:val="20"/>
              </w:rPr>
            </w:pPr>
          </w:p>
        </w:tc>
      </w:tr>
      <w:tr w:rsidR="00BB68E1" w14:paraId="42A1338E" w14:textId="77777777">
        <w:trPr>
          <w:jc w:val="center"/>
        </w:trPr>
        <w:tc>
          <w:tcPr>
            <w:tcW w:w="4150" w:type="pct"/>
            <w:shd w:val="clear" w:color="auto" w:fill="auto"/>
            <w:vAlign w:val="center"/>
          </w:tcPr>
          <w:p w14:paraId="42A13389" w14:textId="77777777" w:rsidR="00BB68E1" w:rsidRDefault="00BB68E1">
            <w:pPr>
              <w:rPr>
                <w:rFonts w:ascii="Times New Roman" w:hAnsi="Times New Roman"/>
                <w:sz w:val="20"/>
                <w:szCs w:val="20"/>
              </w:rPr>
            </w:pPr>
          </w:p>
        </w:tc>
        <w:tc>
          <w:tcPr>
            <w:tcW w:w="50" w:type="pct"/>
            <w:shd w:val="clear" w:color="auto" w:fill="auto"/>
            <w:vAlign w:val="center"/>
          </w:tcPr>
          <w:p w14:paraId="42A1338A" w14:textId="77777777" w:rsidR="00BB68E1" w:rsidRDefault="00BB68E1">
            <w:pPr>
              <w:rPr>
                <w:rFonts w:ascii="Times New Roman" w:hAnsi="Times New Roman"/>
                <w:sz w:val="20"/>
                <w:szCs w:val="20"/>
              </w:rPr>
            </w:pPr>
          </w:p>
        </w:tc>
        <w:tc>
          <w:tcPr>
            <w:tcW w:w="50" w:type="pct"/>
            <w:shd w:val="clear" w:color="auto" w:fill="auto"/>
            <w:vAlign w:val="center"/>
          </w:tcPr>
          <w:p w14:paraId="42A1338B" w14:textId="77777777" w:rsidR="00BB68E1" w:rsidRDefault="00BB68E1">
            <w:pPr>
              <w:rPr>
                <w:rFonts w:ascii="Times New Roman" w:hAnsi="Times New Roman"/>
                <w:sz w:val="20"/>
                <w:szCs w:val="20"/>
              </w:rPr>
            </w:pPr>
          </w:p>
        </w:tc>
        <w:tc>
          <w:tcPr>
            <w:tcW w:w="700" w:type="pct"/>
            <w:shd w:val="clear" w:color="auto" w:fill="auto"/>
            <w:vAlign w:val="center"/>
          </w:tcPr>
          <w:p w14:paraId="42A1338C" w14:textId="77777777" w:rsidR="00BB68E1" w:rsidRDefault="00BB68E1">
            <w:pPr>
              <w:rPr>
                <w:rFonts w:ascii="Times New Roman" w:hAnsi="Times New Roman"/>
                <w:sz w:val="20"/>
                <w:szCs w:val="20"/>
              </w:rPr>
            </w:pPr>
          </w:p>
        </w:tc>
        <w:tc>
          <w:tcPr>
            <w:tcW w:w="50" w:type="pct"/>
            <w:shd w:val="clear" w:color="auto" w:fill="auto"/>
            <w:vAlign w:val="center"/>
          </w:tcPr>
          <w:p w14:paraId="42A1338D" w14:textId="77777777" w:rsidR="00BB68E1" w:rsidRDefault="00BB68E1">
            <w:pPr>
              <w:rPr>
                <w:rFonts w:ascii="Times New Roman" w:hAnsi="Times New Roman"/>
                <w:sz w:val="20"/>
                <w:szCs w:val="20"/>
              </w:rPr>
            </w:pPr>
          </w:p>
        </w:tc>
      </w:tr>
      <w:tr w:rsidR="00BB68E1" w14:paraId="42A13392" w14:textId="77777777">
        <w:trPr>
          <w:jc w:val="center"/>
        </w:trPr>
        <w:tc>
          <w:tcPr>
            <w:tcW w:w="0" w:type="auto"/>
            <w:shd w:val="clear" w:color="auto" w:fill="auto"/>
            <w:tcMar>
              <w:top w:w="40" w:type="dxa"/>
              <w:left w:w="40" w:type="dxa"/>
              <w:bottom w:w="40" w:type="dxa"/>
              <w:right w:w="20" w:type="dxa"/>
            </w:tcMar>
            <w:vAlign w:val="bottom"/>
          </w:tcPr>
          <w:p w14:paraId="42A1338F"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(Dollar amounts in millions)</w:t>
            </w:r>
          </w:p>
        </w:tc>
        <w:tc>
          <w:tcPr>
            <w:tcW w:w="0" w:type="auto"/>
            <w:shd w:val="clear" w:color="auto" w:fill="auto"/>
            <w:tcMar>
              <w:top w:w="40" w:type="dxa"/>
              <w:left w:w="40" w:type="dxa"/>
              <w:bottom w:w="40" w:type="dxa"/>
              <w:right w:w="40" w:type="dxa"/>
            </w:tcMar>
            <w:vAlign w:val="bottom"/>
          </w:tcPr>
          <w:p w14:paraId="42A1339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120" w:type="dxa"/>
              <w:bottom w:w="40" w:type="dxa"/>
              <w:right w:w="40" w:type="dxa"/>
            </w:tcMar>
            <w:vAlign w:val="bottom"/>
          </w:tcPr>
          <w:p w14:paraId="42A13391"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 Ended January 31, 2020</w:t>
            </w:r>
          </w:p>
        </w:tc>
      </w:tr>
      <w:tr w:rsidR="00BB68E1" w14:paraId="42A13396" w14:textId="77777777">
        <w:trPr>
          <w:jc w:val="center"/>
        </w:trPr>
        <w:tc>
          <w:tcPr>
            <w:tcW w:w="0" w:type="auto"/>
            <w:shd w:val="clear" w:color="auto" w:fill="CCEEFF"/>
            <w:tcMar>
              <w:top w:w="40" w:type="dxa"/>
              <w:left w:w="40" w:type="dxa"/>
              <w:bottom w:w="40" w:type="dxa"/>
              <w:right w:w="40" w:type="dxa"/>
            </w:tcMar>
            <w:vAlign w:val="bottom"/>
          </w:tcPr>
          <w:p w14:paraId="42A1339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Cash paid for amounts included in measurement of lease obligations:</w:t>
            </w:r>
          </w:p>
        </w:tc>
        <w:tc>
          <w:tcPr>
            <w:tcW w:w="0" w:type="auto"/>
            <w:shd w:val="clear" w:color="auto" w:fill="CCEEFF"/>
            <w:tcMar>
              <w:top w:w="40" w:type="dxa"/>
              <w:left w:w="40" w:type="dxa"/>
              <w:bottom w:w="40" w:type="dxa"/>
              <w:right w:w="40" w:type="dxa"/>
            </w:tcMar>
            <w:vAlign w:val="bottom"/>
          </w:tcPr>
          <w:p w14:paraId="42A1339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39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39C" w14:textId="77777777">
        <w:trPr>
          <w:jc w:val="center"/>
        </w:trPr>
        <w:tc>
          <w:tcPr>
            <w:tcW w:w="0" w:type="auto"/>
            <w:shd w:val="clear" w:color="auto" w:fill="auto"/>
            <w:tcMar>
              <w:top w:w="40" w:type="dxa"/>
              <w:left w:w="400" w:type="dxa"/>
              <w:bottom w:w="40" w:type="dxa"/>
              <w:right w:w="40" w:type="dxa"/>
            </w:tcMar>
            <w:vAlign w:val="bottom"/>
          </w:tcPr>
          <w:p w14:paraId="42A1339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Operating cash flows from operating leases</w:t>
            </w:r>
          </w:p>
        </w:tc>
        <w:tc>
          <w:tcPr>
            <w:tcW w:w="0" w:type="auto"/>
            <w:shd w:val="clear" w:color="auto" w:fill="auto"/>
            <w:tcMar>
              <w:top w:w="40" w:type="dxa"/>
              <w:left w:w="40" w:type="dxa"/>
              <w:bottom w:w="40" w:type="dxa"/>
              <w:right w:w="40" w:type="dxa"/>
            </w:tcMar>
            <w:vAlign w:val="bottom"/>
          </w:tcPr>
          <w:p w14:paraId="42A1339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39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39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2,614</w:t>
            </w:r>
          </w:p>
        </w:tc>
        <w:tc>
          <w:tcPr>
            <w:tcW w:w="0" w:type="auto"/>
            <w:shd w:val="clear" w:color="auto" w:fill="auto"/>
            <w:vAlign w:val="bottom"/>
          </w:tcPr>
          <w:p w14:paraId="42A1339B" w14:textId="77777777" w:rsidR="00BB68E1" w:rsidRDefault="00BB68E1">
            <w:pPr>
              <w:textAlignment w:val="bottom"/>
              <w:rPr>
                <w:rFonts w:ascii="Times New Roman" w:hAnsi="Times New Roman"/>
                <w:sz w:val="20"/>
                <w:szCs w:val="20"/>
              </w:rPr>
            </w:pPr>
          </w:p>
        </w:tc>
      </w:tr>
      <w:tr w:rsidR="00BB68E1" w14:paraId="42A133A1" w14:textId="77777777">
        <w:trPr>
          <w:jc w:val="center"/>
        </w:trPr>
        <w:tc>
          <w:tcPr>
            <w:tcW w:w="0" w:type="auto"/>
            <w:shd w:val="clear" w:color="auto" w:fill="CCEEFF"/>
            <w:tcMar>
              <w:top w:w="40" w:type="dxa"/>
              <w:left w:w="400" w:type="dxa"/>
              <w:bottom w:w="40" w:type="dxa"/>
              <w:right w:w="40" w:type="dxa"/>
            </w:tcMar>
            <w:vAlign w:val="bottom"/>
          </w:tcPr>
          <w:p w14:paraId="42A1339D"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Operating cash flows from finance leases</w:t>
            </w:r>
          </w:p>
        </w:tc>
        <w:tc>
          <w:tcPr>
            <w:tcW w:w="0" w:type="auto"/>
            <w:shd w:val="clear" w:color="auto" w:fill="CCEEFF"/>
            <w:tcMar>
              <w:top w:w="40" w:type="dxa"/>
              <w:left w:w="40" w:type="dxa"/>
              <w:bottom w:w="40" w:type="dxa"/>
              <w:right w:w="40" w:type="dxa"/>
            </w:tcMar>
            <w:vAlign w:val="bottom"/>
          </w:tcPr>
          <w:p w14:paraId="42A1339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39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278</w:t>
            </w:r>
          </w:p>
        </w:tc>
        <w:tc>
          <w:tcPr>
            <w:tcW w:w="0" w:type="auto"/>
            <w:shd w:val="clear" w:color="auto" w:fill="CCEEFF"/>
            <w:vAlign w:val="bottom"/>
          </w:tcPr>
          <w:p w14:paraId="42A133A0" w14:textId="77777777" w:rsidR="00BB68E1" w:rsidRDefault="00BB68E1">
            <w:pPr>
              <w:textAlignment w:val="bottom"/>
              <w:rPr>
                <w:rFonts w:ascii="Times New Roman" w:hAnsi="Times New Roman"/>
                <w:sz w:val="20"/>
                <w:szCs w:val="20"/>
              </w:rPr>
            </w:pPr>
          </w:p>
        </w:tc>
      </w:tr>
      <w:tr w:rsidR="00BB68E1" w14:paraId="42A133A6" w14:textId="77777777">
        <w:trPr>
          <w:jc w:val="center"/>
        </w:trPr>
        <w:tc>
          <w:tcPr>
            <w:tcW w:w="0" w:type="auto"/>
            <w:shd w:val="clear" w:color="auto" w:fill="auto"/>
            <w:tcMar>
              <w:top w:w="40" w:type="dxa"/>
              <w:left w:w="400" w:type="dxa"/>
              <w:bottom w:w="40" w:type="dxa"/>
              <w:right w:w="40" w:type="dxa"/>
            </w:tcMar>
            <w:vAlign w:val="bottom"/>
          </w:tcPr>
          <w:p w14:paraId="42A133A2"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Financing cash flows from finance leases</w:t>
            </w:r>
          </w:p>
        </w:tc>
        <w:tc>
          <w:tcPr>
            <w:tcW w:w="0" w:type="auto"/>
            <w:shd w:val="clear" w:color="auto" w:fill="auto"/>
            <w:tcMar>
              <w:top w:w="40" w:type="dxa"/>
              <w:left w:w="40" w:type="dxa"/>
              <w:bottom w:w="40" w:type="dxa"/>
              <w:right w:w="40" w:type="dxa"/>
            </w:tcMar>
            <w:vAlign w:val="bottom"/>
          </w:tcPr>
          <w:p w14:paraId="42A133A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3A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485</w:t>
            </w:r>
          </w:p>
        </w:tc>
        <w:tc>
          <w:tcPr>
            <w:tcW w:w="0" w:type="auto"/>
            <w:shd w:val="clear" w:color="auto" w:fill="auto"/>
            <w:vAlign w:val="bottom"/>
          </w:tcPr>
          <w:p w14:paraId="42A133A5" w14:textId="77777777" w:rsidR="00BB68E1" w:rsidRDefault="00BB68E1">
            <w:pPr>
              <w:textAlignment w:val="bottom"/>
              <w:rPr>
                <w:rFonts w:ascii="Times New Roman" w:hAnsi="Times New Roman"/>
                <w:sz w:val="20"/>
                <w:szCs w:val="20"/>
              </w:rPr>
            </w:pPr>
          </w:p>
        </w:tc>
      </w:tr>
      <w:tr w:rsidR="00BB68E1" w14:paraId="42A133AB" w14:textId="77777777">
        <w:trPr>
          <w:jc w:val="center"/>
        </w:trPr>
        <w:tc>
          <w:tcPr>
            <w:tcW w:w="0" w:type="auto"/>
            <w:shd w:val="clear" w:color="auto" w:fill="CCEEFF"/>
            <w:tcMar>
              <w:top w:w="40" w:type="dxa"/>
              <w:left w:w="40" w:type="dxa"/>
              <w:bottom w:w="40" w:type="dxa"/>
              <w:right w:w="40" w:type="dxa"/>
            </w:tcMar>
            <w:vAlign w:val="bottom"/>
          </w:tcPr>
          <w:p w14:paraId="42A133A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Assets obtained in exchange for operating lease obligations</w:t>
            </w:r>
          </w:p>
        </w:tc>
        <w:tc>
          <w:tcPr>
            <w:tcW w:w="0" w:type="auto"/>
            <w:shd w:val="clear" w:color="auto" w:fill="CCEEFF"/>
            <w:tcMar>
              <w:top w:w="40" w:type="dxa"/>
              <w:left w:w="40" w:type="dxa"/>
              <w:bottom w:w="40" w:type="dxa"/>
              <w:right w:w="40" w:type="dxa"/>
            </w:tcMar>
            <w:vAlign w:val="bottom"/>
          </w:tcPr>
          <w:p w14:paraId="42A133A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3A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2,151</w:t>
            </w:r>
          </w:p>
        </w:tc>
        <w:tc>
          <w:tcPr>
            <w:tcW w:w="0" w:type="auto"/>
            <w:shd w:val="clear" w:color="auto" w:fill="CCEEFF"/>
            <w:vAlign w:val="bottom"/>
          </w:tcPr>
          <w:p w14:paraId="42A133AA" w14:textId="77777777" w:rsidR="00BB68E1" w:rsidRDefault="00BB68E1">
            <w:pPr>
              <w:textAlignment w:val="bottom"/>
              <w:rPr>
                <w:rFonts w:ascii="Times New Roman" w:hAnsi="Times New Roman"/>
                <w:sz w:val="20"/>
                <w:szCs w:val="20"/>
              </w:rPr>
            </w:pPr>
          </w:p>
        </w:tc>
      </w:tr>
      <w:tr w:rsidR="00BB68E1" w14:paraId="42A133B0" w14:textId="77777777">
        <w:trPr>
          <w:jc w:val="center"/>
        </w:trPr>
        <w:tc>
          <w:tcPr>
            <w:tcW w:w="0" w:type="auto"/>
            <w:shd w:val="clear" w:color="auto" w:fill="auto"/>
            <w:tcMar>
              <w:top w:w="40" w:type="dxa"/>
              <w:left w:w="40" w:type="dxa"/>
              <w:bottom w:w="40" w:type="dxa"/>
              <w:right w:w="40" w:type="dxa"/>
            </w:tcMar>
            <w:vAlign w:val="bottom"/>
          </w:tcPr>
          <w:p w14:paraId="42A133AC"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Assets obtained in exchange for finance lease obligations</w:t>
            </w:r>
          </w:p>
        </w:tc>
        <w:tc>
          <w:tcPr>
            <w:tcW w:w="0" w:type="auto"/>
            <w:shd w:val="clear" w:color="auto" w:fill="auto"/>
            <w:tcMar>
              <w:top w:w="40" w:type="dxa"/>
              <w:left w:w="40" w:type="dxa"/>
              <w:bottom w:w="40" w:type="dxa"/>
              <w:right w:w="40" w:type="dxa"/>
            </w:tcMar>
            <w:vAlign w:val="bottom"/>
          </w:tcPr>
          <w:p w14:paraId="42A133A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3A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1,081</w:t>
            </w:r>
          </w:p>
        </w:tc>
        <w:tc>
          <w:tcPr>
            <w:tcW w:w="0" w:type="auto"/>
            <w:shd w:val="clear" w:color="auto" w:fill="auto"/>
            <w:vAlign w:val="bottom"/>
          </w:tcPr>
          <w:p w14:paraId="42A133AF" w14:textId="77777777" w:rsidR="00BB68E1" w:rsidRDefault="00BB68E1">
            <w:pPr>
              <w:textAlignment w:val="bottom"/>
              <w:rPr>
                <w:rFonts w:ascii="Times New Roman" w:hAnsi="Times New Roman"/>
                <w:sz w:val="20"/>
                <w:szCs w:val="20"/>
              </w:rPr>
            </w:pPr>
          </w:p>
        </w:tc>
      </w:tr>
      <w:tr w:rsidR="00BB68E1" w14:paraId="42A133B5" w14:textId="77777777">
        <w:trPr>
          <w:jc w:val="center"/>
        </w:trPr>
        <w:tc>
          <w:tcPr>
            <w:tcW w:w="0" w:type="auto"/>
            <w:shd w:val="clear" w:color="auto" w:fill="CCEEFF"/>
            <w:tcMar>
              <w:top w:w="40" w:type="dxa"/>
              <w:left w:w="40" w:type="dxa"/>
              <w:bottom w:w="40" w:type="dxa"/>
              <w:right w:w="40" w:type="dxa"/>
            </w:tcMar>
            <w:vAlign w:val="bottom"/>
          </w:tcPr>
          <w:p w14:paraId="42A133B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Weighted-average remaining lease term - operating leases</w:t>
            </w:r>
          </w:p>
        </w:tc>
        <w:tc>
          <w:tcPr>
            <w:tcW w:w="0" w:type="auto"/>
            <w:shd w:val="clear" w:color="auto" w:fill="CCEEFF"/>
            <w:tcMar>
              <w:top w:w="40" w:type="dxa"/>
              <w:left w:w="40" w:type="dxa"/>
              <w:bottom w:w="40" w:type="dxa"/>
              <w:right w:w="40" w:type="dxa"/>
            </w:tcMar>
            <w:vAlign w:val="bottom"/>
          </w:tcPr>
          <w:p w14:paraId="42A133B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3B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15.6 years</w:t>
            </w:r>
          </w:p>
        </w:tc>
        <w:tc>
          <w:tcPr>
            <w:tcW w:w="0" w:type="auto"/>
            <w:shd w:val="clear" w:color="auto" w:fill="CCEEFF"/>
            <w:vAlign w:val="bottom"/>
          </w:tcPr>
          <w:p w14:paraId="42A133B4" w14:textId="77777777" w:rsidR="00BB68E1" w:rsidRDefault="00BB68E1">
            <w:pPr>
              <w:textAlignment w:val="bottom"/>
              <w:rPr>
                <w:rFonts w:ascii="Times New Roman" w:hAnsi="Times New Roman"/>
                <w:sz w:val="20"/>
                <w:szCs w:val="20"/>
              </w:rPr>
            </w:pPr>
          </w:p>
        </w:tc>
      </w:tr>
      <w:tr w:rsidR="00BB68E1" w14:paraId="42A133BA" w14:textId="77777777">
        <w:trPr>
          <w:jc w:val="center"/>
        </w:trPr>
        <w:tc>
          <w:tcPr>
            <w:tcW w:w="0" w:type="auto"/>
            <w:shd w:val="clear" w:color="auto" w:fill="auto"/>
            <w:tcMar>
              <w:top w:w="40" w:type="dxa"/>
              <w:left w:w="40" w:type="dxa"/>
              <w:bottom w:w="40" w:type="dxa"/>
              <w:right w:w="40" w:type="dxa"/>
            </w:tcMar>
            <w:vAlign w:val="bottom"/>
          </w:tcPr>
          <w:p w14:paraId="42A133B6"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Weighted-average remaining lease term - finance leases</w:t>
            </w:r>
          </w:p>
        </w:tc>
        <w:tc>
          <w:tcPr>
            <w:tcW w:w="0" w:type="auto"/>
            <w:shd w:val="clear" w:color="auto" w:fill="auto"/>
            <w:tcMar>
              <w:top w:w="40" w:type="dxa"/>
              <w:left w:w="40" w:type="dxa"/>
              <w:bottom w:w="40" w:type="dxa"/>
              <w:right w:w="40" w:type="dxa"/>
            </w:tcMar>
            <w:vAlign w:val="bottom"/>
          </w:tcPr>
          <w:p w14:paraId="42A133B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3B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14.4 years</w:t>
            </w:r>
          </w:p>
        </w:tc>
        <w:tc>
          <w:tcPr>
            <w:tcW w:w="0" w:type="auto"/>
            <w:shd w:val="clear" w:color="auto" w:fill="auto"/>
            <w:vAlign w:val="bottom"/>
          </w:tcPr>
          <w:p w14:paraId="42A133B9" w14:textId="77777777" w:rsidR="00BB68E1" w:rsidRDefault="00BB68E1">
            <w:pPr>
              <w:textAlignment w:val="bottom"/>
              <w:rPr>
                <w:rFonts w:ascii="Times New Roman" w:hAnsi="Times New Roman"/>
                <w:sz w:val="20"/>
                <w:szCs w:val="20"/>
              </w:rPr>
            </w:pPr>
          </w:p>
        </w:tc>
      </w:tr>
      <w:tr w:rsidR="00BB68E1" w14:paraId="42A133BF" w14:textId="77777777">
        <w:trPr>
          <w:jc w:val="center"/>
        </w:trPr>
        <w:tc>
          <w:tcPr>
            <w:tcW w:w="0" w:type="auto"/>
            <w:shd w:val="clear" w:color="auto" w:fill="CCEEFF"/>
            <w:tcMar>
              <w:top w:w="40" w:type="dxa"/>
              <w:left w:w="40" w:type="dxa"/>
              <w:bottom w:w="40" w:type="dxa"/>
              <w:right w:w="40" w:type="dxa"/>
            </w:tcMar>
            <w:vAlign w:val="bottom"/>
          </w:tcPr>
          <w:p w14:paraId="42A133BB"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Weighted-average discount rate - operating leases</w:t>
            </w:r>
          </w:p>
        </w:tc>
        <w:tc>
          <w:tcPr>
            <w:tcW w:w="0" w:type="auto"/>
            <w:shd w:val="clear" w:color="auto" w:fill="CCEEFF"/>
            <w:tcMar>
              <w:top w:w="40" w:type="dxa"/>
              <w:left w:w="40" w:type="dxa"/>
              <w:bottom w:w="40" w:type="dxa"/>
              <w:right w:w="40" w:type="dxa"/>
            </w:tcMar>
            <w:vAlign w:val="bottom"/>
          </w:tcPr>
          <w:p w14:paraId="42A133B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3B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5.4</w:t>
            </w:r>
          </w:p>
        </w:tc>
        <w:tc>
          <w:tcPr>
            <w:tcW w:w="0" w:type="auto"/>
            <w:shd w:val="clear" w:color="auto" w:fill="CCEEFF"/>
            <w:tcMar>
              <w:top w:w="40" w:type="dxa"/>
              <w:bottom w:w="40" w:type="dxa"/>
              <w:right w:w="240" w:type="dxa"/>
            </w:tcMar>
            <w:vAlign w:val="center"/>
          </w:tcPr>
          <w:p w14:paraId="42A133B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3C4" w14:textId="77777777">
        <w:trPr>
          <w:jc w:val="center"/>
        </w:trPr>
        <w:tc>
          <w:tcPr>
            <w:tcW w:w="0" w:type="auto"/>
            <w:shd w:val="clear" w:color="auto" w:fill="auto"/>
            <w:tcMar>
              <w:top w:w="40" w:type="dxa"/>
              <w:left w:w="40" w:type="dxa"/>
              <w:bottom w:w="40" w:type="dxa"/>
              <w:right w:w="40" w:type="dxa"/>
            </w:tcMar>
            <w:vAlign w:val="bottom"/>
          </w:tcPr>
          <w:p w14:paraId="42A133C0"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Weighted-average discount rate - finance leases</w:t>
            </w:r>
          </w:p>
        </w:tc>
        <w:tc>
          <w:tcPr>
            <w:tcW w:w="0" w:type="auto"/>
            <w:shd w:val="clear" w:color="auto" w:fill="auto"/>
            <w:tcMar>
              <w:top w:w="40" w:type="dxa"/>
              <w:left w:w="40" w:type="dxa"/>
              <w:bottom w:w="40" w:type="dxa"/>
              <w:right w:w="40" w:type="dxa"/>
            </w:tcMar>
            <w:vAlign w:val="bottom"/>
          </w:tcPr>
          <w:p w14:paraId="42A133C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3C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8.6</w:t>
            </w:r>
          </w:p>
        </w:tc>
        <w:tc>
          <w:tcPr>
            <w:tcW w:w="0" w:type="auto"/>
            <w:shd w:val="clear" w:color="auto" w:fill="auto"/>
            <w:tcMar>
              <w:top w:w="40" w:type="dxa"/>
              <w:bottom w:w="40" w:type="dxa"/>
              <w:right w:w="240" w:type="dxa"/>
            </w:tcMar>
            <w:vAlign w:val="center"/>
          </w:tcPr>
          <w:p w14:paraId="42A133C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bl>
    <w:p w14:paraId="42A133C5" w14:textId="77777777" w:rsidR="00BB68E1" w:rsidRDefault="00BB68E1">
      <w:pPr>
        <w:spacing w:line="288" w:lineRule="auto"/>
        <w:jc w:val="center"/>
        <w:rPr>
          <w:rFonts w:ascii="Times New Roman" w:hAnsi="Times New Roman"/>
          <w:sz w:val="20"/>
          <w:szCs w:val="20"/>
        </w:rPr>
      </w:pPr>
    </w:p>
    <w:p w14:paraId="42A133C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aggregate annual lease obligations at January 31, 2020 are as follows:</w:t>
      </w:r>
    </w:p>
    <w:tbl>
      <w:tblPr>
        <w:tblW w:w="5000" w:type="pct"/>
        <w:tblCellMar>
          <w:left w:w="0" w:type="dxa"/>
          <w:right w:w="0" w:type="dxa"/>
        </w:tblCellMar>
        <w:tblLook w:val="04A0" w:firstRow="1" w:lastRow="0" w:firstColumn="1" w:lastColumn="0" w:noHBand="0" w:noVBand="1"/>
      </w:tblPr>
      <w:tblGrid>
        <w:gridCol w:w="5418"/>
        <w:gridCol w:w="130"/>
        <w:gridCol w:w="121"/>
        <w:gridCol w:w="1099"/>
        <w:gridCol w:w="94"/>
        <w:gridCol w:w="130"/>
        <w:gridCol w:w="121"/>
        <w:gridCol w:w="1099"/>
        <w:gridCol w:w="94"/>
      </w:tblGrid>
      <w:tr w:rsidR="00BB68E1" w14:paraId="42A133C8" w14:textId="77777777">
        <w:tc>
          <w:tcPr>
            <w:tcW w:w="0" w:type="auto"/>
            <w:gridSpan w:val="9"/>
            <w:shd w:val="clear" w:color="auto" w:fill="auto"/>
            <w:vAlign w:val="center"/>
          </w:tcPr>
          <w:p w14:paraId="42A133C7" w14:textId="77777777" w:rsidR="00BB68E1" w:rsidRDefault="00BB68E1">
            <w:pPr>
              <w:rPr>
                <w:rFonts w:ascii="Times New Roman" w:hAnsi="Times New Roman"/>
                <w:sz w:val="20"/>
                <w:szCs w:val="20"/>
              </w:rPr>
            </w:pPr>
          </w:p>
        </w:tc>
      </w:tr>
      <w:tr w:rsidR="00BB68E1" w14:paraId="42A133D2" w14:textId="77777777">
        <w:tc>
          <w:tcPr>
            <w:tcW w:w="3300" w:type="pct"/>
            <w:shd w:val="clear" w:color="auto" w:fill="auto"/>
            <w:vAlign w:val="center"/>
          </w:tcPr>
          <w:p w14:paraId="42A133C9" w14:textId="77777777" w:rsidR="00BB68E1" w:rsidRDefault="00BB68E1">
            <w:pPr>
              <w:rPr>
                <w:rFonts w:ascii="Times New Roman" w:hAnsi="Times New Roman"/>
                <w:sz w:val="20"/>
                <w:szCs w:val="20"/>
              </w:rPr>
            </w:pPr>
          </w:p>
        </w:tc>
        <w:tc>
          <w:tcPr>
            <w:tcW w:w="50" w:type="pct"/>
            <w:shd w:val="clear" w:color="auto" w:fill="auto"/>
            <w:vAlign w:val="center"/>
          </w:tcPr>
          <w:p w14:paraId="42A133CA" w14:textId="77777777" w:rsidR="00BB68E1" w:rsidRDefault="00BB68E1">
            <w:pPr>
              <w:rPr>
                <w:rFonts w:ascii="Times New Roman" w:hAnsi="Times New Roman"/>
                <w:sz w:val="20"/>
                <w:szCs w:val="20"/>
              </w:rPr>
            </w:pPr>
          </w:p>
        </w:tc>
        <w:tc>
          <w:tcPr>
            <w:tcW w:w="50" w:type="pct"/>
            <w:shd w:val="clear" w:color="auto" w:fill="auto"/>
            <w:vAlign w:val="center"/>
          </w:tcPr>
          <w:p w14:paraId="42A133CB" w14:textId="77777777" w:rsidR="00BB68E1" w:rsidRDefault="00BB68E1">
            <w:pPr>
              <w:rPr>
                <w:rFonts w:ascii="Times New Roman" w:hAnsi="Times New Roman"/>
                <w:sz w:val="20"/>
                <w:szCs w:val="20"/>
              </w:rPr>
            </w:pPr>
          </w:p>
        </w:tc>
        <w:tc>
          <w:tcPr>
            <w:tcW w:w="700" w:type="pct"/>
            <w:shd w:val="clear" w:color="auto" w:fill="auto"/>
            <w:vAlign w:val="center"/>
          </w:tcPr>
          <w:p w14:paraId="42A133CC" w14:textId="77777777" w:rsidR="00BB68E1" w:rsidRDefault="00BB68E1">
            <w:pPr>
              <w:rPr>
                <w:rFonts w:ascii="Times New Roman" w:hAnsi="Times New Roman"/>
                <w:sz w:val="20"/>
                <w:szCs w:val="20"/>
              </w:rPr>
            </w:pPr>
          </w:p>
        </w:tc>
        <w:tc>
          <w:tcPr>
            <w:tcW w:w="50" w:type="pct"/>
            <w:shd w:val="clear" w:color="auto" w:fill="auto"/>
            <w:vAlign w:val="center"/>
          </w:tcPr>
          <w:p w14:paraId="42A133CD" w14:textId="77777777" w:rsidR="00BB68E1" w:rsidRDefault="00BB68E1">
            <w:pPr>
              <w:rPr>
                <w:rFonts w:ascii="Times New Roman" w:hAnsi="Times New Roman"/>
                <w:sz w:val="20"/>
                <w:szCs w:val="20"/>
              </w:rPr>
            </w:pPr>
          </w:p>
        </w:tc>
        <w:tc>
          <w:tcPr>
            <w:tcW w:w="50" w:type="pct"/>
            <w:shd w:val="clear" w:color="auto" w:fill="auto"/>
            <w:vAlign w:val="center"/>
          </w:tcPr>
          <w:p w14:paraId="42A133CE" w14:textId="77777777" w:rsidR="00BB68E1" w:rsidRDefault="00BB68E1">
            <w:pPr>
              <w:rPr>
                <w:rFonts w:ascii="Times New Roman" w:hAnsi="Times New Roman"/>
                <w:sz w:val="20"/>
                <w:szCs w:val="20"/>
              </w:rPr>
            </w:pPr>
          </w:p>
        </w:tc>
        <w:tc>
          <w:tcPr>
            <w:tcW w:w="50" w:type="pct"/>
            <w:shd w:val="clear" w:color="auto" w:fill="auto"/>
            <w:vAlign w:val="center"/>
          </w:tcPr>
          <w:p w14:paraId="42A133CF" w14:textId="77777777" w:rsidR="00BB68E1" w:rsidRDefault="00BB68E1">
            <w:pPr>
              <w:rPr>
                <w:rFonts w:ascii="Times New Roman" w:hAnsi="Times New Roman"/>
                <w:sz w:val="20"/>
                <w:szCs w:val="20"/>
              </w:rPr>
            </w:pPr>
          </w:p>
        </w:tc>
        <w:tc>
          <w:tcPr>
            <w:tcW w:w="700" w:type="pct"/>
            <w:shd w:val="clear" w:color="auto" w:fill="auto"/>
            <w:vAlign w:val="center"/>
          </w:tcPr>
          <w:p w14:paraId="42A133D0" w14:textId="77777777" w:rsidR="00BB68E1" w:rsidRDefault="00BB68E1">
            <w:pPr>
              <w:rPr>
                <w:rFonts w:ascii="Times New Roman" w:hAnsi="Times New Roman"/>
                <w:sz w:val="20"/>
                <w:szCs w:val="20"/>
              </w:rPr>
            </w:pPr>
          </w:p>
        </w:tc>
        <w:tc>
          <w:tcPr>
            <w:tcW w:w="50" w:type="pct"/>
            <w:shd w:val="clear" w:color="auto" w:fill="auto"/>
            <w:vAlign w:val="center"/>
          </w:tcPr>
          <w:p w14:paraId="42A133D1" w14:textId="77777777" w:rsidR="00BB68E1" w:rsidRDefault="00BB68E1">
            <w:pPr>
              <w:rPr>
                <w:rFonts w:ascii="Times New Roman" w:hAnsi="Times New Roman"/>
                <w:sz w:val="20"/>
                <w:szCs w:val="20"/>
              </w:rPr>
            </w:pPr>
          </w:p>
        </w:tc>
      </w:tr>
      <w:tr w:rsidR="00BB68E1" w14:paraId="42A133D8" w14:textId="77777777">
        <w:tc>
          <w:tcPr>
            <w:tcW w:w="0" w:type="auto"/>
            <w:shd w:val="clear" w:color="auto" w:fill="auto"/>
            <w:tcMar>
              <w:top w:w="40" w:type="dxa"/>
              <w:left w:w="40" w:type="dxa"/>
              <w:bottom w:w="40" w:type="dxa"/>
              <w:right w:w="20" w:type="dxa"/>
            </w:tcMar>
            <w:vAlign w:val="bottom"/>
          </w:tcPr>
          <w:p w14:paraId="42A133D3"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33D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3D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3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3D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3DE" w14:textId="77777777">
        <w:tc>
          <w:tcPr>
            <w:tcW w:w="0" w:type="auto"/>
            <w:shd w:val="clear" w:color="auto" w:fill="auto"/>
            <w:tcMar>
              <w:top w:w="40" w:type="dxa"/>
              <w:left w:w="40" w:type="dxa"/>
              <w:bottom w:w="40" w:type="dxa"/>
              <w:right w:w="20" w:type="dxa"/>
            </w:tcMar>
            <w:vAlign w:val="bottom"/>
          </w:tcPr>
          <w:p w14:paraId="42A133D9"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Fiscal Year</w:t>
            </w:r>
          </w:p>
        </w:tc>
        <w:tc>
          <w:tcPr>
            <w:tcW w:w="0" w:type="auto"/>
            <w:shd w:val="clear" w:color="auto" w:fill="auto"/>
            <w:tcMar>
              <w:top w:w="40" w:type="dxa"/>
              <w:left w:w="40" w:type="dxa"/>
              <w:bottom w:w="40" w:type="dxa"/>
              <w:right w:w="40" w:type="dxa"/>
            </w:tcMar>
            <w:vAlign w:val="bottom"/>
          </w:tcPr>
          <w:p w14:paraId="42A133D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120" w:type="dxa"/>
              <w:bottom w:w="40" w:type="dxa"/>
              <w:right w:w="40" w:type="dxa"/>
            </w:tcMar>
            <w:vAlign w:val="bottom"/>
          </w:tcPr>
          <w:p w14:paraId="42A133D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Operating Leases</w:t>
            </w:r>
          </w:p>
        </w:tc>
        <w:tc>
          <w:tcPr>
            <w:tcW w:w="0" w:type="auto"/>
            <w:shd w:val="clear" w:color="auto" w:fill="auto"/>
            <w:tcMar>
              <w:top w:w="40" w:type="dxa"/>
              <w:left w:w="40" w:type="dxa"/>
              <w:bottom w:w="40" w:type="dxa"/>
              <w:right w:w="40" w:type="dxa"/>
            </w:tcMar>
            <w:vAlign w:val="bottom"/>
          </w:tcPr>
          <w:p w14:paraId="42A133D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120" w:type="dxa"/>
              <w:bottom w:w="40" w:type="dxa"/>
              <w:right w:w="40" w:type="dxa"/>
            </w:tcMar>
            <w:vAlign w:val="bottom"/>
          </w:tcPr>
          <w:p w14:paraId="42A133DD"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Finance Leases</w:t>
            </w:r>
          </w:p>
        </w:tc>
      </w:tr>
      <w:tr w:rsidR="00BB68E1" w14:paraId="42A133E8" w14:textId="77777777">
        <w:tc>
          <w:tcPr>
            <w:tcW w:w="0" w:type="auto"/>
            <w:shd w:val="clear" w:color="auto" w:fill="CCEEFF"/>
            <w:tcMar>
              <w:top w:w="40" w:type="dxa"/>
              <w:left w:w="40" w:type="dxa"/>
              <w:bottom w:w="40" w:type="dxa"/>
              <w:right w:w="40" w:type="dxa"/>
            </w:tcMar>
            <w:vAlign w:val="bottom"/>
          </w:tcPr>
          <w:p w14:paraId="42A133D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2021</w:t>
            </w:r>
          </w:p>
        </w:tc>
        <w:tc>
          <w:tcPr>
            <w:tcW w:w="0" w:type="auto"/>
            <w:shd w:val="clear" w:color="auto" w:fill="CCEEFF"/>
            <w:tcMar>
              <w:top w:w="40" w:type="dxa"/>
              <w:left w:w="40" w:type="dxa"/>
              <w:bottom w:w="40" w:type="dxa"/>
              <w:right w:w="40" w:type="dxa"/>
            </w:tcMar>
            <w:vAlign w:val="bottom"/>
          </w:tcPr>
          <w:p w14:paraId="42A133E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2A133E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2A133E2"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2,587</w:t>
            </w:r>
          </w:p>
        </w:tc>
        <w:tc>
          <w:tcPr>
            <w:tcW w:w="0" w:type="auto"/>
            <w:tcBorders>
              <w:top w:val="single" w:sz="8" w:space="0" w:color="000000"/>
            </w:tcBorders>
            <w:shd w:val="clear" w:color="auto" w:fill="CCEEFF"/>
            <w:vAlign w:val="bottom"/>
          </w:tcPr>
          <w:p w14:paraId="42A133E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3E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2A133E5"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2A133E6"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797</w:t>
            </w:r>
          </w:p>
        </w:tc>
        <w:tc>
          <w:tcPr>
            <w:tcW w:w="0" w:type="auto"/>
            <w:tcBorders>
              <w:top w:val="single" w:sz="8" w:space="0" w:color="000000"/>
            </w:tcBorders>
            <w:shd w:val="clear" w:color="auto" w:fill="CCEEFF"/>
            <w:vAlign w:val="bottom"/>
          </w:tcPr>
          <w:p w14:paraId="42A133E7" w14:textId="77777777" w:rsidR="00BB68E1" w:rsidRDefault="00BB68E1">
            <w:pPr>
              <w:textAlignment w:val="bottom"/>
              <w:rPr>
                <w:rFonts w:ascii="Times New Roman" w:hAnsi="Times New Roman"/>
                <w:sz w:val="20"/>
                <w:szCs w:val="20"/>
              </w:rPr>
            </w:pPr>
          </w:p>
        </w:tc>
      </w:tr>
      <w:tr w:rsidR="00BB68E1" w14:paraId="42A133F0" w14:textId="77777777">
        <w:tc>
          <w:tcPr>
            <w:tcW w:w="0" w:type="auto"/>
            <w:shd w:val="clear" w:color="auto" w:fill="auto"/>
            <w:tcMar>
              <w:top w:w="40" w:type="dxa"/>
              <w:left w:w="40" w:type="dxa"/>
              <w:bottom w:w="40" w:type="dxa"/>
              <w:right w:w="40" w:type="dxa"/>
            </w:tcMar>
            <w:vAlign w:val="bottom"/>
          </w:tcPr>
          <w:p w14:paraId="42A133E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2022</w:t>
            </w:r>
          </w:p>
        </w:tc>
        <w:tc>
          <w:tcPr>
            <w:tcW w:w="0" w:type="auto"/>
            <w:shd w:val="clear" w:color="auto" w:fill="auto"/>
            <w:tcMar>
              <w:top w:w="40" w:type="dxa"/>
              <w:left w:w="40" w:type="dxa"/>
              <w:bottom w:w="40" w:type="dxa"/>
              <w:right w:w="40" w:type="dxa"/>
            </w:tcMar>
            <w:vAlign w:val="bottom"/>
          </w:tcPr>
          <w:p w14:paraId="42A133E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3EB"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2,358</w:t>
            </w:r>
          </w:p>
        </w:tc>
        <w:tc>
          <w:tcPr>
            <w:tcW w:w="0" w:type="auto"/>
            <w:shd w:val="clear" w:color="auto" w:fill="auto"/>
            <w:vAlign w:val="bottom"/>
          </w:tcPr>
          <w:p w14:paraId="42A133E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3E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3EE"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757</w:t>
            </w:r>
          </w:p>
        </w:tc>
        <w:tc>
          <w:tcPr>
            <w:tcW w:w="0" w:type="auto"/>
            <w:shd w:val="clear" w:color="auto" w:fill="auto"/>
            <w:vAlign w:val="bottom"/>
          </w:tcPr>
          <w:p w14:paraId="42A133EF" w14:textId="77777777" w:rsidR="00BB68E1" w:rsidRDefault="00BB68E1">
            <w:pPr>
              <w:textAlignment w:val="bottom"/>
              <w:rPr>
                <w:rFonts w:ascii="Times New Roman" w:hAnsi="Times New Roman"/>
                <w:sz w:val="20"/>
                <w:szCs w:val="20"/>
              </w:rPr>
            </w:pPr>
          </w:p>
        </w:tc>
      </w:tr>
      <w:tr w:rsidR="00BB68E1" w14:paraId="42A133F8" w14:textId="77777777">
        <w:tc>
          <w:tcPr>
            <w:tcW w:w="0" w:type="auto"/>
            <w:shd w:val="clear" w:color="auto" w:fill="CCEEFF"/>
            <w:tcMar>
              <w:top w:w="40" w:type="dxa"/>
              <w:left w:w="40" w:type="dxa"/>
              <w:bottom w:w="40" w:type="dxa"/>
              <w:right w:w="40" w:type="dxa"/>
            </w:tcMar>
            <w:vAlign w:val="bottom"/>
          </w:tcPr>
          <w:p w14:paraId="42A133F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2023</w:t>
            </w:r>
          </w:p>
        </w:tc>
        <w:tc>
          <w:tcPr>
            <w:tcW w:w="0" w:type="auto"/>
            <w:shd w:val="clear" w:color="auto" w:fill="CCEEFF"/>
            <w:tcMar>
              <w:top w:w="40" w:type="dxa"/>
              <w:left w:w="40" w:type="dxa"/>
              <w:bottom w:w="40" w:type="dxa"/>
              <w:right w:w="40" w:type="dxa"/>
            </w:tcMar>
            <w:vAlign w:val="bottom"/>
          </w:tcPr>
          <w:p w14:paraId="42A133F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3F3"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2,138</w:t>
            </w:r>
          </w:p>
        </w:tc>
        <w:tc>
          <w:tcPr>
            <w:tcW w:w="0" w:type="auto"/>
            <w:shd w:val="clear" w:color="auto" w:fill="CCEEFF"/>
            <w:vAlign w:val="bottom"/>
          </w:tcPr>
          <w:p w14:paraId="42A133F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3F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3F6"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640</w:t>
            </w:r>
          </w:p>
        </w:tc>
        <w:tc>
          <w:tcPr>
            <w:tcW w:w="0" w:type="auto"/>
            <w:shd w:val="clear" w:color="auto" w:fill="CCEEFF"/>
            <w:vAlign w:val="bottom"/>
          </w:tcPr>
          <w:p w14:paraId="42A133F7" w14:textId="77777777" w:rsidR="00BB68E1" w:rsidRDefault="00BB68E1">
            <w:pPr>
              <w:textAlignment w:val="bottom"/>
              <w:rPr>
                <w:rFonts w:ascii="Times New Roman" w:hAnsi="Times New Roman"/>
                <w:sz w:val="20"/>
                <w:szCs w:val="20"/>
              </w:rPr>
            </w:pPr>
          </w:p>
        </w:tc>
      </w:tr>
      <w:tr w:rsidR="00BB68E1" w14:paraId="42A13400" w14:textId="77777777">
        <w:tc>
          <w:tcPr>
            <w:tcW w:w="0" w:type="auto"/>
            <w:shd w:val="clear" w:color="auto" w:fill="auto"/>
            <w:tcMar>
              <w:top w:w="40" w:type="dxa"/>
              <w:left w:w="40" w:type="dxa"/>
              <w:bottom w:w="40" w:type="dxa"/>
              <w:right w:w="40" w:type="dxa"/>
            </w:tcMar>
            <w:vAlign w:val="bottom"/>
          </w:tcPr>
          <w:p w14:paraId="42A133F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2024</w:t>
            </w:r>
          </w:p>
        </w:tc>
        <w:tc>
          <w:tcPr>
            <w:tcW w:w="0" w:type="auto"/>
            <w:shd w:val="clear" w:color="auto" w:fill="auto"/>
            <w:tcMar>
              <w:top w:w="40" w:type="dxa"/>
              <w:left w:w="40" w:type="dxa"/>
              <w:bottom w:w="40" w:type="dxa"/>
              <w:right w:w="40" w:type="dxa"/>
            </w:tcMar>
            <w:vAlign w:val="bottom"/>
          </w:tcPr>
          <w:p w14:paraId="42A133F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3FB"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1,932</w:t>
            </w:r>
          </w:p>
        </w:tc>
        <w:tc>
          <w:tcPr>
            <w:tcW w:w="0" w:type="auto"/>
            <w:shd w:val="clear" w:color="auto" w:fill="auto"/>
            <w:vAlign w:val="bottom"/>
          </w:tcPr>
          <w:p w14:paraId="42A133F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3F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3FE"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552</w:t>
            </w:r>
          </w:p>
        </w:tc>
        <w:tc>
          <w:tcPr>
            <w:tcW w:w="0" w:type="auto"/>
            <w:shd w:val="clear" w:color="auto" w:fill="auto"/>
            <w:vAlign w:val="bottom"/>
          </w:tcPr>
          <w:p w14:paraId="42A133FF" w14:textId="77777777" w:rsidR="00BB68E1" w:rsidRDefault="00BB68E1">
            <w:pPr>
              <w:textAlignment w:val="bottom"/>
              <w:rPr>
                <w:rFonts w:ascii="Times New Roman" w:hAnsi="Times New Roman"/>
                <w:sz w:val="20"/>
                <w:szCs w:val="20"/>
              </w:rPr>
            </w:pPr>
          </w:p>
        </w:tc>
      </w:tr>
      <w:tr w:rsidR="00BB68E1" w14:paraId="42A13408" w14:textId="77777777">
        <w:tc>
          <w:tcPr>
            <w:tcW w:w="0" w:type="auto"/>
            <w:shd w:val="clear" w:color="auto" w:fill="CCEEFF"/>
            <w:tcMar>
              <w:top w:w="40" w:type="dxa"/>
              <w:left w:w="40" w:type="dxa"/>
              <w:bottom w:w="40" w:type="dxa"/>
              <w:right w:w="40" w:type="dxa"/>
            </w:tcMar>
            <w:vAlign w:val="bottom"/>
          </w:tcPr>
          <w:p w14:paraId="42A1340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2025</w:t>
            </w:r>
          </w:p>
        </w:tc>
        <w:tc>
          <w:tcPr>
            <w:tcW w:w="0" w:type="auto"/>
            <w:shd w:val="clear" w:color="auto" w:fill="CCEEFF"/>
            <w:tcMar>
              <w:top w:w="40" w:type="dxa"/>
              <w:left w:w="40" w:type="dxa"/>
              <w:bottom w:w="40" w:type="dxa"/>
              <w:right w:w="40" w:type="dxa"/>
            </w:tcMar>
            <w:vAlign w:val="bottom"/>
          </w:tcPr>
          <w:p w14:paraId="42A1340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403"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1,728</w:t>
            </w:r>
          </w:p>
        </w:tc>
        <w:tc>
          <w:tcPr>
            <w:tcW w:w="0" w:type="auto"/>
            <w:shd w:val="clear" w:color="auto" w:fill="CCEEFF"/>
            <w:vAlign w:val="bottom"/>
          </w:tcPr>
          <w:p w14:paraId="42A1340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40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406"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492</w:t>
            </w:r>
          </w:p>
        </w:tc>
        <w:tc>
          <w:tcPr>
            <w:tcW w:w="0" w:type="auto"/>
            <w:shd w:val="clear" w:color="auto" w:fill="CCEEFF"/>
            <w:vAlign w:val="bottom"/>
          </w:tcPr>
          <w:p w14:paraId="42A13407" w14:textId="77777777" w:rsidR="00BB68E1" w:rsidRDefault="00BB68E1">
            <w:pPr>
              <w:textAlignment w:val="bottom"/>
              <w:rPr>
                <w:rFonts w:ascii="Times New Roman" w:hAnsi="Times New Roman"/>
                <w:sz w:val="20"/>
                <w:szCs w:val="20"/>
              </w:rPr>
            </w:pPr>
          </w:p>
        </w:tc>
      </w:tr>
      <w:tr w:rsidR="00BB68E1" w14:paraId="42A13410" w14:textId="77777777">
        <w:tc>
          <w:tcPr>
            <w:tcW w:w="0" w:type="auto"/>
            <w:shd w:val="clear" w:color="auto" w:fill="auto"/>
            <w:tcMar>
              <w:top w:w="40" w:type="dxa"/>
              <w:left w:w="40" w:type="dxa"/>
              <w:bottom w:w="40" w:type="dxa"/>
              <w:right w:w="40" w:type="dxa"/>
            </w:tcMar>
            <w:vAlign w:val="bottom"/>
          </w:tcPr>
          <w:p w14:paraId="42A1340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Thereafter</w:t>
            </w:r>
          </w:p>
        </w:tc>
        <w:tc>
          <w:tcPr>
            <w:tcW w:w="0" w:type="auto"/>
            <w:shd w:val="clear" w:color="auto" w:fill="auto"/>
            <w:tcMar>
              <w:top w:w="40" w:type="dxa"/>
              <w:left w:w="40" w:type="dxa"/>
              <w:bottom w:w="40" w:type="dxa"/>
              <w:right w:w="40" w:type="dxa"/>
            </w:tcMar>
            <w:vAlign w:val="bottom"/>
          </w:tcPr>
          <w:p w14:paraId="42A1340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2A1340B"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15,514</w:t>
            </w:r>
          </w:p>
        </w:tc>
        <w:tc>
          <w:tcPr>
            <w:tcW w:w="0" w:type="auto"/>
            <w:tcBorders>
              <w:bottom w:val="single" w:sz="8" w:space="0" w:color="000000"/>
            </w:tcBorders>
            <w:shd w:val="clear" w:color="auto" w:fill="auto"/>
            <w:vAlign w:val="bottom"/>
          </w:tcPr>
          <w:p w14:paraId="42A1340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40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40E"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5,612</w:t>
            </w:r>
          </w:p>
        </w:tc>
        <w:tc>
          <w:tcPr>
            <w:tcW w:w="0" w:type="auto"/>
            <w:shd w:val="clear" w:color="auto" w:fill="auto"/>
            <w:vAlign w:val="bottom"/>
          </w:tcPr>
          <w:p w14:paraId="42A1340F" w14:textId="77777777" w:rsidR="00BB68E1" w:rsidRDefault="00BB68E1">
            <w:pPr>
              <w:textAlignment w:val="bottom"/>
              <w:rPr>
                <w:rFonts w:ascii="Times New Roman" w:hAnsi="Times New Roman"/>
                <w:sz w:val="20"/>
                <w:szCs w:val="20"/>
              </w:rPr>
            </w:pPr>
          </w:p>
        </w:tc>
      </w:tr>
      <w:tr w:rsidR="00BB68E1" w14:paraId="42A13418" w14:textId="77777777">
        <w:tc>
          <w:tcPr>
            <w:tcW w:w="0" w:type="auto"/>
            <w:shd w:val="clear" w:color="auto" w:fill="CCEEFF"/>
            <w:tcMar>
              <w:top w:w="40" w:type="dxa"/>
              <w:left w:w="40" w:type="dxa"/>
              <w:bottom w:w="40" w:type="dxa"/>
              <w:right w:w="40" w:type="dxa"/>
            </w:tcMar>
            <w:vAlign w:val="bottom"/>
          </w:tcPr>
          <w:p w14:paraId="42A13411"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Total undiscounted lease obligations</w:t>
            </w:r>
          </w:p>
        </w:tc>
        <w:tc>
          <w:tcPr>
            <w:tcW w:w="0" w:type="auto"/>
            <w:shd w:val="clear" w:color="auto" w:fill="CCEEFF"/>
            <w:tcMar>
              <w:top w:w="40" w:type="dxa"/>
              <w:left w:w="40" w:type="dxa"/>
              <w:bottom w:w="40" w:type="dxa"/>
              <w:right w:w="40" w:type="dxa"/>
            </w:tcMar>
            <w:vAlign w:val="bottom"/>
          </w:tcPr>
          <w:p w14:paraId="42A134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413"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26,257</w:t>
            </w:r>
          </w:p>
        </w:tc>
        <w:tc>
          <w:tcPr>
            <w:tcW w:w="0" w:type="auto"/>
            <w:shd w:val="clear" w:color="auto" w:fill="CCEEFF"/>
            <w:vAlign w:val="bottom"/>
          </w:tcPr>
          <w:p w14:paraId="42A1341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41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42A13416"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8,850</w:t>
            </w:r>
          </w:p>
        </w:tc>
        <w:tc>
          <w:tcPr>
            <w:tcW w:w="0" w:type="auto"/>
            <w:tcBorders>
              <w:top w:val="single" w:sz="8" w:space="0" w:color="000000"/>
            </w:tcBorders>
            <w:shd w:val="clear" w:color="auto" w:fill="CCEEFF"/>
            <w:vAlign w:val="bottom"/>
          </w:tcPr>
          <w:p w14:paraId="42A13417" w14:textId="77777777" w:rsidR="00BB68E1" w:rsidRDefault="00BB68E1">
            <w:pPr>
              <w:textAlignment w:val="bottom"/>
              <w:rPr>
                <w:rFonts w:ascii="Times New Roman" w:hAnsi="Times New Roman"/>
                <w:sz w:val="20"/>
                <w:szCs w:val="20"/>
              </w:rPr>
            </w:pPr>
          </w:p>
        </w:tc>
      </w:tr>
      <w:tr w:rsidR="00BB68E1" w14:paraId="42A13420" w14:textId="77777777">
        <w:tc>
          <w:tcPr>
            <w:tcW w:w="0" w:type="auto"/>
            <w:shd w:val="clear" w:color="auto" w:fill="auto"/>
            <w:tcMar>
              <w:top w:w="40" w:type="dxa"/>
              <w:left w:w="40" w:type="dxa"/>
              <w:bottom w:w="40" w:type="dxa"/>
              <w:right w:w="40" w:type="dxa"/>
            </w:tcMar>
            <w:vAlign w:val="bottom"/>
          </w:tcPr>
          <w:p w14:paraId="42A1341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Less imputed interest</w:t>
            </w:r>
          </w:p>
        </w:tc>
        <w:tc>
          <w:tcPr>
            <w:tcW w:w="0" w:type="auto"/>
            <w:shd w:val="clear" w:color="auto" w:fill="auto"/>
            <w:tcMar>
              <w:top w:w="40" w:type="dxa"/>
              <w:left w:w="40" w:type="dxa"/>
              <w:bottom w:w="40" w:type="dxa"/>
              <w:right w:w="40" w:type="dxa"/>
            </w:tcMar>
            <w:vAlign w:val="bottom"/>
          </w:tcPr>
          <w:p w14:paraId="42A1341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41B"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(8,293</w:t>
            </w:r>
          </w:p>
        </w:tc>
        <w:tc>
          <w:tcPr>
            <w:tcW w:w="0" w:type="auto"/>
            <w:shd w:val="clear" w:color="auto" w:fill="auto"/>
            <w:tcMar>
              <w:top w:w="40" w:type="dxa"/>
              <w:bottom w:w="40" w:type="dxa"/>
              <w:right w:w="40" w:type="dxa"/>
            </w:tcMar>
            <w:vAlign w:val="bottom"/>
          </w:tcPr>
          <w:p w14:paraId="42A1341C"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341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41E"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(4,032</w:t>
            </w:r>
          </w:p>
        </w:tc>
        <w:tc>
          <w:tcPr>
            <w:tcW w:w="0" w:type="auto"/>
            <w:shd w:val="clear" w:color="auto" w:fill="auto"/>
            <w:tcMar>
              <w:top w:w="40" w:type="dxa"/>
              <w:bottom w:w="40" w:type="dxa"/>
              <w:right w:w="40" w:type="dxa"/>
            </w:tcMar>
            <w:vAlign w:val="bottom"/>
          </w:tcPr>
          <w:p w14:paraId="42A1341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r>
      <w:tr w:rsidR="00BB68E1" w14:paraId="42A1342A" w14:textId="77777777">
        <w:tc>
          <w:tcPr>
            <w:tcW w:w="0" w:type="auto"/>
            <w:shd w:val="clear" w:color="auto" w:fill="CCEEFF"/>
            <w:tcMar>
              <w:top w:w="40" w:type="dxa"/>
              <w:left w:w="40" w:type="dxa"/>
              <w:bottom w:w="40" w:type="dxa"/>
              <w:right w:w="40" w:type="dxa"/>
            </w:tcMar>
            <w:vAlign w:val="bottom"/>
          </w:tcPr>
          <w:p w14:paraId="42A13421"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Net lease obligations</w:t>
            </w:r>
          </w:p>
        </w:tc>
        <w:tc>
          <w:tcPr>
            <w:tcW w:w="0" w:type="auto"/>
            <w:shd w:val="clear" w:color="auto" w:fill="CCEEFF"/>
            <w:tcMar>
              <w:top w:w="40" w:type="dxa"/>
              <w:left w:w="40" w:type="dxa"/>
              <w:bottom w:w="40" w:type="dxa"/>
              <w:right w:w="40" w:type="dxa"/>
            </w:tcMar>
            <w:vAlign w:val="bottom"/>
          </w:tcPr>
          <w:p w14:paraId="42A1342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2A1342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2A13424"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17,964</w:t>
            </w:r>
          </w:p>
        </w:tc>
        <w:tc>
          <w:tcPr>
            <w:tcW w:w="0" w:type="auto"/>
            <w:tcBorders>
              <w:top w:val="single" w:sz="8" w:space="0" w:color="000000"/>
              <w:bottom w:val="double" w:sz="6" w:space="0" w:color="000000"/>
            </w:tcBorders>
            <w:shd w:val="clear" w:color="auto" w:fill="CCEEFF"/>
            <w:vAlign w:val="bottom"/>
          </w:tcPr>
          <w:p w14:paraId="42A1342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42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2A1342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2A13428"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4,818</w:t>
            </w:r>
          </w:p>
        </w:tc>
        <w:tc>
          <w:tcPr>
            <w:tcW w:w="0" w:type="auto"/>
            <w:tcBorders>
              <w:top w:val="single" w:sz="8" w:space="0" w:color="000000"/>
              <w:bottom w:val="double" w:sz="6" w:space="0" w:color="000000"/>
            </w:tcBorders>
            <w:shd w:val="clear" w:color="auto" w:fill="CCEEFF"/>
            <w:vAlign w:val="bottom"/>
          </w:tcPr>
          <w:p w14:paraId="42A13429" w14:textId="77777777" w:rsidR="00BB68E1" w:rsidRDefault="00BB68E1">
            <w:pPr>
              <w:textAlignment w:val="bottom"/>
              <w:rPr>
                <w:rFonts w:ascii="Times New Roman" w:hAnsi="Times New Roman"/>
                <w:sz w:val="20"/>
                <w:szCs w:val="20"/>
              </w:rPr>
            </w:pPr>
          </w:p>
        </w:tc>
      </w:tr>
    </w:tbl>
    <w:p w14:paraId="42A1342B" w14:textId="77777777" w:rsidR="00BB68E1" w:rsidRDefault="00BB68E1"/>
    <w:p w14:paraId="42A1342C" w14:textId="77777777" w:rsidR="00BB68E1" w:rsidRDefault="00BB68E1">
      <w:pPr>
        <w:rPr>
          <w:rFonts w:ascii="Times New Roman" w:hAnsi="Times New Roman"/>
          <w:sz w:val="20"/>
          <w:szCs w:val="20"/>
        </w:rPr>
      </w:pPr>
    </w:p>
    <w:p w14:paraId="42A1342D"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66</w:t>
      </w:r>
    </w:p>
    <w:p w14:paraId="42A1342E" w14:textId="77777777" w:rsidR="00BB68E1" w:rsidRDefault="00BB68E1">
      <w:pPr>
        <w:spacing w:line="288" w:lineRule="auto"/>
        <w:jc w:val="center"/>
        <w:rPr>
          <w:rFonts w:ascii="Times New Roman" w:hAnsi="Times New Roman"/>
          <w:sz w:val="20"/>
          <w:szCs w:val="20"/>
        </w:rPr>
      </w:pPr>
    </w:p>
    <w:p w14:paraId="42A1342F" w14:textId="77777777" w:rsidR="00BB68E1" w:rsidRDefault="005D2D5E">
      <w:r>
        <w:rPr>
          <w:rFonts w:ascii="Times New Roman" w:hAnsi="Times New Roman"/>
          <w:sz w:val="20"/>
          <w:szCs w:val="20"/>
        </w:rPr>
        <w:pict w14:anchorId="42A142B9">
          <v:rect id="_x0000_i1090" style="width:415.3pt;height:1.5pt" o:hralign="center" o:hrstd="t" o:hr="t" fillcolor="#a0a0a0" stroked="f"/>
        </w:pict>
      </w:r>
    </w:p>
    <w:p w14:paraId="42A13430" w14:textId="77777777" w:rsidR="00BB68E1" w:rsidRDefault="00BB68E1">
      <w:pPr>
        <w:spacing w:line="288" w:lineRule="auto"/>
        <w:rPr>
          <w:rFonts w:ascii="Times New Roman" w:hAnsi="Times New Roman"/>
          <w:sz w:val="20"/>
          <w:szCs w:val="20"/>
        </w:rPr>
      </w:pPr>
    </w:p>
    <w:p w14:paraId="42A13431" w14:textId="77777777" w:rsidR="00BB68E1" w:rsidRDefault="00BB68E1">
      <w:pPr>
        <w:rPr>
          <w:rFonts w:ascii="Times New Roman" w:hAnsi="Times New Roman"/>
          <w:sz w:val="20"/>
          <w:szCs w:val="20"/>
        </w:rPr>
      </w:pPr>
    </w:p>
    <w:p w14:paraId="42A1343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 xml:space="preserve">Upon adoption of ASU </w:t>
      </w:r>
      <w:r>
        <w:rPr>
          <w:rFonts w:ascii="Times New Roman" w:eastAsia="宋体" w:hAnsi="Times New Roman"/>
          <w:sz w:val="20"/>
          <w:szCs w:val="20"/>
        </w:rPr>
        <w:t>2016-02, </w:t>
      </w:r>
      <w:r>
        <w:rPr>
          <w:rFonts w:ascii="Times New Roman" w:eastAsia="宋体" w:hAnsi="Times New Roman"/>
          <w:i/>
          <w:iCs/>
          <w:sz w:val="20"/>
          <w:szCs w:val="20"/>
        </w:rPr>
        <w:t>Leases</w:t>
      </w:r>
      <w:r>
        <w:rPr>
          <w:rFonts w:ascii="Times New Roman" w:eastAsia="宋体" w:hAnsi="Times New Roman"/>
          <w:sz w:val="20"/>
          <w:szCs w:val="20"/>
        </w:rPr>
        <w:t xml:space="preserve"> (Topic 842), the Company's aggregate annual lease obligations includes leases with reasonably assured renewals. The aggregate minimum annual lease rentals as of January 31, 2019 for the remaining contractual term of non-cancelable leases un</w:t>
      </w:r>
      <w:r>
        <w:rPr>
          <w:rFonts w:ascii="Times New Roman" w:eastAsia="宋体" w:hAnsi="Times New Roman"/>
          <w:sz w:val="20"/>
          <w:szCs w:val="20"/>
        </w:rPr>
        <w:t>der ASC 840 were as follows:</w:t>
      </w:r>
    </w:p>
    <w:tbl>
      <w:tblPr>
        <w:tblW w:w="5000" w:type="pct"/>
        <w:tblCellMar>
          <w:left w:w="0" w:type="dxa"/>
          <w:right w:w="0" w:type="dxa"/>
        </w:tblCellMar>
        <w:tblLook w:val="04A0" w:firstRow="1" w:lastRow="0" w:firstColumn="1" w:lastColumn="0" w:noHBand="0" w:noVBand="1"/>
      </w:tblPr>
      <w:tblGrid>
        <w:gridCol w:w="5436"/>
        <w:gridCol w:w="130"/>
        <w:gridCol w:w="121"/>
        <w:gridCol w:w="1118"/>
        <w:gridCol w:w="48"/>
        <w:gridCol w:w="130"/>
        <w:gridCol w:w="121"/>
        <w:gridCol w:w="1108"/>
        <w:gridCol w:w="94"/>
      </w:tblGrid>
      <w:tr w:rsidR="00BB68E1" w14:paraId="42A13434" w14:textId="77777777">
        <w:tc>
          <w:tcPr>
            <w:tcW w:w="0" w:type="auto"/>
            <w:gridSpan w:val="9"/>
            <w:shd w:val="clear" w:color="auto" w:fill="auto"/>
            <w:vAlign w:val="center"/>
          </w:tcPr>
          <w:p w14:paraId="42A13433" w14:textId="77777777" w:rsidR="00BB68E1" w:rsidRDefault="00BB68E1">
            <w:pPr>
              <w:rPr>
                <w:rFonts w:ascii="Times New Roman" w:hAnsi="Times New Roman"/>
                <w:sz w:val="20"/>
                <w:szCs w:val="20"/>
              </w:rPr>
            </w:pPr>
          </w:p>
        </w:tc>
      </w:tr>
      <w:tr w:rsidR="00BB68E1" w14:paraId="42A1343E" w14:textId="77777777">
        <w:tc>
          <w:tcPr>
            <w:tcW w:w="3300" w:type="pct"/>
            <w:shd w:val="clear" w:color="auto" w:fill="auto"/>
            <w:vAlign w:val="center"/>
          </w:tcPr>
          <w:p w14:paraId="42A13435" w14:textId="77777777" w:rsidR="00BB68E1" w:rsidRDefault="00BB68E1">
            <w:pPr>
              <w:rPr>
                <w:rFonts w:ascii="Times New Roman" w:hAnsi="Times New Roman"/>
                <w:sz w:val="20"/>
                <w:szCs w:val="20"/>
              </w:rPr>
            </w:pPr>
          </w:p>
        </w:tc>
        <w:tc>
          <w:tcPr>
            <w:tcW w:w="50" w:type="pct"/>
            <w:shd w:val="clear" w:color="auto" w:fill="auto"/>
            <w:vAlign w:val="center"/>
          </w:tcPr>
          <w:p w14:paraId="42A13436" w14:textId="77777777" w:rsidR="00BB68E1" w:rsidRDefault="00BB68E1">
            <w:pPr>
              <w:rPr>
                <w:rFonts w:ascii="Times New Roman" w:hAnsi="Times New Roman"/>
                <w:sz w:val="20"/>
                <w:szCs w:val="20"/>
              </w:rPr>
            </w:pPr>
          </w:p>
        </w:tc>
        <w:tc>
          <w:tcPr>
            <w:tcW w:w="50" w:type="pct"/>
            <w:shd w:val="clear" w:color="auto" w:fill="auto"/>
            <w:vAlign w:val="center"/>
          </w:tcPr>
          <w:p w14:paraId="42A13437" w14:textId="77777777" w:rsidR="00BB68E1" w:rsidRDefault="00BB68E1">
            <w:pPr>
              <w:rPr>
                <w:rFonts w:ascii="Times New Roman" w:hAnsi="Times New Roman"/>
                <w:sz w:val="20"/>
                <w:szCs w:val="20"/>
              </w:rPr>
            </w:pPr>
          </w:p>
        </w:tc>
        <w:tc>
          <w:tcPr>
            <w:tcW w:w="700" w:type="pct"/>
            <w:shd w:val="clear" w:color="auto" w:fill="auto"/>
            <w:vAlign w:val="center"/>
          </w:tcPr>
          <w:p w14:paraId="42A13438" w14:textId="77777777" w:rsidR="00BB68E1" w:rsidRDefault="00BB68E1">
            <w:pPr>
              <w:rPr>
                <w:rFonts w:ascii="Times New Roman" w:hAnsi="Times New Roman"/>
                <w:sz w:val="20"/>
                <w:szCs w:val="20"/>
              </w:rPr>
            </w:pPr>
          </w:p>
        </w:tc>
        <w:tc>
          <w:tcPr>
            <w:tcW w:w="50" w:type="pct"/>
            <w:shd w:val="clear" w:color="auto" w:fill="auto"/>
            <w:vAlign w:val="center"/>
          </w:tcPr>
          <w:p w14:paraId="42A13439" w14:textId="77777777" w:rsidR="00BB68E1" w:rsidRDefault="00BB68E1">
            <w:pPr>
              <w:rPr>
                <w:rFonts w:ascii="Times New Roman" w:hAnsi="Times New Roman"/>
                <w:sz w:val="20"/>
                <w:szCs w:val="20"/>
              </w:rPr>
            </w:pPr>
          </w:p>
        </w:tc>
        <w:tc>
          <w:tcPr>
            <w:tcW w:w="50" w:type="pct"/>
            <w:shd w:val="clear" w:color="auto" w:fill="auto"/>
            <w:vAlign w:val="center"/>
          </w:tcPr>
          <w:p w14:paraId="42A1343A" w14:textId="77777777" w:rsidR="00BB68E1" w:rsidRDefault="00BB68E1">
            <w:pPr>
              <w:rPr>
                <w:rFonts w:ascii="Times New Roman" w:hAnsi="Times New Roman"/>
                <w:sz w:val="20"/>
                <w:szCs w:val="20"/>
              </w:rPr>
            </w:pPr>
          </w:p>
        </w:tc>
        <w:tc>
          <w:tcPr>
            <w:tcW w:w="50" w:type="pct"/>
            <w:shd w:val="clear" w:color="auto" w:fill="auto"/>
            <w:vAlign w:val="center"/>
          </w:tcPr>
          <w:p w14:paraId="42A1343B" w14:textId="77777777" w:rsidR="00BB68E1" w:rsidRDefault="00BB68E1">
            <w:pPr>
              <w:rPr>
                <w:rFonts w:ascii="Times New Roman" w:hAnsi="Times New Roman"/>
                <w:sz w:val="20"/>
                <w:szCs w:val="20"/>
              </w:rPr>
            </w:pPr>
          </w:p>
        </w:tc>
        <w:tc>
          <w:tcPr>
            <w:tcW w:w="700" w:type="pct"/>
            <w:shd w:val="clear" w:color="auto" w:fill="auto"/>
            <w:vAlign w:val="center"/>
          </w:tcPr>
          <w:p w14:paraId="42A1343C" w14:textId="77777777" w:rsidR="00BB68E1" w:rsidRDefault="00BB68E1">
            <w:pPr>
              <w:rPr>
                <w:rFonts w:ascii="Times New Roman" w:hAnsi="Times New Roman"/>
                <w:sz w:val="20"/>
                <w:szCs w:val="20"/>
              </w:rPr>
            </w:pPr>
          </w:p>
        </w:tc>
        <w:tc>
          <w:tcPr>
            <w:tcW w:w="50" w:type="pct"/>
            <w:shd w:val="clear" w:color="auto" w:fill="auto"/>
            <w:vAlign w:val="center"/>
          </w:tcPr>
          <w:p w14:paraId="42A1343D" w14:textId="77777777" w:rsidR="00BB68E1" w:rsidRDefault="00BB68E1">
            <w:pPr>
              <w:rPr>
                <w:rFonts w:ascii="Times New Roman" w:hAnsi="Times New Roman"/>
                <w:sz w:val="20"/>
                <w:szCs w:val="20"/>
              </w:rPr>
            </w:pPr>
          </w:p>
        </w:tc>
      </w:tr>
      <w:tr w:rsidR="00BB68E1" w14:paraId="42A13444" w14:textId="77777777">
        <w:tc>
          <w:tcPr>
            <w:tcW w:w="0" w:type="auto"/>
            <w:shd w:val="clear" w:color="auto" w:fill="auto"/>
            <w:tcMar>
              <w:top w:w="40" w:type="dxa"/>
              <w:left w:w="40" w:type="dxa"/>
              <w:bottom w:w="40" w:type="dxa"/>
              <w:right w:w="40" w:type="dxa"/>
            </w:tcMar>
            <w:vAlign w:val="bottom"/>
          </w:tcPr>
          <w:p w14:paraId="42A1343F"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344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44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44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44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r>
      <w:tr w:rsidR="00BB68E1" w14:paraId="42A1344A" w14:textId="77777777">
        <w:tc>
          <w:tcPr>
            <w:tcW w:w="0" w:type="auto"/>
            <w:shd w:val="clear" w:color="auto" w:fill="auto"/>
            <w:tcMar>
              <w:top w:w="40" w:type="dxa"/>
              <w:left w:w="40" w:type="dxa"/>
              <w:bottom w:w="40" w:type="dxa"/>
              <w:right w:w="40" w:type="dxa"/>
            </w:tcMar>
            <w:vAlign w:val="bottom"/>
          </w:tcPr>
          <w:p w14:paraId="42A13445"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Fiscal Year</w:t>
            </w:r>
          </w:p>
        </w:tc>
        <w:tc>
          <w:tcPr>
            <w:tcW w:w="0" w:type="auto"/>
            <w:shd w:val="clear" w:color="auto" w:fill="auto"/>
            <w:tcMar>
              <w:top w:w="40" w:type="dxa"/>
              <w:left w:w="40" w:type="dxa"/>
              <w:bottom w:w="40" w:type="dxa"/>
              <w:right w:w="40" w:type="dxa"/>
            </w:tcMar>
            <w:vAlign w:val="bottom"/>
          </w:tcPr>
          <w:p w14:paraId="42A1344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44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Operating Leases</w:t>
            </w:r>
            <w:r>
              <w:rPr>
                <w:rFonts w:ascii="Times New Roman" w:eastAsia="宋体" w:hAnsi="Times New Roman"/>
                <w:b/>
                <w:bCs/>
                <w:sz w:val="10"/>
                <w:szCs w:val="10"/>
              </w:rPr>
              <w:t>(1)</w:t>
            </w:r>
          </w:p>
        </w:tc>
        <w:tc>
          <w:tcPr>
            <w:tcW w:w="0" w:type="auto"/>
            <w:shd w:val="clear" w:color="auto" w:fill="auto"/>
            <w:tcMar>
              <w:top w:w="40" w:type="dxa"/>
              <w:left w:w="40" w:type="dxa"/>
              <w:bottom w:w="40" w:type="dxa"/>
              <w:right w:w="40" w:type="dxa"/>
            </w:tcMar>
            <w:vAlign w:val="bottom"/>
          </w:tcPr>
          <w:p w14:paraId="42A1344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449"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Capital Lease and Financing Obligations</w:t>
            </w:r>
          </w:p>
        </w:tc>
      </w:tr>
      <w:tr w:rsidR="00BB68E1" w14:paraId="42A13454" w14:textId="77777777">
        <w:tc>
          <w:tcPr>
            <w:tcW w:w="0" w:type="auto"/>
            <w:shd w:val="clear" w:color="auto" w:fill="CCEEFF"/>
            <w:tcMar>
              <w:top w:w="40" w:type="dxa"/>
              <w:left w:w="40" w:type="dxa"/>
              <w:bottom w:w="40" w:type="dxa"/>
              <w:right w:w="40" w:type="dxa"/>
            </w:tcMar>
            <w:vAlign w:val="center"/>
          </w:tcPr>
          <w:p w14:paraId="42A1344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2020</w:t>
            </w:r>
          </w:p>
        </w:tc>
        <w:tc>
          <w:tcPr>
            <w:tcW w:w="0" w:type="auto"/>
            <w:shd w:val="clear" w:color="auto" w:fill="CCEEFF"/>
            <w:tcMar>
              <w:top w:w="40" w:type="dxa"/>
              <w:left w:w="40" w:type="dxa"/>
              <w:bottom w:w="40" w:type="dxa"/>
              <w:right w:w="40" w:type="dxa"/>
            </w:tcMar>
            <w:vAlign w:val="bottom"/>
          </w:tcPr>
          <w:p w14:paraId="42A1344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344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344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1,856</w:t>
            </w:r>
          </w:p>
        </w:tc>
        <w:tc>
          <w:tcPr>
            <w:tcW w:w="0" w:type="auto"/>
            <w:tcBorders>
              <w:top w:val="single" w:sz="8" w:space="0" w:color="000000"/>
            </w:tcBorders>
            <w:shd w:val="clear" w:color="auto" w:fill="CCEEFF"/>
            <w:vAlign w:val="bottom"/>
          </w:tcPr>
          <w:p w14:paraId="42A1344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45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345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345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917</w:t>
            </w:r>
          </w:p>
        </w:tc>
        <w:tc>
          <w:tcPr>
            <w:tcW w:w="0" w:type="auto"/>
            <w:tcBorders>
              <w:top w:val="single" w:sz="8" w:space="0" w:color="000000"/>
            </w:tcBorders>
            <w:shd w:val="clear" w:color="auto" w:fill="CCEEFF"/>
            <w:vAlign w:val="bottom"/>
          </w:tcPr>
          <w:p w14:paraId="42A13453" w14:textId="77777777" w:rsidR="00BB68E1" w:rsidRDefault="00BB68E1">
            <w:pPr>
              <w:textAlignment w:val="bottom"/>
              <w:rPr>
                <w:rFonts w:ascii="Times New Roman" w:hAnsi="Times New Roman"/>
                <w:sz w:val="20"/>
                <w:szCs w:val="20"/>
              </w:rPr>
            </w:pPr>
          </w:p>
        </w:tc>
      </w:tr>
      <w:tr w:rsidR="00BB68E1" w14:paraId="42A1345C" w14:textId="77777777">
        <w:tc>
          <w:tcPr>
            <w:tcW w:w="0" w:type="auto"/>
            <w:shd w:val="clear" w:color="auto" w:fill="auto"/>
            <w:tcMar>
              <w:top w:w="40" w:type="dxa"/>
              <w:left w:w="40" w:type="dxa"/>
              <w:bottom w:w="40" w:type="dxa"/>
              <w:right w:w="40" w:type="dxa"/>
            </w:tcMar>
            <w:vAlign w:val="center"/>
          </w:tcPr>
          <w:p w14:paraId="42A1345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2021</w:t>
            </w:r>
          </w:p>
        </w:tc>
        <w:tc>
          <w:tcPr>
            <w:tcW w:w="0" w:type="auto"/>
            <w:shd w:val="clear" w:color="auto" w:fill="auto"/>
            <w:tcMar>
              <w:top w:w="40" w:type="dxa"/>
              <w:left w:w="40" w:type="dxa"/>
              <w:bottom w:w="40" w:type="dxa"/>
              <w:right w:w="40" w:type="dxa"/>
            </w:tcMar>
            <w:vAlign w:val="bottom"/>
          </w:tcPr>
          <w:p w14:paraId="42A1345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45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1,655</w:t>
            </w:r>
          </w:p>
        </w:tc>
        <w:tc>
          <w:tcPr>
            <w:tcW w:w="0" w:type="auto"/>
            <w:shd w:val="clear" w:color="auto" w:fill="auto"/>
            <w:vAlign w:val="bottom"/>
          </w:tcPr>
          <w:p w14:paraId="42A1345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45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45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856</w:t>
            </w:r>
          </w:p>
        </w:tc>
        <w:tc>
          <w:tcPr>
            <w:tcW w:w="0" w:type="auto"/>
            <w:shd w:val="clear" w:color="auto" w:fill="auto"/>
            <w:vAlign w:val="bottom"/>
          </w:tcPr>
          <w:p w14:paraId="42A1345B" w14:textId="77777777" w:rsidR="00BB68E1" w:rsidRDefault="00BB68E1">
            <w:pPr>
              <w:textAlignment w:val="bottom"/>
              <w:rPr>
                <w:rFonts w:ascii="Times New Roman" w:hAnsi="Times New Roman"/>
                <w:sz w:val="20"/>
                <w:szCs w:val="20"/>
              </w:rPr>
            </w:pPr>
          </w:p>
        </w:tc>
      </w:tr>
      <w:tr w:rsidR="00BB68E1" w14:paraId="42A13464" w14:textId="77777777">
        <w:tc>
          <w:tcPr>
            <w:tcW w:w="0" w:type="auto"/>
            <w:shd w:val="clear" w:color="auto" w:fill="CCEEFF"/>
            <w:tcMar>
              <w:top w:w="40" w:type="dxa"/>
              <w:left w:w="40" w:type="dxa"/>
              <w:bottom w:w="40" w:type="dxa"/>
              <w:right w:w="40" w:type="dxa"/>
            </w:tcMar>
            <w:vAlign w:val="center"/>
          </w:tcPr>
          <w:p w14:paraId="42A1345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2022</w:t>
            </w:r>
          </w:p>
        </w:tc>
        <w:tc>
          <w:tcPr>
            <w:tcW w:w="0" w:type="auto"/>
            <w:shd w:val="clear" w:color="auto" w:fill="CCEEFF"/>
            <w:tcMar>
              <w:top w:w="40" w:type="dxa"/>
              <w:left w:w="40" w:type="dxa"/>
              <w:bottom w:w="40" w:type="dxa"/>
              <w:right w:w="40" w:type="dxa"/>
            </w:tcMar>
            <w:vAlign w:val="bottom"/>
          </w:tcPr>
          <w:p w14:paraId="42A1345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45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1,420</w:t>
            </w:r>
          </w:p>
        </w:tc>
        <w:tc>
          <w:tcPr>
            <w:tcW w:w="0" w:type="auto"/>
            <w:shd w:val="clear" w:color="auto" w:fill="CCEEFF"/>
            <w:vAlign w:val="bottom"/>
          </w:tcPr>
          <w:p w14:paraId="42A1346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46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46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794</w:t>
            </w:r>
          </w:p>
        </w:tc>
        <w:tc>
          <w:tcPr>
            <w:tcW w:w="0" w:type="auto"/>
            <w:shd w:val="clear" w:color="auto" w:fill="CCEEFF"/>
            <w:vAlign w:val="bottom"/>
          </w:tcPr>
          <w:p w14:paraId="42A13463" w14:textId="77777777" w:rsidR="00BB68E1" w:rsidRDefault="00BB68E1">
            <w:pPr>
              <w:textAlignment w:val="bottom"/>
              <w:rPr>
                <w:rFonts w:ascii="Times New Roman" w:hAnsi="Times New Roman"/>
                <w:sz w:val="20"/>
                <w:szCs w:val="20"/>
              </w:rPr>
            </w:pPr>
          </w:p>
        </w:tc>
      </w:tr>
      <w:tr w:rsidR="00BB68E1" w14:paraId="42A1346C" w14:textId="77777777">
        <w:tc>
          <w:tcPr>
            <w:tcW w:w="0" w:type="auto"/>
            <w:shd w:val="clear" w:color="auto" w:fill="auto"/>
            <w:tcMar>
              <w:top w:w="40" w:type="dxa"/>
              <w:left w:w="40" w:type="dxa"/>
              <w:bottom w:w="40" w:type="dxa"/>
              <w:right w:w="40" w:type="dxa"/>
            </w:tcMar>
            <w:vAlign w:val="center"/>
          </w:tcPr>
          <w:p w14:paraId="42A1346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2023</w:t>
            </w:r>
          </w:p>
        </w:tc>
        <w:tc>
          <w:tcPr>
            <w:tcW w:w="0" w:type="auto"/>
            <w:shd w:val="clear" w:color="auto" w:fill="auto"/>
            <w:tcMar>
              <w:top w:w="40" w:type="dxa"/>
              <w:left w:w="40" w:type="dxa"/>
              <w:bottom w:w="40" w:type="dxa"/>
              <w:right w:w="40" w:type="dxa"/>
            </w:tcMar>
            <w:vAlign w:val="bottom"/>
          </w:tcPr>
          <w:p w14:paraId="42A1346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46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1,233</w:t>
            </w:r>
          </w:p>
        </w:tc>
        <w:tc>
          <w:tcPr>
            <w:tcW w:w="0" w:type="auto"/>
            <w:shd w:val="clear" w:color="auto" w:fill="auto"/>
            <w:vAlign w:val="bottom"/>
          </w:tcPr>
          <w:p w14:paraId="42A1346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46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46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667</w:t>
            </w:r>
          </w:p>
        </w:tc>
        <w:tc>
          <w:tcPr>
            <w:tcW w:w="0" w:type="auto"/>
            <w:shd w:val="clear" w:color="auto" w:fill="auto"/>
            <w:vAlign w:val="bottom"/>
          </w:tcPr>
          <w:p w14:paraId="42A1346B" w14:textId="77777777" w:rsidR="00BB68E1" w:rsidRDefault="00BB68E1">
            <w:pPr>
              <w:textAlignment w:val="bottom"/>
              <w:rPr>
                <w:rFonts w:ascii="Times New Roman" w:hAnsi="Times New Roman"/>
                <w:sz w:val="20"/>
                <w:szCs w:val="20"/>
              </w:rPr>
            </w:pPr>
          </w:p>
        </w:tc>
      </w:tr>
      <w:tr w:rsidR="00BB68E1" w14:paraId="42A13474" w14:textId="77777777">
        <w:tc>
          <w:tcPr>
            <w:tcW w:w="0" w:type="auto"/>
            <w:shd w:val="clear" w:color="auto" w:fill="CCEEFF"/>
            <w:tcMar>
              <w:top w:w="40" w:type="dxa"/>
              <w:left w:w="40" w:type="dxa"/>
              <w:bottom w:w="40" w:type="dxa"/>
              <w:right w:w="40" w:type="dxa"/>
            </w:tcMar>
            <w:vAlign w:val="center"/>
          </w:tcPr>
          <w:p w14:paraId="42A1346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2024</w:t>
            </w:r>
          </w:p>
        </w:tc>
        <w:tc>
          <w:tcPr>
            <w:tcW w:w="0" w:type="auto"/>
            <w:shd w:val="clear" w:color="auto" w:fill="CCEEFF"/>
            <w:tcMar>
              <w:top w:w="40" w:type="dxa"/>
              <w:left w:w="40" w:type="dxa"/>
              <w:bottom w:w="40" w:type="dxa"/>
              <w:right w:w="40" w:type="dxa"/>
            </w:tcMar>
            <w:vAlign w:val="bottom"/>
          </w:tcPr>
          <w:p w14:paraId="42A134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46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1,063</w:t>
            </w:r>
          </w:p>
        </w:tc>
        <w:tc>
          <w:tcPr>
            <w:tcW w:w="0" w:type="auto"/>
            <w:shd w:val="clear" w:color="auto" w:fill="CCEEFF"/>
            <w:vAlign w:val="bottom"/>
          </w:tcPr>
          <w:p w14:paraId="42A1347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47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47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593</w:t>
            </w:r>
          </w:p>
        </w:tc>
        <w:tc>
          <w:tcPr>
            <w:tcW w:w="0" w:type="auto"/>
            <w:shd w:val="clear" w:color="auto" w:fill="CCEEFF"/>
            <w:vAlign w:val="bottom"/>
          </w:tcPr>
          <w:p w14:paraId="42A13473" w14:textId="77777777" w:rsidR="00BB68E1" w:rsidRDefault="00BB68E1">
            <w:pPr>
              <w:textAlignment w:val="bottom"/>
              <w:rPr>
                <w:rFonts w:ascii="Times New Roman" w:hAnsi="Times New Roman"/>
                <w:sz w:val="20"/>
                <w:szCs w:val="20"/>
              </w:rPr>
            </w:pPr>
          </w:p>
        </w:tc>
      </w:tr>
      <w:tr w:rsidR="00BB68E1" w14:paraId="42A1347C" w14:textId="77777777">
        <w:tc>
          <w:tcPr>
            <w:tcW w:w="0" w:type="auto"/>
            <w:shd w:val="clear" w:color="auto" w:fill="auto"/>
            <w:tcMar>
              <w:top w:w="40" w:type="dxa"/>
              <w:left w:w="40" w:type="dxa"/>
              <w:bottom w:w="40" w:type="dxa"/>
              <w:right w:w="40" w:type="dxa"/>
            </w:tcMar>
            <w:vAlign w:val="center"/>
          </w:tcPr>
          <w:p w14:paraId="42A1347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Thereafter</w:t>
            </w:r>
          </w:p>
        </w:tc>
        <w:tc>
          <w:tcPr>
            <w:tcW w:w="0" w:type="auto"/>
            <w:shd w:val="clear" w:color="auto" w:fill="auto"/>
            <w:tcMar>
              <w:top w:w="40" w:type="dxa"/>
              <w:left w:w="40" w:type="dxa"/>
              <w:bottom w:w="40" w:type="dxa"/>
              <w:right w:w="40" w:type="dxa"/>
            </w:tcMar>
            <w:vAlign w:val="bottom"/>
          </w:tcPr>
          <w:p w14:paraId="42A1347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47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6,891</w:t>
            </w:r>
          </w:p>
        </w:tc>
        <w:tc>
          <w:tcPr>
            <w:tcW w:w="0" w:type="auto"/>
            <w:shd w:val="clear" w:color="auto" w:fill="auto"/>
            <w:vAlign w:val="bottom"/>
          </w:tcPr>
          <w:p w14:paraId="42A1347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47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47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6,069</w:t>
            </w:r>
          </w:p>
        </w:tc>
        <w:tc>
          <w:tcPr>
            <w:tcW w:w="0" w:type="auto"/>
            <w:shd w:val="clear" w:color="auto" w:fill="auto"/>
            <w:vAlign w:val="bottom"/>
          </w:tcPr>
          <w:p w14:paraId="42A1347B" w14:textId="77777777" w:rsidR="00BB68E1" w:rsidRDefault="00BB68E1">
            <w:pPr>
              <w:textAlignment w:val="bottom"/>
              <w:rPr>
                <w:rFonts w:ascii="Times New Roman" w:hAnsi="Times New Roman"/>
                <w:sz w:val="20"/>
                <w:szCs w:val="20"/>
              </w:rPr>
            </w:pPr>
          </w:p>
        </w:tc>
      </w:tr>
      <w:tr w:rsidR="00BB68E1" w14:paraId="42A13484" w14:textId="77777777">
        <w:tc>
          <w:tcPr>
            <w:tcW w:w="0" w:type="auto"/>
            <w:shd w:val="clear" w:color="auto" w:fill="CCEEFF"/>
            <w:tcMar>
              <w:top w:w="40" w:type="dxa"/>
              <w:left w:w="40" w:type="dxa"/>
              <w:bottom w:w="40" w:type="dxa"/>
              <w:right w:w="40" w:type="dxa"/>
            </w:tcMar>
            <w:vAlign w:val="center"/>
          </w:tcPr>
          <w:p w14:paraId="42A1347D"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minimum rentals</w:t>
            </w:r>
          </w:p>
        </w:tc>
        <w:tc>
          <w:tcPr>
            <w:tcW w:w="0" w:type="auto"/>
            <w:shd w:val="clear" w:color="auto" w:fill="CCEEFF"/>
            <w:tcMar>
              <w:top w:w="40" w:type="dxa"/>
              <w:left w:w="40" w:type="dxa"/>
              <w:bottom w:w="40" w:type="dxa"/>
              <w:right w:w="40" w:type="dxa"/>
            </w:tcMar>
            <w:vAlign w:val="bottom"/>
          </w:tcPr>
          <w:p w14:paraId="42A1347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2A1347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14,118</w:t>
            </w:r>
          </w:p>
        </w:tc>
        <w:tc>
          <w:tcPr>
            <w:tcW w:w="0" w:type="auto"/>
            <w:tcBorders>
              <w:top w:val="single" w:sz="8" w:space="0" w:color="000000"/>
            </w:tcBorders>
            <w:shd w:val="clear" w:color="auto" w:fill="CCEEFF"/>
            <w:vAlign w:val="bottom"/>
          </w:tcPr>
          <w:p w14:paraId="42A1348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4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2A1348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9,896</w:t>
            </w:r>
          </w:p>
        </w:tc>
        <w:tc>
          <w:tcPr>
            <w:tcW w:w="0" w:type="auto"/>
            <w:tcBorders>
              <w:top w:val="single" w:sz="8" w:space="0" w:color="000000"/>
            </w:tcBorders>
            <w:shd w:val="clear" w:color="auto" w:fill="CCEEFF"/>
            <w:vAlign w:val="bottom"/>
          </w:tcPr>
          <w:p w14:paraId="42A13483" w14:textId="77777777" w:rsidR="00BB68E1" w:rsidRDefault="00BB68E1">
            <w:pPr>
              <w:textAlignment w:val="bottom"/>
              <w:rPr>
                <w:rFonts w:ascii="Times New Roman" w:hAnsi="Times New Roman"/>
                <w:sz w:val="20"/>
                <w:szCs w:val="20"/>
              </w:rPr>
            </w:pPr>
          </w:p>
        </w:tc>
      </w:tr>
      <w:tr w:rsidR="00BB68E1" w14:paraId="42A1348B" w14:textId="77777777">
        <w:tc>
          <w:tcPr>
            <w:tcW w:w="0" w:type="auto"/>
            <w:shd w:val="clear" w:color="auto" w:fill="auto"/>
            <w:tcMar>
              <w:top w:w="40" w:type="dxa"/>
              <w:left w:w="40" w:type="dxa"/>
              <w:bottom w:w="40" w:type="dxa"/>
              <w:right w:w="40" w:type="dxa"/>
            </w:tcMar>
            <w:vAlign w:val="center"/>
          </w:tcPr>
          <w:p w14:paraId="42A1348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Less estimated executory costs</w:t>
            </w:r>
          </w:p>
        </w:tc>
        <w:tc>
          <w:tcPr>
            <w:tcW w:w="0" w:type="auto"/>
            <w:shd w:val="clear" w:color="auto" w:fill="auto"/>
            <w:tcMar>
              <w:top w:w="40" w:type="dxa"/>
              <w:left w:w="40" w:type="dxa"/>
              <w:bottom w:w="40" w:type="dxa"/>
              <w:right w:w="40" w:type="dxa"/>
            </w:tcMar>
            <w:vAlign w:val="bottom"/>
          </w:tcPr>
          <w:p w14:paraId="42A134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4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48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348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w:t>
            </w:r>
          </w:p>
        </w:tc>
        <w:tc>
          <w:tcPr>
            <w:tcW w:w="0" w:type="auto"/>
            <w:tcBorders>
              <w:bottom w:val="single" w:sz="8" w:space="0" w:color="000000"/>
            </w:tcBorders>
            <w:shd w:val="clear" w:color="auto" w:fill="auto"/>
            <w:vAlign w:val="bottom"/>
          </w:tcPr>
          <w:p w14:paraId="42A1348A" w14:textId="77777777" w:rsidR="00BB68E1" w:rsidRDefault="00BB68E1">
            <w:pPr>
              <w:textAlignment w:val="bottom"/>
              <w:rPr>
                <w:rFonts w:ascii="Times New Roman" w:hAnsi="Times New Roman"/>
                <w:sz w:val="20"/>
                <w:szCs w:val="20"/>
              </w:rPr>
            </w:pPr>
          </w:p>
        </w:tc>
      </w:tr>
      <w:tr w:rsidR="00BB68E1" w14:paraId="42A13492" w14:textId="77777777">
        <w:tc>
          <w:tcPr>
            <w:tcW w:w="0" w:type="auto"/>
            <w:shd w:val="clear" w:color="auto" w:fill="CCEEFF"/>
            <w:tcMar>
              <w:top w:w="40" w:type="dxa"/>
              <w:left w:w="40" w:type="dxa"/>
              <w:bottom w:w="40" w:type="dxa"/>
              <w:right w:w="40" w:type="dxa"/>
            </w:tcMar>
            <w:vAlign w:val="center"/>
          </w:tcPr>
          <w:p w14:paraId="42A1348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Net minimum lease payments</w:t>
            </w:r>
          </w:p>
        </w:tc>
        <w:tc>
          <w:tcPr>
            <w:tcW w:w="0" w:type="auto"/>
            <w:shd w:val="clear" w:color="auto" w:fill="CCEEFF"/>
            <w:tcMar>
              <w:top w:w="40" w:type="dxa"/>
              <w:left w:w="40" w:type="dxa"/>
              <w:bottom w:w="40" w:type="dxa"/>
              <w:right w:w="40" w:type="dxa"/>
            </w:tcMar>
            <w:vAlign w:val="bottom"/>
          </w:tcPr>
          <w:p w14:paraId="42A1348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48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48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49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9,873</w:t>
            </w:r>
          </w:p>
        </w:tc>
        <w:tc>
          <w:tcPr>
            <w:tcW w:w="0" w:type="auto"/>
            <w:shd w:val="clear" w:color="auto" w:fill="CCEEFF"/>
            <w:vAlign w:val="bottom"/>
          </w:tcPr>
          <w:p w14:paraId="42A13491" w14:textId="77777777" w:rsidR="00BB68E1" w:rsidRDefault="00BB68E1">
            <w:pPr>
              <w:textAlignment w:val="bottom"/>
              <w:rPr>
                <w:rFonts w:ascii="Times New Roman" w:hAnsi="Times New Roman"/>
                <w:sz w:val="20"/>
                <w:szCs w:val="20"/>
              </w:rPr>
            </w:pPr>
          </w:p>
        </w:tc>
      </w:tr>
      <w:tr w:rsidR="00BB68E1" w14:paraId="42A13499" w14:textId="77777777">
        <w:tc>
          <w:tcPr>
            <w:tcW w:w="0" w:type="auto"/>
            <w:shd w:val="clear" w:color="auto" w:fill="auto"/>
            <w:tcMar>
              <w:top w:w="40" w:type="dxa"/>
              <w:left w:w="40" w:type="dxa"/>
              <w:bottom w:w="40" w:type="dxa"/>
              <w:right w:w="40" w:type="dxa"/>
            </w:tcMar>
            <w:vAlign w:val="center"/>
          </w:tcPr>
          <w:p w14:paraId="42A1349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Financing obligation noncash gains and other</w:t>
            </w:r>
          </w:p>
        </w:tc>
        <w:tc>
          <w:tcPr>
            <w:tcW w:w="0" w:type="auto"/>
            <w:shd w:val="clear" w:color="auto" w:fill="auto"/>
            <w:tcMar>
              <w:top w:w="40" w:type="dxa"/>
              <w:left w:w="40" w:type="dxa"/>
              <w:bottom w:w="40" w:type="dxa"/>
              <w:right w:w="40" w:type="dxa"/>
            </w:tcMar>
            <w:vAlign w:val="bottom"/>
          </w:tcPr>
          <w:p w14:paraId="42A1349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49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49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49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2,278</w:t>
            </w:r>
          </w:p>
        </w:tc>
        <w:tc>
          <w:tcPr>
            <w:tcW w:w="0" w:type="auto"/>
            <w:shd w:val="clear" w:color="auto" w:fill="auto"/>
            <w:vAlign w:val="bottom"/>
          </w:tcPr>
          <w:p w14:paraId="42A13498" w14:textId="77777777" w:rsidR="00BB68E1" w:rsidRDefault="00BB68E1">
            <w:pPr>
              <w:textAlignment w:val="bottom"/>
              <w:rPr>
                <w:rFonts w:ascii="Times New Roman" w:hAnsi="Times New Roman"/>
                <w:sz w:val="20"/>
                <w:szCs w:val="20"/>
              </w:rPr>
            </w:pPr>
          </w:p>
        </w:tc>
      </w:tr>
      <w:tr w:rsidR="00BB68E1" w14:paraId="42A134A0" w14:textId="77777777">
        <w:tc>
          <w:tcPr>
            <w:tcW w:w="0" w:type="auto"/>
            <w:shd w:val="clear" w:color="auto" w:fill="CCEEFF"/>
            <w:tcMar>
              <w:top w:w="40" w:type="dxa"/>
              <w:left w:w="40" w:type="dxa"/>
              <w:bottom w:w="40" w:type="dxa"/>
              <w:right w:w="40" w:type="dxa"/>
            </w:tcMar>
            <w:vAlign w:val="center"/>
          </w:tcPr>
          <w:p w14:paraId="42A1349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Less imputed </w:t>
            </w:r>
            <w:r>
              <w:rPr>
                <w:rFonts w:ascii="Times New Roman" w:eastAsia="宋体" w:hAnsi="Times New Roman"/>
                <w:sz w:val="16"/>
                <w:szCs w:val="16"/>
              </w:rPr>
              <w:t>interest</w:t>
            </w:r>
          </w:p>
        </w:tc>
        <w:tc>
          <w:tcPr>
            <w:tcW w:w="0" w:type="auto"/>
            <w:shd w:val="clear" w:color="auto" w:fill="CCEEFF"/>
            <w:tcMar>
              <w:top w:w="40" w:type="dxa"/>
              <w:left w:w="40" w:type="dxa"/>
              <w:bottom w:w="40" w:type="dxa"/>
              <w:right w:w="40" w:type="dxa"/>
            </w:tcMar>
            <w:vAlign w:val="bottom"/>
          </w:tcPr>
          <w:p w14:paraId="42A1349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49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49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49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(4,739</w:t>
            </w:r>
          </w:p>
        </w:tc>
        <w:tc>
          <w:tcPr>
            <w:tcW w:w="0" w:type="auto"/>
            <w:shd w:val="clear" w:color="auto" w:fill="CCEEFF"/>
            <w:tcMar>
              <w:top w:w="40" w:type="dxa"/>
              <w:bottom w:w="40" w:type="dxa"/>
              <w:right w:w="40" w:type="dxa"/>
            </w:tcMar>
            <w:vAlign w:val="center"/>
          </w:tcPr>
          <w:p w14:paraId="42A1349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4A8" w14:textId="77777777">
        <w:tc>
          <w:tcPr>
            <w:tcW w:w="0" w:type="auto"/>
            <w:shd w:val="clear" w:color="auto" w:fill="auto"/>
            <w:tcMar>
              <w:top w:w="40" w:type="dxa"/>
              <w:left w:w="40" w:type="dxa"/>
              <w:bottom w:w="40" w:type="dxa"/>
              <w:right w:w="40" w:type="dxa"/>
            </w:tcMar>
            <w:vAlign w:val="center"/>
          </w:tcPr>
          <w:p w14:paraId="42A134A1"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Present value of minimum lease payments</w:t>
            </w:r>
          </w:p>
        </w:tc>
        <w:tc>
          <w:tcPr>
            <w:tcW w:w="0" w:type="auto"/>
            <w:shd w:val="clear" w:color="auto" w:fill="auto"/>
            <w:tcMar>
              <w:top w:w="40" w:type="dxa"/>
              <w:left w:w="40" w:type="dxa"/>
              <w:bottom w:w="40" w:type="dxa"/>
              <w:right w:w="40" w:type="dxa"/>
            </w:tcMar>
            <w:vAlign w:val="bottom"/>
          </w:tcPr>
          <w:p w14:paraId="42A134A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4A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4A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34A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34A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7,412</w:t>
            </w:r>
          </w:p>
        </w:tc>
        <w:tc>
          <w:tcPr>
            <w:tcW w:w="0" w:type="auto"/>
            <w:tcBorders>
              <w:top w:val="single" w:sz="8" w:space="0" w:color="000000"/>
              <w:bottom w:val="double" w:sz="6" w:space="0" w:color="000000"/>
            </w:tcBorders>
            <w:shd w:val="clear" w:color="auto" w:fill="auto"/>
            <w:vAlign w:val="bottom"/>
          </w:tcPr>
          <w:p w14:paraId="42A134A7" w14:textId="77777777" w:rsidR="00BB68E1" w:rsidRDefault="00BB68E1">
            <w:pPr>
              <w:textAlignment w:val="bottom"/>
              <w:rPr>
                <w:rFonts w:ascii="Times New Roman" w:hAnsi="Times New Roman"/>
                <w:sz w:val="20"/>
                <w:szCs w:val="20"/>
              </w:rPr>
            </w:pPr>
          </w:p>
        </w:tc>
      </w:tr>
    </w:tbl>
    <w:p w14:paraId="42A134A9"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BB68E1" w14:paraId="42A134AC" w14:textId="77777777">
        <w:trPr>
          <w:tblCellSpacing w:w="0" w:type="dxa"/>
        </w:trPr>
        <w:tc>
          <w:tcPr>
            <w:tcW w:w="480" w:type="dxa"/>
            <w:shd w:val="clear" w:color="auto" w:fill="auto"/>
            <w:vAlign w:val="center"/>
          </w:tcPr>
          <w:p w14:paraId="42A134AA" w14:textId="77777777" w:rsidR="00BB68E1" w:rsidRDefault="00BB68E1">
            <w:pPr>
              <w:rPr>
                <w:rFonts w:ascii="Times New Roman" w:hAnsi="Times New Roman"/>
                <w:sz w:val="20"/>
                <w:szCs w:val="20"/>
              </w:rPr>
            </w:pPr>
          </w:p>
        </w:tc>
        <w:tc>
          <w:tcPr>
            <w:tcW w:w="0" w:type="auto"/>
            <w:shd w:val="clear" w:color="auto" w:fill="auto"/>
            <w:vAlign w:val="center"/>
          </w:tcPr>
          <w:p w14:paraId="42A134AB" w14:textId="77777777" w:rsidR="00BB68E1" w:rsidRDefault="00BB68E1">
            <w:pPr>
              <w:rPr>
                <w:rFonts w:ascii="Times New Roman" w:hAnsi="Times New Roman"/>
                <w:sz w:val="20"/>
                <w:szCs w:val="20"/>
              </w:rPr>
            </w:pPr>
          </w:p>
        </w:tc>
      </w:tr>
      <w:tr w:rsidR="00BB68E1" w14:paraId="42A134AF" w14:textId="77777777">
        <w:trPr>
          <w:tblCellSpacing w:w="0" w:type="dxa"/>
        </w:trPr>
        <w:tc>
          <w:tcPr>
            <w:tcW w:w="0" w:type="auto"/>
            <w:shd w:val="clear" w:color="auto" w:fill="auto"/>
          </w:tcPr>
          <w:p w14:paraId="42A134AD"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 xml:space="preserve">(1) </w:t>
            </w:r>
          </w:p>
        </w:tc>
        <w:tc>
          <w:tcPr>
            <w:tcW w:w="0" w:type="auto"/>
            <w:shd w:val="clear" w:color="auto" w:fill="auto"/>
          </w:tcPr>
          <w:p w14:paraId="42A134AE"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Represents minimum contractual obligation for non-cancelable leases with initial or remaining terms greater than 12 months as of January 31, 2019.</w:t>
            </w:r>
          </w:p>
        </w:tc>
      </w:tr>
    </w:tbl>
    <w:p w14:paraId="42A134B0"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 xml:space="preserve">Note 8. Fair </w:t>
      </w:r>
      <w:r>
        <w:rPr>
          <w:rFonts w:ascii="Times New Roman" w:eastAsia="宋体" w:hAnsi="Times New Roman"/>
          <w:b/>
          <w:bCs/>
          <w:sz w:val="20"/>
          <w:szCs w:val="20"/>
        </w:rPr>
        <w:t>Value Measurements</w:t>
      </w:r>
    </w:p>
    <w:p w14:paraId="42A134B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Assets and liabilities recorded at fair value are measured using the fair value hierarchy, which prioritizes the inputs used in measuring fair value. The levels of the fair value hierarchy are:</w:t>
      </w:r>
    </w:p>
    <w:tbl>
      <w:tblPr>
        <w:tblW w:w="0" w:type="auto"/>
        <w:tblCellSpacing w:w="0" w:type="dxa"/>
        <w:tblCellMar>
          <w:left w:w="0" w:type="dxa"/>
          <w:right w:w="0" w:type="dxa"/>
        </w:tblCellMar>
        <w:tblLook w:val="04A0" w:firstRow="1" w:lastRow="0" w:firstColumn="1" w:lastColumn="0" w:noHBand="0" w:noVBand="1"/>
      </w:tblPr>
      <w:tblGrid>
        <w:gridCol w:w="1440"/>
        <w:gridCol w:w="5343"/>
      </w:tblGrid>
      <w:tr w:rsidR="00BB68E1" w14:paraId="42A134B4" w14:textId="77777777">
        <w:trPr>
          <w:tblCellSpacing w:w="0" w:type="dxa"/>
        </w:trPr>
        <w:tc>
          <w:tcPr>
            <w:tcW w:w="1440" w:type="dxa"/>
            <w:shd w:val="clear" w:color="auto" w:fill="auto"/>
            <w:vAlign w:val="center"/>
          </w:tcPr>
          <w:p w14:paraId="42A134B2" w14:textId="77777777" w:rsidR="00BB68E1" w:rsidRDefault="00BB68E1">
            <w:pPr>
              <w:rPr>
                <w:rFonts w:ascii="Times New Roman" w:hAnsi="Times New Roman"/>
                <w:sz w:val="20"/>
                <w:szCs w:val="20"/>
              </w:rPr>
            </w:pPr>
          </w:p>
        </w:tc>
        <w:tc>
          <w:tcPr>
            <w:tcW w:w="0" w:type="auto"/>
            <w:shd w:val="clear" w:color="auto" w:fill="auto"/>
            <w:vAlign w:val="center"/>
          </w:tcPr>
          <w:p w14:paraId="42A134B3" w14:textId="77777777" w:rsidR="00BB68E1" w:rsidRDefault="00BB68E1">
            <w:pPr>
              <w:rPr>
                <w:rFonts w:ascii="Times New Roman" w:hAnsi="Times New Roman"/>
                <w:sz w:val="20"/>
                <w:szCs w:val="20"/>
              </w:rPr>
            </w:pPr>
          </w:p>
        </w:tc>
      </w:tr>
      <w:tr w:rsidR="00BB68E1" w14:paraId="42A134B7" w14:textId="77777777">
        <w:trPr>
          <w:tblCellSpacing w:w="0" w:type="dxa"/>
        </w:trPr>
        <w:tc>
          <w:tcPr>
            <w:tcW w:w="0" w:type="auto"/>
            <w:shd w:val="clear" w:color="auto" w:fill="auto"/>
          </w:tcPr>
          <w:p w14:paraId="42A134B5"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34B6"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Level 1: observable inputs such as quo</w:t>
            </w:r>
            <w:r>
              <w:rPr>
                <w:rFonts w:ascii="Times New Roman" w:eastAsia="宋体" w:hAnsi="Times New Roman"/>
                <w:sz w:val="20"/>
                <w:szCs w:val="20"/>
              </w:rPr>
              <w:t>ted prices in active markets;</w:t>
            </w:r>
          </w:p>
        </w:tc>
      </w:tr>
    </w:tbl>
    <w:p w14:paraId="42A134B8"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BB68E1" w14:paraId="42A134BB" w14:textId="77777777">
        <w:trPr>
          <w:tblCellSpacing w:w="0" w:type="dxa"/>
        </w:trPr>
        <w:tc>
          <w:tcPr>
            <w:tcW w:w="1440" w:type="dxa"/>
            <w:shd w:val="clear" w:color="auto" w:fill="auto"/>
            <w:vAlign w:val="center"/>
          </w:tcPr>
          <w:p w14:paraId="42A134B9" w14:textId="77777777" w:rsidR="00BB68E1" w:rsidRDefault="00BB68E1">
            <w:pPr>
              <w:rPr>
                <w:rFonts w:ascii="Times New Roman" w:hAnsi="Times New Roman"/>
                <w:sz w:val="20"/>
                <w:szCs w:val="20"/>
              </w:rPr>
            </w:pPr>
          </w:p>
        </w:tc>
        <w:tc>
          <w:tcPr>
            <w:tcW w:w="0" w:type="auto"/>
            <w:shd w:val="clear" w:color="auto" w:fill="auto"/>
            <w:vAlign w:val="center"/>
          </w:tcPr>
          <w:p w14:paraId="42A134BA" w14:textId="77777777" w:rsidR="00BB68E1" w:rsidRDefault="00BB68E1">
            <w:pPr>
              <w:rPr>
                <w:rFonts w:ascii="Times New Roman" w:hAnsi="Times New Roman"/>
                <w:sz w:val="20"/>
                <w:szCs w:val="20"/>
              </w:rPr>
            </w:pPr>
          </w:p>
        </w:tc>
      </w:tr>
      <w:tr w:rsidR="00BB68E1" w14:paraId="42A134BE" w14:textId="77777777">
        <w:trPr>
          <w:tblCellSpacing w:w="0" w:type="dxa"/>
        </w:trPr>
        <w:tc>
          <w:tcPr>
            <w:tcW w:w="0" w:type="auto"/>
            <w:shd w:val="clear" w:color="auto" w:fill="auto"/>
          </w:tcPr>
          <w:p w14:paraId="42A134BC"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34BD"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Level 2: inputs other than quoted prices in active markets that are either directly or indirectly observable; and</w:t>
            </w:r>
          </w:p>
        </w:tc>
      </w:tr>
    </w:tbl>
    <w:p w14:paraId="42A134BF"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BB68E1" w14:paraId="42A134C2" w14:textId="77777777">
        <w:trPr>
          <w:tblCellSpacing w:w="0" w:type="dxa"/>
        </w:trPr>
        <w:tc>
          <w:tcPr>
            <w:tcW w:w="1440" w:type="dxa"/>
            <w:shd w:val="clear" w:color="auto" w:fill="auto"/>
            <w:vAlign w:val="center"/>
          </w:tcPr>
          <w:p w14:paraId="42A134C0" w14:textId="77777777" w:rsidR="00BB68E1" w:rsidRDefault="00BB68E1">
            <w:pPr>
              <w:rPr>
                <w:rFonts w:ascii="Times New Roman" w:hAnsi="Times New Roman"/>
                <w:sz w:val="20"/>
                <w:szCs w:val="20"/>
              </w:rPr>
            </w:pPr>
          </w:p>
        </w:tc>
        <w:tc>
          <w:tcPr>
            <w:tcW w:w="0" w:type="auto"/>
            <w:shd w:val="clear" w:color="auto" w:fill="auto"/>
            <w:vAlign w:val="center"/>
          </w:tcPr>
          <w:p w14:paraId="42A134C1" w14:textId="77777777" w:rsidR="00BB68E1" w:rsidRDefault="00BB68E1">
            <w:pPr>
              <w:rPr>
                <w:rFonts w:ascii="Times New Roman" w:hAnsi="Times New Roman"/>
                <w:sz w:val="20"/>
                <w:szCs w:val="20"/>
              </w:rPr>
            </w:pPr>
          </w:p>
        </w:tc>
      </w:tr>
      <w:tr w:rsidR="00BB68E1" w14:paraId="42A134C5" w14:textId="77777777">
        <w:trPr>
          <w:tblCellSpacing w:w="0" w:type="dxa"/>
        </w:trPr>
        <w:tc>
          <w:tcPr>
            <w:tcW w:w="0" w:type="auto"/>
            <w:shd w:val="clear" w:color="auto" w:fill="auto"/>
          </w:tcPr>
          <w:p w14:paraId="42A134C3"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34C4"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Level 3: unobservable inputs for which little or no market data exists, therefore </w:t>
            </w:r>
            <w:r>
              <w:rPr>
                <w:rFonts w:ascii="Times New Roman" w:eastAsia="宋体" w:hAnsi="Times New Roman"/>
                <w:sz w:val="20"/>
                <w:szCs w:val="20"/>
              </w:rPr>
              <w:t>requiring the Company to develop its own assumptions.</w:t>
            </w:r>
          </w:p>
        </w:tc>
      </w:tr>
    </w:tbl>
    <w:p w14:paraId="42A134C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measures the fair value of equity investments (primarily its investment in JD) on a recurring basis and records them in other long-term assets in the accompanying Consolidated Balance Sheet</w:t>
      </w:r>
      <w:r>
        <w:rPr>
          <w:rFonts w:ascii="Times New Roman" w:eastAsia="宋体" w:hAnsi="Times New Roman"/>
          <w:sz w:val="20"/>
          <w:szCs w:val="20"/>
        </w:rPr>
        <w:t xml:space="preserve">s. Measurement details about the Company's two portions of the investment in JD are as follows: </w:t>
      </w:r>
    </w:p>
    <w:tbl>
      <w:tblPr>
        <w:tblW w:w="0" w:type="auto"/>
        <w:tblCellSpacing w:w="0" w:type="dxa"/>
        <w:tblCellMar>
          <w:left w:w="0" w:type="dxa"/>
          <w:right w:w="0" w:type="dxa"/>
        </w:tblCellMar>
        <w:tblLook w:val="04A0" w:firstRow="1" w:lastRow="0" w:firstColumn="1" w:lastColumn="0" w:noHBand="0" w:noVBand="1"/>
      </w:tblPr>
      <w:tblGrid>
        <w:gridCol w:w="960"/>
        <w:gridCol w:w="6444"/>
      </w:tblGrid>
      <w:tr w:rsidR="00BB68E1" w14:paraId="42A134C9" w14:textId="77777777">
        <w:trPr>
          <w:tblCellSpacing w:w="0" w:type="dxa"/>
        </w:trPr>
        <w:tc>
          <w:tcPr>
            <w:tcW w:w="960" w:type="dxa"/>
            <w:shd w:val="clear" w:color="auto" w:fill="auto"/>
            <w:vAlign w:val="center"/>
          </w:tcPr>
          <w:p w14:paraId="42A134C7" w14:textId="77777777" w:rsidR="00BB68E1" w:rsidRDefault="00BB68E1">
            <w:pPr>
              <w:rPr>
                <w:rFonts w:ascii="Times New Roman" w:hAnsi="Times New Roman"/>
                <w:sz w:val="20"/>
                <w:szCs w:val="20"/>
              </w:rPr>
            </w:pPr>
          </w:p>
        </w:tc>
        <w:tc>
          <w:tcPr>
            <w:tcW w:w="0" w:type="auto"/>
            <w:shd w:val="clear" w:color="auto" w:fill="auto"/>
            <w:vAlign w:val="center"/>
          </w:tcPr>
          <w:p w14:paraId="42A134C8" w14:textId="77777777" w:rsidR="00BB68E1" w:rsidRDefault="00BB68E1">
            <w:pPr>
              <w:rPr>
                <w:rFonts w:ascii="Times New Roman" w:hAnsi="Times New Roman"/>
                <w:sz w:val="20"/>
                <w:szCs w:val="20"/>
              </w:rPr>
            </w:pPr>
          </w:p>
        </w:tc>
      </w:tr>
      <w:tr w:rsidR="00BB68E1" w14:paraId="42A134CC" w14:textId="77777777">
        <w:trPr>
          <w:tblCellSpacing w:w="0" w:type="dxa"/>
        </w:trPr>
        <w:tc>
          <w:tcPr>
            <w:tcW w:w="0" w:type="auto"/>
            <w:shd w:val="clear" w:color="auto" w:fill="auto"/>
          </w:tcPr>
          <w:p w14:paraId="42A134CA"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34CB"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The purchased portion of the investment in JD is measured using Level 1 inputs.</w:t>
            </w:r>
          </w:p>
        </w:tc>
      </w:tr>
    </w:tbl>
    <w:p w14:paraId="42A134CD"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34D0" w14:textId="77777777">
        <w:trPr>
          <w:tblCellSpacing w:w="0" w:type="dxa"/>
        </w:trPr>
        <w:tc>
          <w:tcPr>
            <w:tcW w:w="960" w:type="dxa"/>
            <w:shd w:val="clear" w:color="auto" w:fill="auto"/>
            <w:vAlign w:val="center"/>
          </w:tcPr>
          <w:p w14:paraId="42A134CE" w14:textId="77777777" w:rsidR="00BB68E1" w:rsidRDefault="00BB68E1">
            <w:pPr>
              <w:rPr>
                <w:rFonts w:ascii="Times New Roman" w:hAnsi="Times New Roman"/>
                <w:sz w:val="20"/>
                <w:szCs w:val="20"/>
              </w:rPr>
            </w:pPr>
          </w:p>
        </w:tc>
        <w:tc>
          <w:tcPr>
            <w:tcW w:w="0" w:type="auto"/>
            <w:shd w:val="clear" w:color="auto" w:fill="auto"/>
            <w:vAlign w:val="center"/>
          </w:tcPr>
          <w:p w14:paraId="42A134CF" w14:textId="77777777" w:rsidR="00BB68E1" w:rsidRDefault="00BB68E1">
            <w:pPr>
              <w:rPr>
                <w:rFonts w:ascii="Times New Roman" w:hAnsi="Times New Roman"/>
                <w:sz w:val="20"/>
                <w:szCs w:val="20"/>
              </w:rPr>
            </w:pPr>
          </w:p>
        </w:tc>
      </w:tr>
      <w:tr w:rsidR="00BB68E1" w14:paraId="42A134D3" w14:textId="77777777">
        <w:trPr>
          <w:tblCellSpacing w:w="0" w:type="dxa"/>
        </w:trPr>
        <w:tc>
          <w:tcPr>
            <w:tcW w:w="0" w:type="auto"/>
            <w:shd w:val="clear" w:color="auto" w:fill="auto"/>
          </w:tcPr>
          <w:p w14:paraId="42A134D1"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34D2"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The portion of the investment in JD received in exchange for selling certain assets related to Yihaodian, the Company's former eCommerce operation in China, measured using Level 2 inputs. Fair value is determined primarily using quoted prices in active mar</w:t>
            </w:r>
            <w:r>
              <w:rPr>
                <w:rFonts w:ascii="Times New Roman" w:eastAsia="宋体" w:hAnsi="Times New Roman"/>
                <w:sz w:val="20"/>
                <w:szCs w:val="20"/>
              </w:rPr>
              <w:t xml:space="preserve">kets for similar assets. </w:t>
            </w:r>
          </w:p>
        </w:tc>
      </w:tr>
    </w:tbl>
    <w:p w14:paraId="42A134D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fair value of the Company's investment in JD is as follows:</w:t>
      </w:r>
    </w:p>
    <w:tbl>
      <w:tblPr>
        <w:tblW w:w="5000" w:type="pct"/>
        <w:jc w:val="center"/>
        <w:tblCellMar>
          <w:left w:w="0" w:type="dxa"/>
          <w:right w:w="0" w:type="dxa"/>
        </w:tblCellMar>
        <w:tblLook w:val="04A0" w:firstRow="1" w:lastRow="0" w:firstColumn="1" w:lastColumn="0" w:noHBand="0" w:noVBand="1"/>
      </w:tblPr>
      <w:tblGrid>
        <w:gridCol w:w="6038"/>
        <w:gridCol w:w="121"/>
        <w:gridCol w:w="889"/>
        <w:gridCol w:w="58"/>
        <w:gridCol w:w="130"/>
        <w:gridCol w:w="121"/>
        <w:gridCol w:w="890"/>
        <w:gridCol w:w="59"/>
      </w:tblGrid>
      <w:tr w:rsidR="00BB68E1" w14:paraId="42A134D6" w14:textId="77777777">
        <w:trPr>
          <w:jc w:val="center"/>
        </w:trPr>
        <w:tc>
          <w:tcPr>
            <w:tcW w:w="0" w:type="auto"/>
            <w:gridSpan w:val="8"/>
            <w:shd w:val="clear" w:color="auto" w:fill="auto"/>
            <w:vAlign w:val="center"/>
          </w:tcPr>
          <w:p w14:paraId="42A134D5" w14:textId="77777777" w:rsidR="00BB68E1" w:rsidRDefault="00BB68E1">
            <w:pPr>
              <w:rPr>
                <w:rFonts w:ascii="Times New Roman" w:hAnsi="Times New Roman"/>
                <w:sz w:val="20"/>
                <w:szCs w:val="20"/>
              </w:rPr>
            </w:pPr>
          </w:p>
        </w:tc>
      </w:tr>
      <w:tr w:rsidR="00BB68E1" w14:paraId="42A134DF" w14:textId="77777777">
        <w:trPr>
          <w:jc w:val="center"/>
        </w:trPr>
        <w:tc>
          <w:tcPr>
            <w:tcW w:w="3650" w:type="pct"/>
            <w:shd w:val="clear" w:color="auto" w:fill="auto"/>
            <w:vAlign w:val="center"/>
          </w:tcPr>
          <w:p w14:paraId="42A134D7" w14:textId="77777777" w:rsidR="00BB68E1" w:rsidRDefault="00BB68E1">
            <w:pPr>
              <w:rPr>
                <w:rFonts w:ascii="Times New Roman" w:hAnsi="Times New Roman"/>
                <w:sz w:val="20"/>
                <w:szCs w:val="20"/>
              </w:rPr>
            </w:pPr>
          </w:p>
        </w:tc>
        <w:tc>
          <w:tcPr>
            <w:tcW w:w="50" w:type="pct"/>
            <w:shd w:val="clear" w:color="auto" w:fill="auto"/>
            <w:vAlign w:val="center"/>
          </w:tcPr>
          <w:p w14:paraId="42A134D8" w14:textId="77777777" w:rsidR="00BB68E1" w:rsidRDefault="00BB68E1">
            <w:pPr>
              <w:rPr>
                <w:rFonts w:ascii="Times New Roman" w:hAnsi="Times New Roman"/>
                <w:sz w:val="20"/>
                <w:szCs w:val="20"/>
              </w:rPr>
            </w:pPr>
          </w:p>
        </w:tc>
        <w:tc>
          <w:tcPr>
            <w:tcW w:w="550" w:type="pct"/>
            <w:shd w:val="clear" w:color="auto" w:fill="auto"/>
            <w:vAlign w:val="center"/>
          </w:tcPr>
          <w:p w14:paraId="42A134D9" w14:textId="77777777" w:rsidR="00BB68E1" w:rsidRDefault="00BB68E1">
            <w:pPr>
              <w:rPr>
                <w:rFonts w:ascii="Times New Roman" w:hAnsi="Times New Roman"/>
                <w:sz w:val="20"/>
                <w:szCs w:val="20"/>
              </w:rPr>
            </w:pPr>
          </w:p>
        </w:tc>
        <w:tc>
          <w:tcPr>
            <w:tcW w:w="50" w:type="pct"/>
            <w:shd w:val="clear" w:color="auto" w:fill="auto"/>
            <w:vAlign w:val="center"/>
          </w:tcPr>
          <w:p w14:paraId="42A134DA" w14:textId="77777777" w:rsidR="00BB68E1" w:rsidRDefault="00BB68E1">
            <w:pPr>
              <w:rPr>
                <w:rFonts w:ascii="Times New Roman" w:hAnsi="Times New Roman"/>
                <w:sz w:val="20"/>
                <w:szCs w:val="20"/>
              </w:rPr>
            </w:pPr>
          </w:p>
        </w:tc>
        <w:tc>
          <w:tcPr>
            <w:tcW w:w="50" w:type="pct"/>
            <w:shd w:val="clear" w:color="auto" w:fill="auto"/>
            <w:vAlign w:val="center"/>
          </w:tcPr>
          <w:p w14:paraId="42A134DB" w14:textId="77777777" w:rsidR="00BB68E1" w:rsidRDefault="00BB68E1">
            <w:pPr>
              <w:rPr>
                <w:rFonts w:ascii="Times New Roman" w:hAnsi="Times New Roman"/>
                <w:sz w:val="20"/>
                <w:szCs w:val="20"/>
              </w:rPr>
            </w:pPr>
          </w:p>
        </w:tc>
        <w:tc>
          <w:tcPr>
            <w:tcW w:w="50" w:type="pct"/>
            <w:shd w:val="clear" w:color="auto" w:fill="auto"/>
            <w:vAlign w:val="center"/>
          </w:tcPr>
          <w:p w14:paraId="42A134DC" w14:textId="77777777" w:rsidR="00BB68E1" w:rsidRDefault="00BB68E1">
            <w:pPr>
              <w:rPr>
                <w:rFonts w:ascii="Times New Roman" w:hAnsi="Times New Roman"/>
                <w:sz w:val="20"/>
                <w:szCs w:val="20"/>
              </w:rPr>
            </w:pPr>
          </w:p>
        </w:tc>
        <w:tc>
          <w:tcPr>
            <w:tcW w:w="550" w:type="pct"/>
            <w:shd w:val="clear" w:color="auto" w:fill="auto"/>
            <w:vAlign w:val="center"/>
          </w:tcPr>
          <w:p w14:paraId="42A134DD" w14:textId="77777777" w:rsidR="00BB68E1" w:rsidRDefault="00BB68E1">
            <w:pPr>
              <w:rPr>
                <w:rFonts w:ascii="Times New Roman" w:hAnsi="Times New Roman"/>
                <w:sz w:val="20"/>
                <w:szCs w:val="20"/>
              </w:rPr>
            </w:pPr>
          </w:p>
        </w:tc>
        <w:tc>
          <w:tcPr>
            <w:tcW w:w="50" w:type="pct"/>
            <w:shd w:val="clear" w:color="auto" w:fill="auto"/>
            <w:vAlign w:val="center"/>
          </w:tcPr>
          <w:p w14:paraId="42A134DE" w14:textId="77777777" w:rsidR="00BB68E1" w:rsidRDefault="00BB68E1">
            <w:pPr>
              <w:rPr>
                <w:rFonts w:ascii="Times New Roman" w:hAnsi="Times New Roman"/>
                <w:sz w:val="20"/>
                <w:szCs w:val="20"/>
              </w:rPr>
            </w:pPr>
          </w:p>
        </w:tc>
      </w:tr>
      <w:tr w:rsidR="00BB68E1" w14:paraId="42A134E4" w14:textId="77777777">
        <w:trPr>
          <w:jc w:val="center"/>
        </w:trPr>
        <w:tc>
          <w:tcPr>
            <w:tcW w:w="0" w:type="auto"/>
            <w:shd w:val="clear" w:color="auto" w:fill="auto"/>
            <w:tcMar>
              <w:top w:w="40" w:type="dxa"/>
              <w:left w:w="40" w:type="dxa"/>
              <w:bottom w:w="40" w:type="dxa"/>
              <w:right w:w="40" w:type="dxa"/>
            </w:tcMar>
            <w:vAlign w:val="bottom"/>
          </w:tcPr>
          <w:p w14:paraId="42A134E0"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4E1"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Fair Value as of January 31, 2020</w:t>
            </w:r>
          </w:p>
        </w:tc>
        <w:tc>
          <w:tcPr>
            <w:tcW w:w="0" w:type="auto"/>
            <w:shd w:val="clear" w:color="auto" w:fill="auto"/>
            <w:tcMar>
              <w:top w:w="40" w:type="dxa"/>
              <w:left w:w="40" w:type="dxa"/>
              <w:bottom w:w="40" w:type="dxa"/>
              <w:right w:w="40" w:type="dxa"/>
            </w:tcMar>
            <w:vAlign w:val="bottom"/>
          </w:tcPr>
          <w:p w14:paraId="42A134E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4E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Fair Value as of January 31, 2019</w:t>
            </w:r>
          </w:p>
        </w:tc>
      </w:tr>
      <w:tr w:rsidR="00BB68E1" w14:paraId="42A134ED" w14:textId="77777777">
        <w:trPr>
          <w:jc w:val="center"/>
        </w:trPr>
        <w:tc>
          <w:tcPr>
            <w:tcW w:w="0" w:type="auto"/>
            <w:shd w:val="clear" w:color="auto" w:fill="CCEEFF"/>
            <w:tcMar>
              <w:top w:w="40" w:type="dxa"/>
              <w:left w:w="40" w:type="dxa"/>
              <w:bottom w:w="40" w:type="dxa"/>
              <w:right w:w="40" w:type="dxa"/>
            </w:tcMar>
            <w:vAlign w:val="bottom"/>
          </w:tcPr>
          <w:p w14:paraId="42A134E5"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lastRenderedPageBreak/>
              <w:t>Investment in JD measured using Level 1 inputs</w:t>
            </w:r>
          </w:p>
        </w:tc>
        <w:tc>
          <w:tcPr>
            <w:tcW w:w="0" w:type="auto"/>
            <w:tcBorders>
              <w:top w:val="single" w:sz="8" w:space="0" w:color="000000"/>
            </w:tcBorders>
            <w:shd w:val="clear" w:color="auto" w:fill="CCEEFF"/>
            <w:tcMar>
              <w:top w:w="40" w:type="dxa"/>
              <w:left w:w="40" w:type="dxa"/>
              <w:bottom w:w="40" w:type="dxa"/>
            </w:tcMar>
            <w:vAlign w:val="bottom"/>
          </w:tcPr>
          <w:p w14:paraId="42A134E6"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2A134E7"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2,715</w:t>
            </w:r>
          </w:p>
        </w:tc>
        <w:tc>
          <w:tcPr>
            <w:tcW w:w="0" w:type="auto"/>
            <w:tcBorders>
              <w:top w:val="single" w:sz="8" w:space="0" w:color="000000"/>
            </w:tcBorders>
            <w:shd w:val="clear" w:color="auto" w:fill="CCEEFF"/>
            <w:vAlign w:val="bottom"/>
          </w:tcPr>
          <w:p w14:paraId="42A134E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4E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2A134EA"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2A134EB"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1,791</w:t>
            </w:r>
          </w:p>
        </w:tc>
        <w:tc>
          <w:tcPr>
            <w:tcW w:w="0" w:type="auto"/>
            <w:tcBorders>
              <w:top w:val="single" w:sz="8" w:space="0" w:color="000000"/>
            </w:tcBorders>
            <w:shd w:val="clear" w:color="auto" w:fill="CCEEFF"/>
            <w:vAlign w:val="bottom"/>
          </w:tcPr>
          <w:p w14:paraId="42A134EC" w14:textId="77777777" w:rsidR="00BB68E1" w:rsidRDefault="00BB68E1">
            <w:pPr>
              <w:textAlignment w:val="bottom"/>
              <w:rPr>
                <w:rFonts w:ascii="Times New Roman" w:hAnsi="Times New Roman"/>
                <w:sz w:val="20"/>
                <w:szCs w:val="20"/>
              </w:rPr>
            </w:pPr>
          </w:p>
        </w:tc>
      </w:tr>
      <w:tr w:rsidR="00BB68E1" w14:paraId="42A134F4" w14:textId="77777777">
        <w:trPr>
          <w:jc w:val="center"/>
        </w:trPr>
        <w:tc>
          <w:tcPr>
            <w:tcW w:w="0" w:type="auto"/>
            <w:shd w:val="clear" w:color="auto" w:fill="auto"/>
            <w:tcMar>
              <w:top w:w="40" w:type="dxa"/>
              <w:left w:w="40" w:type="dxa"/>
              <w:bottom w:w="40" w:type="dxa"/>
              <w:right w:w="40" w:type="dxa"/>
            </w:tcMar>
            <w:vAlign w:val="bottom"/>
          </w:tcPr>
          <w:p w14:paraId="42A134EE"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Investment in JD measured using Level 2 inputs</w:t>
            </w:r>
          </w:p>
        </w:tc>
        <w:tc>
          <w:tcPr>
            <w:tcW w:w="0" w:type="auto"/>
            <w:gridSpan w:val="2"/>
            <w:tcBorders>
              <w:bottom w:val="single" w:sz="8" w:space="0" w:color="000000"/>
            </w:tcBorders>
            <w:shd w:val="clear" w:color="auto" w:fill="auto"/>
            <w:tcMar>
              <w:top w:w="40" w:type="dxa"/>
              <w:left w:w="40" w:type="dxa"/>
              <w:bottom w:w="40" w:type="dxa"/>
            </w:tcMar>
            <w:vAlign w:val="bottom"/>
          </w:tcPr>
          <w:p w14:paraId="42A134EF"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2,723</w:t>
            </w:r>
          </w:p>
        </w:tc>
        <w:tc>
          <w:tcPr>
            <w:tcW w:w="0" w:type="auto"/>
            <w:tcBorders>
              <w:bottom w:val="single" w:sz="8" w:space="0" w:color="000000"/>
            </w:tcBorders>
            <w:shd w:val="clear" w:color="auto" w:fill="auto"/>
            <w:vAlign w:val="bottom"/>
          </w:tcPr>
          <w:p w14:paraId="42A134F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4F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2A134F2"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1,792</w:t>
            </w:r>
          </w:p>
        </w:tc>
        <w:tc>
          <w:tcPr>
            <w:tcW w:w="0" w:type="auto"/>
            <w:tcBorders>
              <w:bottom w:val="single" w:sz="8" w:space="0" w:color="000000"/>
            </w:tcBorders>
            <w:shd w:val="clear" w:color="auto" w:fill="auto"/>
            <w:vAlign w:val="bottom"/>
          </w:tcPr>
          <w:p w14:paraId="42A134F3" w14:textId="77777777" w:rsidR="00BB68E1" w:rsidRDefault="00BB68E1">
            <w:pPr>
              <w:textAlignment w:val="bottom"/>
              <w:rPr>
                <w:rFonts w:ascii="Times New Roman" w:hAnsi="Times New Roman"/>
                <w:sz w:val="20"/>
                <w:szCs w:val="20"/>
              </w:rPr>
            </w:pPr>
          </w:p>
        </w:tc>
      </w:tr>
      <w:tr w:rsidR="00BB68E1" w14:paraId="42A134FD" w14:textId="77777777">
        <w:trPr>
          <w:jc w:val="center"/>
        </w:trPr>
        <w:tc>
          <w:tcPr>
            <w:tcW w:w="0" w:type="auto"/>
            <w:shd w:val="clear" w:color="auto" w:fill="CCEEFF"/>
            <w:tcMar>
              <w:top w:w="40" w:type="dxa"/>
              <w:left w:w="40" w:type="dxa"/>
              <w:bottom w:w="40" w:type="dxa"/>
              <w:right w:w="40" w:type="dxa"/>
            </w:tcMar>
          </w:tcPr>
          <w:p w14:paraId="42A134F5" w14:textId="77777777" w:rsidR="00BB68E1" w:rsidRDefault="005D2D5E">
            <w:pPr>
              <w:textAlignment w:val="top"/>
              <w:rPr>
                <w:rFonts w:ascii="Times New Roman" w:hAnsi="Times New Roman"/>
                <w:sz w:val="16"/>
                <w:szCs w:val="16"/>
              </w:rPr>
            </w:pPr>
            <w:r>
              <w:rPr>
                <w:rFonts w:ascii="Times New Roman" w:eastAsia="宋体" w:hAnsi="Times New Roman"/>
                <w:b/>
                <w:bCs/>
                <w:sz w:val="16"/>
                <w:szCs w:val="16"/>
              </w:rPr>
              <w:t>Total</w:t>
            </w:r>
          </w:p>
        </w:tc>
        <w:tc>
          <w:tcPr>
            <w:tcW w:w="0" w:type="auto"/>
            <w:tcBorders>
              <w:top w:val="single" w:sz="8" w:space="0" w:color="000000"/>
            </w:tcBorders>
            <w:shd w:val="clear" w:color="auto" w:fill="CCEEFF"/>
            <w:tcMar>
              <w:top w:w="40" w:type="dxa"/>
              <w:left w:w="40" w:type="dxa"/>
              <w:bottom w:w="40" w:type="dxa"/>
            </w:tcMar>
            <w:vAlign w:val="bottom"/>
          </w:tcPr>
          <w:p w14:paraId="42A134F6"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2A134F7"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5,438</w:t>
            </w:r>
          </w:p>
        </w:tc>
        <w:tc>
          <w:tcPr>
            <w:tcW w:w="0" w:type="auto"/>
            <w:tcBorders>
              <w:top w:val="single" w:sz="8" w:space="0" w:color="000000"/>
            </w:tcBorders>
            <w:shd w:val="clear" w:color="auto" w:fill="CCEEFF"/>
            <w:vAlign w:val="bottom"/>
          </w:tcPr>
          <w:p w14:paraId="42A134F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4F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2A134FA"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2A134FB"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3,583</w:t>
            </w:r>
          </w:p>
        </w:tc>
        <w:tc>
          <w:tcPr>
            <w:tcW w:w="0" w:type="auto"/>
            <w:tcBorders>
              <w:top w:val="single" w:sz="8" w:space="0" w:color="000000"/>
            </w:tcBorders>
            <w:shd w:val="clear" w:color="auto" w:fill="CCEEFF"/>
            <w:vAlign w:val="bottom"/>
          </w:tcPr>
          <w:p w14:paraId="42A134FC" w14:textId="77777777" w:rsidR="00BB68E1" w:rsidRDefault="00BB68E1">
            <w:pPr>
              <w:textAlignment w:val="bottom"/>
              <w:rPr>
                <w:rFonts w:ascii="Times New Roman" w:hAnsi="Times New Roman"/>
                <w:sz w:val="20"/>
                <w:szCs w:val="20"/>
              </w:rPr>
            </w:pPr>
          </w:p>
        </w:tc>
      </w:tr>
    </w:tbl>
    <w:p w14:paraId="42A134FE" w14:textId="77777777" w:rsidR="00BB68E1" w:rsidRDefault="00BB68E1">
      <w:pPr>
        <w:rPr>
          <w:rFonts w:ascii="Times New Roman" w:hAnsi="Times New Roman"/>
          <w:sz w:val="20"/>
          <w:szCs w:val="20"/>
        </w:rPr>
      </w:pPr>
    </w:p>
    <w:p w14:paraId="42A134FF"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67</w:t>
      </w:r>
    </w:p>
    <w:p w14:paraId="42A13500" w14:textId="77777777" w:rsidR="00BB68E1" w:rsidRDefault="00BB68E1">
      <w:pPr>
        <w:spacing w:line="288" w:lineRule="auto"/>
        <w:jc w:val="center"/>
        <w:rPr>
          <w:rFonts w:ascii="Times New Roman" w:hAnsi="Times New Roman"/>
          <w:sz w:val="20"/>
          <w:szCs w:val="20"/>
        </w:rPr>
      </w:pPr>
    </w:p>
    <w:p w14:paraId="42A13501" w14:textId="77777777" w:rsidR="00BB68E1" w:rsidRDefault="005D2D5E">
      <w:r>
        <w:rPr>
          <w:rFonts w:ascii="Times New Roman" w:hAnsi="Times New Roman"/>
          <w:sz w:val="20"/>
          <w:szCs w:val="20"/>
        </w:rPr>
        <w:pict w14:anchorId="42A142BA">
          <v:rect id="_x0000_i1091" style="width:415.3pt;height:1.5pt" o:hralign="center" o:hrstd="t" o:hr="t" fillcolor="#a0a0a0" stroked="f"/>
        </w:pict>
      </w:r>
    </w:p>
    <w:p w14:paraId="42A13502" w14:textId="77777777" w:rsidR="00BB68E1" w:rsidRDefault="00BB68E1">
      <w:pPr>
        <w:spacing w:line="288" w:lineRule="auto"/>
        <w:rPr>
          <w:rFonts w:ascii="Times New Roman" w:hAnsi="Times New Roman"/>
          <w:sz w:val="20"/>
          <w:szCs w:val="20"/>
        </w:rPr>
      </w:pPr>
    </w:p>
    <w:p w14:paraId="42A13503" w14:textId="77777777" w:rsidR="00BB68E1" w:rsidRDefault="00BB68E1">
      <w:pPr>
        <w:rPr>
          <w:rFonts w:ascii="Times New Roman" w:hAnsi="Times New Roman"/>
          <w:sz w:val="20"/>
          <w:szCs w:val="20"/>
        </w:rPr>
      </w:pPr>
    </w:p>
    <w:p w14:paraId="42A13504"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Derivatives</w:t>
      </w:r>
    </w:p>
    <w:p w14:paraId="42A13505"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Company also has derivatives recorded at fair value. Derivative fair values are the estimated amounts the Company would </w:t>
      </w:r>
      <w:r>
        <w:rPr>
          <w:rFonts w:ascii="Times New Roman" w:eastAsia="宋体" w:hAnsi="Times New Roman"/>
          <w:sz w:val="20"/>
          <w:szCs w:val="20"/>
        </w:rPr>
        <w:t>receive or pay upon termination of the related derivative agreements as of the reporting dates. The fair values have been measured using the income approach and Level 2 inputs, which include the relevant interest rate and foreign currency forward curves. A</w:t>
      </w:r>
      <w:r>
        <w:rPr>
          <w:rFonts w:ascii="Times New Roman" w:eastAsia="宋体" w:hAnsi="Times New Roman"/>
          <w:sz w:val="20"/>
          <w:szCs w:val="20"/>
        </w:rPr>
        <w:t>s of January 31, 2020 and January 31, 2019, the notional amounts and fair values of these derivatives were as follows:</w:t>
      </w:r>
    </w:p>
    <w:tbl>
      <w:tblPr>
        <w:tblW w:w="5000" w:type="pct"/>
        <w:tblCellMar>
          <w:left w:w="0" w:type="dxa"/>
          <w:right w:w="0" w:type="dxa"/>
        </w:tblCellMar>
        <w:tblLook w:val="04A0" w:firstRow="1" w:lastRow="0" w:firstColumn="1" w:lastColumn="0" w:noHBand="0" w:noVBand="1"/>
      </w:tblPr>
      <w:tblGrid>
        <w:gridCol w:w="4978"/>
        <w:gridCol w:w="121"/>
        <w:gridCol w:w="500"/>
        <w:gridCol w:w="83"/>
        <w:gridCol w:w="130"/>
        <w:gridCol w:w="120"/>
        <w:gridCol w:w="410"/>
        <w:gridCol w:w="94"/>
        <w:gridCol w:w="237"/>
        <w:gridCol w:w="121"/>
        <w:gridCol w:w="476"/>
        <w:gridCol w:w="95"/>
        <w:gridCol w:w="130"/>
        <w:gridCol w:w="120"/>
        <w:gridCol w:w="360"/>
        <w:gridCol w:w="94"/>
        <w:gridCol w:w="237"/>
      </w:tblGrid>
      <w:tr w:rsidR="00BB68E1" w14:paraId="42A13507" w14:textId="77777777">
        <w:tc>
          <w:tcPr>
            <w:tcW w:w="0" w:type="auto"/>
            <w:gridSpan w:val="17"/>
            <w:shd w:val="clear" w:color="auto" w:fill="auto"/>
            <w:vAlign w:val="center"/>
          </w:tcPr>
          <w:p w14:paraId="42A13506" w14:textId="77777777" w:rsidR="00BB68E1" w:rsidRDefault="00BB68E1">
            <w:pPr>
              <w:rPr>
                <w:rFonts w:ascii="Times New Roman" w:hAnsi="Times New Roman"/>
                <w:sz w:val="20"/>
                <w:szCs w:val="20"/>
              </w:rPr>
            </w:pPr>
          </w:p>
        </w:tc>
      </w:tr>
      <w:tr w:rsidR="00BB68E1" w14:paraId="42A13519" w14:textId="77777777">
        <w:tc>
          <w:tcPr>
            <w:tcW w:w="3050" w:type="pct"/>
            <w:shd w:val="clear" w:color="auto" w:fill="auto"/>
            <w:vAlign w:val="center"/>
          </w:tcPr>
          <w:p w14:paraId="42A13508" w14:textId="77777777" w:rsidR="00BB68E1" w:rsidRDefault="00BB68E1">
            <w:pPr>
              <w:rPr>
                <w:rFonts w:ascii="Times New Roman" w:hAnsi="Times New Roman"/>
                <w:sz w:val="20"/>
                <w:szCs w:val="20"/>
              </w:rPr>
            </w:pPr>
          </w:p>
        </w:tc>
        <w:tc>
          <w:tcPr>
            <w:tcW w:w="50" w:type="pct"/>
            <w:shd w:val="clear" w:color="auto" w:fill="auto"/>
            <w:vAlign w:val="center"/>
          </w:tcPr>
          <w:p w14:paraId="42A13509" w14:textId="77777777" w:rsidR="00BB68E1" w:rsidRDefault="00BB68E1">
            <w:pPr>
              <w:rPr>
                <w:rFonts w:ascii="Times New Roman" w:hAnsi="Times New Roman"/>
                <w:sz w:val="20"/>
                <w:szCs w:val="20"/>
              </w:rPr>
            </w:pPr>
          </w:p>
        </w:tc>
        <w:tc>
          <w:tcPr>
            <w:tcW w:w="300" w:type="pct"/>
            <w:shd w:val="clear" w:color="auto" w:fill="auto"/>
            <w:vAlign w:val="center"/>
          </w:tcPr>
          <w:p w14:paraId="42A1350A" w14:textId="77777777" w:rsidR="00BB68E1" w:rsidRDefault="00BB68E1">
            <w:pPr>
              <w:rPr>
                <w:rFonts w:ascii="Times New Roman" w:hAnsi="Times New Roman"/>
                <w:sz w:val="20"/>
                <w:szCs w:val="20"/>
              </w:rPr>
            </w:pPr>
          </w:p>
        </w:tc>
        <w:tc>
          <w:tcPr>
            <w:tcW w:w="50" w:type="pct"/>
            <w:shd w:val="clear" w:color="auto" w:fill="auto"/>
            <w:vAlign w:val="center"/>
          </w:tcPr>
          <w:p w14:paraId="42A1350B" w14:textId="77777777" w:rsidR="00BB68E1" w:rsidRDefault="00BB68E1">
            <w:pPr>
              <w:rPr>
                <w:rFonts w:ascii="Times New Roman" w:hAnsi="Times New Roman"/>
                <w:sz w:val="20"/>
                <w:szCs w:val="20"/>
              </w:rPr>
            </w:pPr>
          </w:p>
        </w:tc>
        <w:tc>
          <w:tcPr>
            <w:tcW w:w="50" w:type="pct"/>
            <w:shd w:val="clear" w:color="auto" w:fill="auto"/>
            <w:vAlign w:val="center"/>
          </w:tcPr>
          <w:p w14:paraId="42A1350C" w14:textId="77777777" w:rsidR="00BB68E1" w:rsidRDefault="00BB68E1">
            <w:pPr>
              <w:rPr>
                <w:rFonts w:ascii="Times New Roman" w:hAnsi="Times New Roman"/>
                <w:sz w:val="20"/>
                <w:szCs w:val="20"/>
              </w:rPr>
            </w:pPr>
          </w:p>
        </w:tc>
        <w:tc>
          <w:tcPr>
            <w:tcW w:w="50" w:type="pct"/>
            <w:shd w:val="clear" w:color="auto" w:fill="auto"/>
            <w:vAlign w:val="center"/>
          </w:tcPr>
          <w:p w14:paraId="42A1350D" w14:textId="77777777" w:rsidR="00BB68E1" w:rsidRDefault="00BB68E1">
            <w:pPr>
              <w:rPr>
                <w:rFonts w:ascii="Times New Roman" w:hAnsi="Times New Roman"/>
                <w:sz w:val="20"/>
                <w:szCs w:val="20"/>
              </w:rPr>
            </w:pPr>
          </w:p>
        </w:tc>
        <w:tc>
          <w:tcPr>
            <w:tcW w:w="300" w:type="pct"/>
            <w:shd w:val="clear" w:color="auto" w:fill="auto"/>
            <w:vAlign w:val="center"/>
          </w:tcPr>
          <w:p w14:paraId="42A1350E" w14:textId="77777777" w:rsidR="00BB68E1" w:rsidRDefault="00BB68E1">
            <w:pPr>
              <w:rPr>
                <w:rFonts w:ascii="Times New Roman" w:hAnsi="Times New Roman"/>
                <w:sz w:val="20"/>
                <w:szCs w:val="20"/>
              </w:rPr>
            </w:pPr>
          </w:p>
        </w:tc>
        <w:tc>
          <w:tcPr>
            <w:tcW w:w="50" w:type="pct"/>
            <w:shd w:val="clear" w:color="auto" w:fill="auto"/>
            <w:vAlign w:val="center"/>
          </w:tcPr>
          <w:p w14:paraId="42A1350F" w14:textId="77777777" w:rsidR="00BB68E1" w:rsidRDefault="00BB68E1">
            <w:pPr>
              <w:rPr>
                <w:rFonts w:ascii="Times New Roman" w:hAnsi="Times New Roman"/>
                <w:sz w:val="20"/>
                <w:szCs w:val="20"/>
              </w:rPr>
            </w:pPr>
          </w:p>
        </w:tc>
        <w:tc>
          <w:tcPr>
            <w:tcW w:w="150" w:type="pct"/>
            <w:shd w:val="clear" w:color="auto" w:fill="auto"/>
            <w:vAlign w:val="center"/>
          </w:tcPr>
          <w:p w14:paraId="42A13510" w14:textId="77777777" w:rsidR="00BB68E1" w:rsidRDefault="00BB68E1">
            <w:pPr>
              <w:rPr>
                <w:rFonts w:ascii="Times New Roman" w:hAnsi="Times New Roman"/>
                <w:sz w:val="20"/>
                <w:szCs w:val="20"/>
              </w:rPr>
            </w:pPr>
          </w:p>
        </w:tc>
        <w:tc>
          <w:tcPr>
            <w:tcW w:w="50" w:type="pct"/>
            <w:shd w:val="clear" w:color="auto" w:fill="auto"/>
            <w:vAlign w:val="center"/>
          </w:tcPr>
          <w:p w14:paraId="42A13511" w14:textId="77777777" w:rsidR="00BB68E1" w:rsidRDefault="00BB68E1">
            <w:pPr>
              <w:rPr>
                <w:rFonts w:ascii="Times New Roman" w:hAnsi="Times New Roman"/>
                <w:sz w:val="20"/>
                <w:szCs w:val="20"/>
              </w:rPr>
            </w:pPr>
          </w:p>
        </w:tc>
        <w:tc>
          <w:tcPr>
            <w:tcW w:w="250" w:type="pct"/>
            <w:shd w:val="clear" w:color="auto" w:fill="auto"/>
            <w:vAlign w:val="center"/>
          </w:tcPr>
          <w:p w14:paraId="42A13512" w14:textId="77777777" w:rsidR="00BB68E1" w:rsidRDefault="00BB68E1">
            <w:pPr>
              <w:rPr>
                <w:rFonts w:ascii="Times New Roman" w:hAnsi="Times New Roman"/>
                <w:sz w:val="20"/>
                <w:szCs w:val="20"/>
              </w:rPr>
            </w:pPr>
          </w:p>
        </w:tc>
        <w:tc>
          <w:tcPr>
            <w:tcW w:w="50" w:type="pct"/>
            <w:shd w:val="clear" w:color="auto" w:fill="auto"/>
            <w:vAlign w:val="center"/>
          </w:tcPr>
          <w:p w14:paraId="42A13513" w14:textId="77777777" w:rsidR="00BB68E1" w:rsidRDefault="00BB68E1">
            <w:pPr>
              <w:rPr>
                <w:rFonts w:ascii="Times New Roman" w:hAnsi="Times New Roman"/>
                <w:sz w:val="20"/>
                <w:szCs w:val="20"/>
              </w:rPr>
            </w:pPr>
          </w:p>
        </w:tc>
        <w:tc>
          <w:tcPr>
            <w:tcW w:w="50" w:type="pct"/>
            <w:shd w:val="clear" w:color="auto" w:fill="auto"/>
            <w:vAlign w:val="center"/>
          </w:tcPr>
          <w:p w14:paraId="42A13514" w14:textId="77777777" w:rsidR="00BB68E1" w:rsidRDefault="00BB68E1">
            <w:pPr>
              <w:rPr>
                <w:rFonts w:ascii="Times New Roman" w:hAnsi="Times New Roman"/>
                <w:sz w:val="20"/>
                <w:szCs w:val="20"/>
              </w:rPr>
            </w:pPr>
          </w:p>
        </w:tc>
        <w:tc>
          <w:tcPr>
            <w:tcW w:w="50" w:type="pct"/>
            <w:shd w:val="clear" w:color="auto" w:fill="auto"/>
            <w:vAlign w:val="center"/>
          </w:tcPr>
          <w:p w14:paraId="42A13515" w14:textId="77777777" w:rsidR="00BB68E1" w:rsidRDefault="00BB68E1">
            <w:pPr>
              <w:rPr>
                <w:rFonts w:ascii="Times New Roman" w:hAnsi="Times New Roman"/>
                <w:sz w:val="20"/>
                <w:szCs w:val="20"/>
              </w:rPr>
            </w:pPr>
          </w:p>
        </w:tc>
        <w:tc>
          <w:tcPr>
            <w:tcW w:w="300" w:type="pct"/>
            <w:shd w:val="clear" w:color="auto" w:fill="auto"/>
            <w:vAlign w:val="center"/>
          </w:tcPr>
          <w:p w14:paraId="42A13516" w14:textId="77777777" w:rsidR="00BB68E1" w:rsidRDefault="00BB68E1">
            <w:pPr>
              <w:rPr>
                <w:rFonts w:ascii="Times New Roman" w:hAnsi="Times New Roman"/>
                <w:sz w:val="20"/>
                <w:szCs w:val="20"/>
              </w:rPr>
            </w:pPr>
          </w:p>
        </w:tc>
        <w:tc>
          <w:tcPr>
            <w:tcW w:w="50" w:type="pct"/>
            <w:shd w:val="clear" w:color="auto" w:fill="auto"/>
            <w:vAlign w:val="center"/>
          </w:tcPr>
          <w:p w14:paraId="42A13517" w14:textId="77777777" w:rsidR="00BB68E1" w:rsidRDefault="00BB68E1">
            <w:pPr>
              <w:rPr>
                <w:rFonts w:ascii="Times New Roman" w:hAnsi="Times New Roman"/>
                <w:sz w:val="20"/>
                <w:szCs w:val="20"/>
              </w:rPr>
            </w:pPr>
          </w:p>
        </w:tc>
        <w:tc>
          <w:tcPr>
            <w:tcW w:w="150" w:type="pct"/>
            <w:shd w:val="clear" w:color="auto" w:fill="auto"/>
            <w:vAlign w:val="center"/>
          </w:tcPr>
          <w:p w14:paraId="42A13518" w14:textId="77777777" w:rsidR="00BB68E1" w:rsidRDefault="00BB68E1">
            <w:pPr>
              <w:rPr>
                <w:rFonts w:ascii="Times New Roman" w:hAnsi="Times New Roman"/>
                <w:sz w:val="20"/>
                <w:szCs w:val="20"/>
              </w:rPr>
            </w:pPr>
          </w:p>
        </w:tc>
      </w:tr>
      <w:tr w:rsidR="00BB68E1" w14:paraId="42A1351F" w14:textId="77777777">
        <w:tc>
          <w:tcPr>
            <w:tcW w:w="0" w:type="auto"/>
            <w:shd w:val="clear" w:color="auto" w:fill="auto"/>
            <w:tcMar>
              <w:top w:w="40" w:type="dxa"/>
              <w:left w:w="40" w:type="dxa"/>
              <w:bottom w:w="40" w:type="dxa"/>
              <w:right w:w="40" w:type="dxa"/>
            </w:tcMar>
            <w:vAlign w:val="bottom"/>
          </w:tcPr>
          <w:p w14:paraId="42A1351A"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2A1351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January 31, 2020</w:t>
            </w:r>
          </w:p>
        </w:tc>
        <w:tc>
          <w:tcPr>
            <w:tcW w:w="0" w:type="auto"/>
            <w:shd w:val="clear" w:color="auto" w:fill="auto"/>
            <w:tcMar>
              <w:top w:w="40" w:type="dxa"/>
              <w:left w:w="40" w:type="dxa"/>
              <w:bottom w:w="40" w:type="dxa"/>
              <w:right w:w="40" w:type="dxa"/>
            </w:tcMar>
            <w:vAlign w:val="bottom"/>
          </w:tcPr>
          <w:p w14:paraId="42A1351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2A1351D"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January 31, 2019</w:t>
            </w:r>
          </w:p>
        </w:tc>
        <w:tc>
          <w:tcPr>
            <w:tcW w:w="0" w:type="auto"/>
            <w:shd w:val="clear" w:color="auto" w:fill="auto"/>
            <w:tcMar>
              <w:top w:w="40" w:type="dxa"/>
              <w:left w:w="40" w:type="dxa"/>
              <w:bottom w:w="40" w:type="dxa"/>
              <w:right w:w="40" w:type="dxa"/>
            </w:tcMar>
            <w:vAlign w:val="bottom"/>
          </w:tcPr>
          <w:p w14:paraId="42A1351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529" w14:textId="77777777">
        <w:tc>
          <w:tcPr>
            <w:tcW w:w="0" w:type="auto"/>
            <w:shd w:val="clear" w:color="auto" w:fill="auto"/>
            <w:tcMar>
              <w:top w:w="40" w:type="dxa"/>
              <w:left w:w="40" w:type="dxa"/>
              <w:bottom w:w="40" w:type="dxa"/>
              <w:right w:w="40" w:type="dxa"/>
            </w:tcMar>
            <w:vAlign w:val="bottom"/>
          </w:tcPr>
          <w:p w14:paraId="42A13520"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521"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Notional Amount</w:t>
            </w:r>
          </w:p>
        </w:tc>
        <w:tc>
          <w:tcPr>
            <w:tcW w:w="0" w:type="auto"/>
            <w:shd w:val="clear" w:color="auto" w:fill="auto"/>
            <w:tcMar>
              <w:top w:w="40" w:type="dxa"/>
              <w:left w:w="40" w:type="dxa"/>
              <w:bottom w:w="40" w:type="dxa"/>
              <w:right w:w="40" w:type="dxa"/>
            </w:tcMar>
            <w:vAlign w:val="bottom"/>
          </w:tcPr>
          <w:p w14:paraId="42A1352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52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Fair Value</w:t>
            </w:r>
          </w:p>
        </w:tc>
        <w:tc>
          <w:tcPr>
            <w:tcW w:w="0" w:type="auto"/>
            <w:shd w:val="clear" w:color="auto" w:fill="auto"/>
            <w:tcMar>
              <w:top w:w="40" w:type="dxa"/>
              <w:left w:w="40" w:type="dxa"/>
              <w:bottom w:w="40" w:type="dxa"/>
              <w:right w:w="40" w:type="dxa"/>
            </w:tcMar>
            <w:vAlign w:val="bottom"/>
          </w:tcPr>
          <w:p w14:paraId="42A1352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525"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Notional Amount</w:t>
            </w:r>
          </w:p>
        </w:tc>
        <w:tc>
          <w:tcPr>
            <w:tcW w:w="0" w:type="auto"/>
            <w:shd w:val="clear" w:color="auto" w:fill="auto"/>
            <w:tcMar>
              <w:top w:w="40" w:type="dxa"/>
              <w:left w:w="40" w:type="dxa"/>
              <w:bottom w:w="40" w:type="dxa"/>
              <w:right w:w="40" w:type="dxa"/>
            </w:tcMar>
            <w:vAlign w:val="bottom"/>
          </w:tcPr>
          <w:p w14:paraId="42A1352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52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Fair Value</w:t>
            </w:r>
          </w:p>
        </w:tc>
        <w:tc>
          <w:tcPr>
            <w:tcW w:w="0" w:type="auto"/>
            <w:shd w:val="clear" w:color="auto" w:fill="auto"/>
            <w:tcMar>
              <w:top w:w="40" w:type="dxa"/>
              <w:left w:w="40" w:type="dxa"/>
              <w:bottom w:w="40" w:type="dxa"/>
              <w:right w:w="40" w:type="dxa"/>
            </w:tcMar>
            <w:vAlign w:val="bottom"/>
          </w:tcPr>
          <w:p w14:paraId="42A1352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53B" w14:textId="77777777">
        <w:tc>
          <w:tcPr>
            <w:tcW w:w="0" w:type="auto"/>
            <w:shd w:val="clear" w:color="auto" w:fill="CCEEFF"/>
            <w:tcMar>
              <w:top w:w="40" w:type="dxa"/>
              <w:left w:w="40" w:type="dxa"/>
              <w:bottom w:w="40" w:type="dxa"/>
              <w:right w:w="40" w:type="dxa"/>
            </w:tcMar>
            <w:vAlign w:val="center"/>
          </w:tcPr>
          <w:p w14:paraId="42A1352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Receive fixed-rate, pay variable-rate interest rate swaps designated as fair value hedges</w:t>
            </w:r>
          </w:p>
        </w:tc>
        <w:tc>
          <w:tcPr>
            <w:tcW w:w="0" w:type="auto"/>
            <w:tcBorders>
              <w:top w:val="single" w:sz="8" w:space="0" w:color="000000"/>
            </w:tcBorders>
            <w:shd w:val="clear" w:color="auto" w:fill="CCEEFF"/>
            <w:tcMar>
              <w:top w:w="40" w:type="dxa"/>
              <w:left w:w="40" w:type="dxa"/>
              <w:bottom w:w="40" w:type="dxa"/>
            </w:tcMar>
            <w:vAlign w:val="center"/>
          </w:tcPr>
          <w:p w14:paraId="42A1352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352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4,000</w:t>
            </w:r>
          </w:p>
        </w:tc>
        <w:tc>
          <w:tcPr>
            <w:tcW w:w="0" w:type="auto"/>
            <w:tcBorders>
              <w:top w:val="single" w:sz="8" w:space="0" w:color="000000"/>
            </w:tcBorders>
            <w:shd w:val="clear" w:color="auto" w:fill="CCEEFF"/>
            <w:vAlign w:val="bottom"/>
          </w:tcPr>
          <w:p w14:paraId="42A1352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52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52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53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97</w:t>
            </w:r>
          </w:p>
        </w:tc>
        <w:tc>
          <w:tcPr>
            <w:tcW w:w="0" w:type="auto"/>
            <w:shd w:val="clear" w:color="auto" w:fill="CCEEFF"/>
            <w:vAlign w:val="bottom"/>
          </w:tcPr>
          <w:p w14:paraId="42A1353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3532" w14:textId="77777777" w:rsidR="00BB68E1" w:rsidRDefault="005D2D5E">
            <w:pPr>
              <w:textAlignment w:val="center"/>
              <w:rPr>
                <w:rFonts w:ascii="Times New Roman" w:hAnsi="Times New Roman"/>
                <w:sz w:val="16"/>
                <w:szCs w:val="16"/>
              </w:rPr>
            </w:pPr>
            <w:r>
              <w:rPr>
                <w:rFonts w:ascii="Times New Roman" w:eastAsia="宋体" w:hAnsi="Times New Roman"/>
                <w:sz w:val="10"/>
                <w:szCs w:val="10"/>
              </w:rPr>
              <w:t>(1)</w:t>
            </w:r>
            <w:r>
              <w:rPr>
                <w:rFonts w:ascii="Times New Roman" w:eastAsia="宋体" w:hAnsi="Times New Roman"/>
                <w:sz w:val="16"/>
                <w:szCs w:val="16"/>
              </w:rPr>
              <w:t> </w:t>
            </w:r>
          </w:p>
        </w:tc>
        <w:tc>
          <w:tcPr>
            <w:tcW w:w="0" w:type="auto"/>
            <w:tcBorders>
              <w:top w:val="single" w:sz="8" w:space="0" w:color="000000"/>
            </w:tcBorders>
            <w:shd w:val="clear" w:color="auto" w:fill="CCEEFF"/>
            <w:tcMar>
              <w:top w:w="40" w:type="dxa"/>
              <w:left w:w="40" w:type="dxa"/>
              <w:bottom w:w="40" w:type="dxa"/>
            </w:tcMar>
            <w:vAlign w:val="center"/>
          </w:tcPr>
          <w:p w14:paraId="42A1353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353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4,000</w:t>
            </w:r>
          </w:p>
        </w:tc>
        <w:tc>
          <w:tcPr>
            <w:tcW w:w="0" w:type="auto"/>
            <w:tcBorders>
              <w:top w:val="single" w:sz="8" w:space="0" w:color="000000"/>
            </w:tcBorders>
            <w:shd w:val="clear" w:color="auto" w:fill="CCEEFF"/>
            <w:vAlign w:val="bottom"/>
          </w:tcPr>
          <w:p w14:paraId="42A1353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53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53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53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(78</w:t>
            </w:r>
          </w:p>
        </w:tc>
        <w:tc>
          <w:tcPr>
            <w:tcW w:w="0" w:type="auto"/>
            <w:shd w:val="clear" w:color="auto" w:fill="CCEEFF"/>
            <w:tcMar>
              <w:top w:w="40" w:type="dxa"/>
              <w:bottom w:w="40" w:type="dxa"/>
              <w:right w:w="40" w:type="dxa"/>
            </w:tcMar>
            <w:vAlign w:val="center"/>
          </w:tcPr>
          <w:p w14:paraId="42A1353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center"/>
          </w:tcPr>
          <w:p w14:paraId="42A1353A" w14:textId="77777777" w:rsidR="00BB68E1" w:rsidRDefault="005D2D5E">
            <w:pPr>
              <w:textAlignment w:val="center"/>
              <w:rPr>
                <w:rFonts w:ascii="Times New Roman" w:hAnsi="Times New Roman"/>
                <w:sz w:val="16"/>
                <w:szCs w:val="16"/>
              </w:rPr>
            </w:pPr>
            <w:r>
              <w:rPr>
                <w:rFonts w:ascii="Times New Roman" w:eastAsia="宋体" w:hAnsi="Times New Roman"/>
                <w:sz w:val="10"/>
                <w:szCs w:val="10"/>
              </w:rPr>
              <w:t>(2)</w:t>
            </w:r>
            <w:r>
              <w:rPr>
                <w:rFonts w:ascii="Times New Roman" w:eastAsia="宋体" w:hAnsi="Times New Roman"/>
                <w:sz w:val="16"/>
                <w:szCs w:val="16"/>
              </w:rPr>
              <w:t> </w:t>
            </w:r>
          </w:p>
        </w:tc>
      </w:tr>
      <w:tr w:rsidR="00BB68E1" w14:paraId="42A13549" w14:textId="77777777">
        <w:tc>
          <w:tcPr>
            <w:tcW w:w="0" w:type="auto"/>
            <w:shd w:val="clear" w:color="auto" w:fill="auto"/>
            <w:tcMar>
              <w:top w:w="40" w:type="dxa"/>
              <w:left w:w="40" w:type="dxa"/>
              <w:bottom w:w="40" w:type="dxa"/>
              <w:right w:w="40" w:type="dxa"/>
            </w:tcMar>
            <w:vAlign w:val="center"/>
          </w:tcPr>
          <w:p w14:paraId="42A1353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Receive fixed-rate, pay fixed-rate cross-currency swaps designated as net investment hedges</w:t>
            </w:r>
          </w:p>
        </w:tc>
        <w:tc>
          <w:tcPr>
            <w:tcW w:w="0" w:type="auto"/>
            <w:gridSpan w:val="2"/>
            <w:shd w:val="clear" w:color="auto" w:fill="auto"/>
            <w:tcMar>
              <w:top w:w="40" w:type="dxa"/>
              <w:left w:w="40" w:type="dxa"/>
              <w:bottom w:w="40" w:type="dxa"/>
            </w:tcMar>
            <w:vAlign w:val="center"/>
          </w:tcPr>
          <w:p w14:paraId="42A1353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3,750</w:t>
            </w:r>
          </w:p>
        </w:tc>
        <w:tc>
          <w:tcPr>
            <w:tcW w:w="0" w:type="auto"/>
            <w:shd w:val="clear" w:color="auto" w:fill="auto"/>
            <w:vAlign w:val="bottom"/>
          </w:tcPr>
          <w:p w14:paraId="42A1353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53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54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455</w:t>
            </w:r>
          </w:p>
        </w:tc>
        <w:tc>
          <w:tcPr>
            <w:tcW w:w="0" w:type="auto"/>
            <w:shd w:val="clear" w:color="auto" w:fill="auto"/>
            <w:vAlign w:val="bottom"/>
          </w:tcPr>
          <w:p w14:paraId="42A1354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3542" w14:textId="77777777" w:rsidR="00BB68E1" w:rsidRDefault="005D2D5E">
            <w:pPr>
              <w:textAlignment w:val="center"/>
              <w:rPr>
                <w:rFonts w:ascii="Times New Roman" w:hAnsi="Times New Roman"/>
                <w:sz w:val="16"/>
                <w:szCs w:val="16"/>
              </w:rPr>
            </w:pPr>
            <w:r>
              <w:rPr>
                <w:rFonts w:ascii="Times New Roman" w:eastAsia="宋体" w:hAnsi="Times New Roman"/>
                <w:sz w:val="10"/>
                <w:szCs w:val="10"/>
              </w:rPr>
              <w:t>(1)</w:t>
            </w:r>
            <w:r>
              <w:rPr>
                <w:rFonts w:ascii="Times New Roman" w:eastAsia="宋体" w:hAnsi="Times New Roman"/>
                <w:sz w:val="16"/>
                <w:szCs w:val="16"/>
              </w:rPr>
              <w:t> </w:t>
            </w:r>
          </w:p>
        </w:tc>
        <w:tc>
          <w:tcPr>
            <w:tcW w:w="0" w:type="auto"/>
            <w:gridSpan w:val="2"/>
            <w:shd w:val="clear" w:color="auto" w:fill="auto"/>
            <w:tcMar>
              <w:top w:w="40" w:type="dxa"/>
              <w:left w:w="40" w:type="dxa"/>
              <w:bottom w:w="40" w:type="dxa"/>
            </w:tcMar>
            <w:vAlign w:val="center"/>
          </w:tcPr>
          <w:p w14:paraId="42A1354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2,250</w:t>
            </w:r>
          </w:p>
        </w:tc>
        <w:tc>
          <w:tcPr>
            <w:tcW w:w="0" w:type="auto"/>
            <w:shd w:val="clear" w:color="auto" w:fill="auto"/>
            <w:vAlign w:val="bottom"/>
          </w:tcPr>
          <w:p w14:paraId="42A1354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54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54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334</w:t>
            </w:r>
          </w:p>
        </w:tc>
        <w:tc>
          <w:tcPr>
            <w:tcW w:w="0" w:type="auto"/>
            <w:shd w:val="clear" w:color="auto" w:fill="auto"/>
            <w:vAlign w:val="bottom"/>
          </w:tcPr>
          <w:p w14:paraId="42A1354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2A13548" w14:textId="77777777" w:rsidR="00BB68E1" w:rsidRDefault="005D2D5E">
            <w:pPr>
              <w:textAlignment w:val="center"/>
              <w:rPr>
                <w:rFonts w:ascii="Times New Roman" w:hAnsi="Times New Roman"/>
                <w:sz w:val="16"/>
                <w:szCs w:val="16"/>
              </w:rPr>
            </w:pPr>
            <w:r>
              <w:rPr>
                <w:rFonts w:ascii="Times New Roman" w:eastAsia="宋体" w:hAnsi="Times New Roman"/>
                <w:sz w:val="10"/>
                <w:szCs w:val="10"/>
              </w:rPr>
              <w:t>(1)</w:t>
            </w:r>
            <w:r>
              <w:rPr>
                <w:rFonts w:ascii="Times New Roman" w:eastAsia="宋体" w:hAnsi="Times New Roman"/>
                <w:sz w:val="16"/>
                <w:szCs w:val="16"/>
              </w:rPr>
              <w:t> </w:t>
            </w:r>
          </w:p>
        </w:tc>
      </w:tr>
      <w:tr w:rsidR="00BB68E1" w14:paraId="42A13557" w14:textId="77777777">
        <w:tc>
          <w:tcPr>
            <w:tcW w:w="0" w:type="auto"/>
            <w:shd w:val="clear" w:color="auto" w:fill="CCEEFF"/>
            <w:tcMar>
              <w:top w:w="40" w:type="dxa"/>
              <w:left w:w="40" w:type="dxa"/>
              <w:bottom w:w="40" w:type="dxa"/>
              <w:right w:w="40" w:type="dxa"/>
            </w:tcMar>
            <w:vAlign w:val="center"/>
          </w:tcPr>
          <w:p w14:paraId="42A1354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Receive fixed-rate, pay fixed-rate cross-currency swaps designated as cash flow hedges</w:t>
            </w:r>
          </w:p>
        </w:tc>
        <w:tc>
          <w:tcPr>
            <w:tcW w:w="0" w:type="auto"/>
            <w:gridSpan w:val="2"/>
            <w:shd w:val="clear" w:color="auto" w:fill="CCEEFF"/>
            <w:tcMar>
              <w:top w:w="40" w:type="dxa"/>
              <w:left w:w="40" w:type="dxa"/>
              <w:bottom w:w="40" w:type="dxa"/>
            </w:tcMar>
            <w:vAlign w:val="center"/>
          </w:tcPr>
          <w:p w14:paraId="42A1354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4,067</w:t>
            </w:r>
          </w:p>
        </w:tc>
        <w:tc>
          <w:tcPr>
            <w:tcW w:w="0" w:type="auto"/>
            <w:shd w:val="clear" w:color="auto" w:fill="CCEEFF"/>
            <w:vAlign w:val="bottom"/>
          </w:tcPr>
          <w:p w14:paraId="42A1354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5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54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(696</w:t>
            </w:r>
          </w:p>
        </w:tc>
        <w:tc>
          <w:tcPr>
            <w:tcW w:w="0" w:type="auto"/>
            <w:shd w:val="clear" w:color="auto" w:fill="CCEEFF"/>
            <w:tcMar>
              <w:top w:w="40" w:type="dxa"/>
              <w:bottom w:w="40" w:type="dxa"/>
              <w:right w:w="40" w:type="dxa"/>
            </w:tcMar>
            <w:vAlign w:val="center"/>
          </w:tcPr>
          <w:p w14:paraId="42A1354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center"/>
          </w:tcPr>
          <w:p w14:paraId="42A13550" w14:textId="77777777" w:rsidR="00BB68E1" w:rsidRDefault="005D2D5E">
            <w:pPr>
              <w:textAlignment w:val="center"/>
              <w:rPr>
                <w:rFonts w:ascii="Times New Roman" w:hAnsi="Times New Roman"/>
                <w:sz w:val="16"/>
                <w:szCs w:val="16"/>
              </w:rPr>
            </w:pPr>
            <w:r>
              <w:rPr>
                <w:rFonts w:ascii="Times New Roman" w:eastAsia="宋体" w:hAnsi="Times New Roman"/>
                <w:sz w:val="10"/>
                <w:szCs w:val="10"/>
              </w:rPr>
              <w:t>(2)</w:t>
            </w:r>
            <w:r>
              <w:rPr>
                <w:rFonts w:ascii="Times New Roman" w:eastAsia="宋体" w:hAnsi="Times New Roman"/>
                <w:sz w:val="16"/>
                <w:szCs w:val="16"/>
              </w:rPr>
              <w:t> </w:t>
            </w:r>
          </w:p>
        </w:tc>
        <w:tc>
          <w:tcPr>
            <w:tcW w:w="0" w:type="auto"/>
            <w:gridSpan w:val="2"/>
            <w:shd w:val="clear" w:color="auto" w:fill="CCEEFF"/>
            <w:tcMar>
              <w:top w:w="40" w:type="dxa"/>
              <w:left w:w="40" w:type="dxa"/>
              <w:bottom w:w="40" w:type="dxa"/>
            </w:tcMar>
            <w:vAlign w:val="center"/>
          </w:tcPr>
          <w:p w14:paraId="42A1355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4,173</w:t>
            </w:r>
          </w:p>
        </w:tc>
        <w:tc>
          <w:tcPr>
            <w:tcW w:w="0" w:type="auto"/>
            <w:shd w:val="clear" w:color="auto" w:fill="CCEEFF"/>
            <w:vAlign w:val="bottom"/>
          </w:tcPr>
          <w:p w14:paraId="42A1355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55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55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(272</w:t>
            </w:r>
          </w:p>
        </w:tc>
        <w:tc>
          <w:tcPr>
            <w:tcW w:w="0" w:type="auto"/>
            <w:shd w:val="clear" w:color="auto" w:fill="CCEEFF"/>
            <w:tcMar>
              <w:top w:w="40" w:type="dxa"/>
              <w:bottom w:w="40" w:type="dxa"/>
              <w:right w:w="40" w:type="dxa"/>
            </w:tcMar>
            <w:vAlign w:val="center"/>
          </w:tcPr>
          <w:p w14:paraId="42A1355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center"/>
          </w:tcPr>
          <w:p w14:paraId="42A13556" w14:textId="77777777" w:rsidR="00BB68E1" w:rsidRDefault="005D2D5E">
            <w:pPr>
              <w:textAlignment w:val="center"/>
              <w:rPr>
                <w:rFonts w:ascii="Times New Roman" w:hAnsi="Times New Roman"/>
                <w:sz w:val="16"/>
                <w:szCs w:val="16"/>
              </w:rPr>
            </w:pPr>
            <w:r>
              <w:rPr>
                <w:rFonts w:ascii="Times New Roman" w:eastAsia="宋体" w:hAnsi="Times New Roman"/>
                <w:sz w:val="10"/>
                <w:szCs w:val="10"/>
              </w:rPr>
              <w:t>(3)</w:t>
            </w:r>
            <w:r>
              <w:rPr>
                <w:rFonts w:ascii="Times New Roman" w:eastAsia="宋体" w:hAnsi="Times New Roman"/>
                <w:sz w:val="16"/>
                <w:szCs w:val="16"/>
              </w:rPr>
              <w:t> </w:t>
            </w:r>
          </w:p>
        </w:tc>
      </w:tr>
      <w:tr w:rsidR="00BB68E1" w14:paraId="42A13569" w14:textId="77777777">
        <w:tc>
          <w:tcPr>
            <w:tcW w:w="0" w:type="auto"/>
            <w:shd w:val="clear" w:color="auto" w:fill="auto"/>
            <w:tcMar>
              <w:top w:w="40" w:type="dxa"/>
              <w:left w:w="40" w:type="dxa"/>
              <w:bottom w:w="40" w:type="dxa"/>
              <w:right w:w="40" w:type="dxa"/>
            </w:tcMar>
            <w:vAlign w:val="center"/>
          </w:tcPr>
          <w:p w14:paraId="42A13558"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355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355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11,817</w:t>
            </w:r>
          </w:p>
        </w:tc>
        <w:tc>
          <w:tcPr>
            <w:tcW w:w="0" w:type="auto"/>
            <w:tcBorders>
              <w:top w:val="single" w:sz="8" w:space="0" w:color="000000"/>
              <w:bottom w:val="double" w:sz="6" w:space="0" w:color="000000"/>
            </w:tcBorders>
            <w:shd w:val="clear" w:color="auto" w:fill="auto"/>
            <w:vAlign w:val="bottom"/>
          </w:tcPr>
          <w:p w14:paraId="42A1355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55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355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355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(144</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42A1355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356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356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356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10,423</w:t>
            </w:r>
          </w:p>
        </w:tc>
        <w:tc>
          <w:tcPr>
            <w:tcW w:w="0" w:type="auto"/>
            <w:tcBorders>
              <w:top w:val="single" w:sz="8" w:space="0" w:color="000000"/>
              <w:bottom w:val="double" w:sz="6" w:space="0" w:color="000000"/>
            </w:tcBorders>
            <w:shd w:val="clear" w:color="auto" w:fill="auto"/>
            <w:vAlign w:val="bottom"/>
          </w:tcPr>
          <w:p w14:paraId="42A1356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56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356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356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42A1356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356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bl>
    <w:p w14:paraId="42A1356A" w14:textId="77777777" w:rsidR="00BB68E1" w:rsidRDefault="00BB68E1"/>
    <w:tbl>
      <w:tblPr>
        <w:tblW w:w="0" w:type="auto"/>
        <w:tblCellSpacing w:w="0" w:type="dxa"/>
        <w:tblCellMar>
          <w:left w:w="0" w:type="dxa"/>
          <w:right w:w="0" w:type="dxa"/>
        </w:tblCellMar>
        <w:tblLook w:val="04A0" w:firstRow="1" w:lastRow="0" w:firstColumn="1" w:lastColumn="0" w:noHBand="0" w:noVBand="1"/>
      </w:tblPr>
      <w:tblGrid>
        <w:gridCol w:w="360"/>
        <w:gridCol w:w="5668"/>
      </w:tblGrid>
      <w:tr w:rsidR="00BB68E1" w14:paraId="42A1356D" w14:textId="77777777">
        <w:trPr>
          <w:tblCellSpacing w:w="0" w:type="dxa"/>
        </w:trPr>
        <w:tc>
          <w:tcPr>
            <w:tcW w:w="360" w:type="dxa"/>
            <w:shd w:val="clear" w:color="auto" w:fill="auto"/>
            <w:vAlign w:val="center"/>
          </w:tcPr>
          <w:p w14:paraId="42A1356B" w14:textId="77777777" w:rsidR="00BB68E1" w:rsidRDefault="00BB68E1">
            <w:pPr>
              <w:rPr>
                <w:rFonts w:ascii="Times New Roman" w:hAnsi="Times New Roman"/>
                <w:sz w:val="20"/>
                <w:szCs w:val="20"/>
              </w:rPr>
            </w:pPr>
          </w:p>
        </w:tc>
        <w:tc>
          <w:tcPr>
            <w:tcW w:w="0" w:type="auto"/>
            <w:shd w:val="clear" w:color="auto" w:fill="auto"/>
            <w:vAlign w:val="center"/>
          </w:tcPr>
          <w:p w14:paraId="42A1356C" w14:textId="77777777" w:rsidR="00BB68E1" w:rsidRDefault="00BB68E1">
            <w:pPr>
              <w:rPr>
                <w:rFonts w:ascii="Times New Roman" w:hAnsi="Times New Roman"/>
                <w:sz w:val="20"/>
                <w:szCs w:val="20"/>
              </w:rPr>
            </w:pPr>
          </w:p>
        </w:tc>
      </w:tr>
      <w:tr w:rsidR="00BB68E1" w14:paraId="42A13570" w14:textId="77777777">
        <w:trPr>
          <w:tblCellSpacing w:w="0" w:type="dxa"/>
        </w:trPr>
        <w:tc>
          <w:tcPr>
            <w:tcW w:w="0" w:type="auto"/>
            <w:shd w:val="clear" w:color="auto" w:fill="auto"/>
          </w:tcPr>
          <w:p w14:paraId="42A1356E"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0"/>
                <w:szCs w:val="10"/>
              </w:rPr>
              <w:t>(1)</w:t>
            </w:r>
            <w:r>
              <w:rPr>
                <w:rFonts w:ascii="Times New Roman" w:eastAsia="宋体" w:hAnsi="Times New Roman"/>
                <w:sz w:val="16"/>
                <w:szCs w:val="16"/>
              </w:rPr>
              <w:t> </w:t>
            </w:r>
          </w:p>
        </w:tc>
        <w:tc>
          <w:tcPr>
            <w:tcW w:w="0" w:type="auto"/>
            <w:shd w:val="clear" w:color="auto" w:fill="auto"/>
          </w:tcPr>
          <w:p w14:paraId="42A1356F"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Classified in Other long-term assets within the Company's Consolidated Balance Sheets.</w:t>
            </w:r>
          </w:p>
        </w:tc>
      </w:tr>
    </w:tbl>
    <w:p w14:paraId="42A13571"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360"/>
        <w:gridCol w:w="6308"/>
      </w:tblGrid>
      <w:tr w:rsidR="00BB68E1" w14:paraId="42A13574" w14:textId="77777777">
        <w:trPr>
          <w:tblCellSpacing w:w="0" w:type="dxa"/>
        </w:trPr>
        <w:tc>
          <w:tcPr>
            <w:tcW w:w="360" w:type="dxa"/>
            <w:shd w:val="clear" w:color="auto" w:fill="auto"/>
            <w:vAlign w:val="center"/>
          </w:tcPr>
          <w:p w14:paraId="42A13572" w14:textId="77777777" w:rsidR="00BB68E1" w:rsidRDefault="00BB68E1">
            <w:pPr>
              <w:rPr>
                <w:rFonts w:ascii="Times New Roman" w:hAnsi="Times New Roman"/>
                <w:sz w:val="20"/>
                <w:szCs w:val="20"/>
              </w:rPr>
            </w:pPr>
          </w:p>
        </w:tc>
        <w:tc>
          <w:tcPr>
            <w:tcW w:w="0" w:type="auto"/>
            <w:shd w:val="clear" w:color="auto" w:fill="auto"/>
            <w:vAlign w:val="center"/>
          </w:tcPr>
          <w:p w14:paraId="42A13573" w14:textId="77777777" w:rsidR="00BB68E1" w:rsidRDefault="00BB68E1">
            <w:pPr>
              <w:rPr>
                <w:rFonts w:ascii="Times New Roman" w:hAnsi="Times New Roman"/>
                <w:sz w:val="20"/>
                <w:szCs w:val="20"/>
              </w:rPr>
            </w:pPr>
          </w:p>
        </w:tc>
      </w:tr>
      <w:tr w:rsidR="00BB68E1" w14:paraId="42A13577" w14:textId="77777777">
        <w:trPr>
          <w:tblCellSpacing w:w="0" w:type="dxa"/>
        </w:trPr>
        <w:tc>
          <w:tcPr>
            <w:tcW w:w="0" w:type="auto"/>
            <w:shd w:val="clear" w:color="auto" w:fill="auto"/>
          </w:tcPr>
          <w:p w14:paraId="42A13575"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0"/>
                <w:szCs w:val="10"/>
              </w:rPr>
              <w:t>(2)</w:t>
            </w:r>
            <w:r>
              <w:rPr>
                <w:rFonts w:ascii="Times New Roman" w:eastAsia="宋体" w:hAnsi="Times New Roman"/>
                <w:sz w:val="16"/>
                <w:szCs w:val="16"/>
              </w:rPr>
              <w:t> </w:t>
            </w:r>
          </w:p>
        </w:tc>
        <w:tc>
          <w:tcPr>
            <w:tcW w:w="0" w:type="auto"/>
            <w:shd w:val="clear" w:color="auto" w:fill="auto"/>
          </w:tcPr>
          <w:p w14:paraId="42A13576"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 xml:space="preserve">Classified in Deferred income taxes and other within the Company's Consolidated </w:t>
            </w:r>
            <w:r>
              <w:rPr>
                <w:rFonts w:ascii="Times New Roman" w:eastAsia="宋体" w:hAnsi="Times New Roman"/>
                <w:sz w:val="16"/>
                <w:szCs w:val="16"/>
              </w:rPr>
              <w:t>Balance Sheets.</w:t>
            </w:r>
          </w:p>
        </w:tc>
      </w:tr>
    </w:tbl>
    <w:p w14:paraId="42A13578"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BB68E1" w14:paraId="42A1357B" w14:textId="77777777">
        <w:trPr>
          <w:tblCellSpacing w:w="0" w:type="dxa"/>
        </w:trPr>
        <w:tc>
          <w:tcPr>
            <w:tcW w:w="360" w:type="dxa"/>
            <w:shd w:val="clear" w:color="auto" w:fill="auto"/>
            <w:vAlign w:val="center"/>
          </w:tcPr>
          <w:p w14:paraId="42A13579" w14:textId="77777777" w:rsidR="00BB68E1" w:rsidRDefault="00BB68E1">
            <w:pPr>
              <w:rPr>
                <w:rFonts w:ascii="Times New Roman" w:hAnsi="Times New Roman"/>
                <w:sz w:val="20"/>
                <w:szCs w:val="20"/>
              </w:rPr>
            </w:pPr>
          </w:p>
        </w:tc>
        <w:tc>
          <w:tcPr>
            <w:tcW w:w="0" w:type="auto"/>
            <w:shd w:val="clear" w:color="auto" w:fill="auto"/>
            <w:vAlign w:val="center"/>
          </w:tcPr>
          <w:p w14:paraId="42A1357A" w14:textId="77777777" w:rsidR="00BB68E1" w:rsidRDefault="00BB68E1">
            <w:pPr>
              <w:rPr>
                <w:rFonts w:ascii="Times New Roman" w:hAnsi="Times New Roman"/>
                <w:sz w:val="20"/>
                <w:szCs w:val="20"/>
              </w:rPr>
            </w:pPr>
          </w:p>
        </w:tc>
      </w:tr>
      <w:tr w:rsidR="00BB68E1" w14:paraId="42A1357E" w14:textId="77777777">
        <w:trPr>
          <w:tblCellSpacing w:w="0" w:type="dxa"/>
        </w:trPr>
        <w:tc>
          <w:tcPr>
            <w:tcW w:w="0" w:type="auto"/>
            <w:shd w:val="clear" w:color="auto" w:fill="auto"/>
          </w:tcPr>
          <w:p w14:paraId="42A1357C"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0"/>
                <w:szCs w:val="10"/>
              </w:rPr>
              <w:t>(3)</w:t>
            </w:r>
            <w:r>
              <w:rPr>
                <w:rFonts w:ascii="Times New Roman" w:eastAsia="宋体" w:hAnsi="Times New Roman"/>
                <w:sz w:val="16"/>
                <w:szCs w:val="16"/>
              </w:rPr>
              <w:t> </w:t>
            </w:r>
          </w:p>
        </w:tc>
        <w:tc>
          <w:tcPr>
            <w:tcW w:w="0" w:type="auto"/>
            <w:shd w:val="clear" w:color="auto" w:fill="auto"/>
          </w:tcPr>
          <w:p w14:paraId="42A1357D"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Approximately $350 million of cash flow hedges were classified in Deferred income taxes and other and $78 million of cash flow were classified in Other long-term assets in the Company's Consolidated Balance Sheets.</w:t>
            </w:r>
          </w:p>
        </w:tc>
      </w:tr>
    </w:tbl>
    <w:p w14:paraId="42A1357F"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Nonrecurring Fair Value Measurements</w:t>
      </w:r>
    </w:p>
    <w:p w14:paraId="42A1358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addition to assets and liabilities that are recorded at fair value on a recurring basis, the Company's assets and liabilities are also subject to nonrecurring fair value measurements. Generally, assets are recorded a</w:t>
      </w:r>
      <w:r>
        <w:rPr>
          <w:rFonts w:ascii="Times New Roman" w:eastAsia="宋体" w:hAnsi="Times New Roman"/>
          <w:sz w:val="20"/>
          <w:szCs w:val="20"/>
        </w:rPr>
        <w:t xml:space="preserve">t fair value on a nonrecurring basis as a result of impairment charges. </w:t>
      </w:r>
    </w:p>
    <w:p w14:paraId="42A1358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For the fiscal year ended January 31, 2020, the Company recorded impairment charges related to assets measured at fair value on a non-recurring basis primarily related to the followin</w:t>
      </w:r>
      <w:r>
        <w:rPr>
          <w:rFonts w:ascii="Times New Roman" w:eastAsia="宋体" w:hAnsi="Times New Roman"/>
          <w:sz w:val="20"/>
          <w:szCs w:val="20"/>
        </w:rPr>
        <w:t xml:space="preserve">g: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3584" w14:textId="77777777">
        <w:trPr>
          <w:tblCellSpacing w:w="0" w:type="dxa"/>
        </w:trPr>
        <w:tc>
          <w:tcPr>
            <w:tcW w:w="960" w:type="dxa"/>
            <w:shd w:val="clear" w:color="auto" w:fill="auto"/>
            <w:vAlign w:val="center"/>
          </w:tcPr>
          <w:p w14:paraId="42A13582" w14:textId="77777777" w:rsidR="00BB68E1" w:rsidRDefault="00BB68E1">
            <w:pPr>
              <w:rPr>
                <w:rFonts w:ascii="Times New Roman" w:hAnsi="Times New Roman"/>
                <w:sz w:val="20"/>
                <w:szCs w:val="20"/>
              </w:rPr>
            </w:pPr>
          </w:p>
        </w:tc>
        <w:tc>
          <w:tcPr>
            <w:tcW w:w="0" w:type="auto"/>
            <w:shd w:val="clear" w:color="auto" w:fill="auto"/>
            <w:vAlign w:val="center"/>
          </w:tcPr>
          <w:p w14:paraId="42A13583" w14:textId="77777777" w:rsidR="00BB68E1" w:rsidRDefault="00BB68E1">
            <w:pPr>
              <w:rPr>
                <w:rFonts w:ascii="Times New Roman" w:hAnsi="Times New Roman"/>
                <w:sz w:val="20"/>
                <w:szCs w:val="20"/>
              </w:rPr>
            </w:pPr>
          </w:p>
        </w:tc>
      </w:tr>
      <w:tr w:rsidR="00BB68E1" w14:paraId="42A13587" w14:textId="77777777">
        <w:trPr>
          <w:tblCellSpacing w:w="0" w:type="dxa"/>
        </w:trPr>
        <w:tc>
          <w:tcPr>
            <w:tcW w:w="0" w:type="auto"/>
            <w:shd w:val="clear" w:color="auto" w:fill="auto"/>
          </w:tcPr>
          <w:p w14:paraId="42A13585"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3586"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in the Walmart U.S. segment, $0.5 billion in impairment charges for impaired assets consisting primarily of trade names and acquired developed software due to strategic decisions that resulted in the write-down of certain eCommerce assets; and</w:t>
            </w:r>
          </w:p>
        </w:tc>
      </w:tr>
    </w:tbl>
    <w:p w14:paraId="42A13588"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358B" w14:textId="77777777">
        <w:trPr>
          <w:tblCellSpacing w:w="0" w:type="dxa"/>
        </w:trPr>
        <w:tc>
          <w:tcPr>
            <w:tcW w:w="960" w:type="dxa"/>
            <w:shd w:val="clear" w:color="auto" w:fill="auto"/>
            <w:vAlign w:val="center"/>
          </w:tcPr>
          <w:p w14:paraId="42A13589" w14:textId="77777777" w:rsidR="00BB68E1" w:rsidRDefault="00BB68E1">
            <w:pPr>
              <w:rPr>
                <w:rFonts w:ascii="Times New Roman" w:hAnsi="Times New Roman"/>
                <w:sz w:val="20"/>
                <w:szCs w:val="20"/>
              </w:rPr>
            </w:pPr>
          </w:p>
        </w:tc>
        <w:tc>
          <w:tcPr>
            <w:tcW w:w="0" w:type="auto"/>
            <w:shd w:val="clear" w:color="auto" w:fill="auto"/>
            <w:vAlign w:val="center"/>
          </w:tcPr>
          <w:p w14:paraId="42A1358A" w14:textId="77777777" w:rsidR="00BB68E1" w:rsidRDefault="00BB68E1">
            <w:pPr>
              <w:rPr>
                <w:rFonts w:ascii="Times New Roman" w:hAnsi="Times New Roman"/>
                <w:sz w:val="20"/>
                <w:szCs w:val="20"/>
              </w:rPr>
            </w:pPr>
          </w:p>
        </w:tc>
      </w:tr>
      <w:tr w:rsidR="00BB68E1" w14:paraId="42A1358E" w14:textId="77777777">
        <w:trPr>
          <w:tblCellSpacing w:w="0" w:type="dxa"/>
        </w:trPr>
        <w:tc>
          <w:tcPr>
            <w:tcW w:w="0" w:type="auto"/>
            <w:shd w:val="clear" w:color="auto" w:fill="auto"/>
          </w:tcPr>
          <w:p w14:paraId="42A1358C"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358D"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in the Walmart International segment, $0.4 billion in impairment charges consisting primarily of the write-off of the carrying value of one of Flipkart's two fashion trade names, Jabong.com, as a result of a strategic decision to focus on the Myntra.c</w:t>
            </w:r>
            <w:r>
              <w:rPr>
                <w:rFonts w:ascii="Times New Roman" w:eastAsia="宋体" w:hAnsi="Times New Roman"/>
                <w:sz w:val="20"/>
                <w:szCs w:val="20"/>
              </w:rPr>
              <w:t>om fashion platform.</w:t>
            </w:r>
          </w:p>
        </w:tc>
      </w:tr>
    </w:tbl>
    <w:p w14:paraId="42A1358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These impairment charges were classified in operating, selling, general and administrative expenses in the Company's Consolidated Statements of Income. Other impairment charges for assets measured at fair value on a nonrecurring basis</w:t>
      </w:r>
      <w:r>
        <w:rPr>
          <w:rFonts w:ascii="Times New Roman" w:eastAsia="宋体" w:hAnsi="Times New Roman"/>
          <w:sz w:val="20"/>
          <w:szCs w:val="20"/>
        </w:rPr>
        <w:t xml:space="preserve"> during fiscal 2020 were immaterial. </w:t>
      </w:r>
    </w:p>
    <w:p w14:paraId="42A1359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 xml:space="preserve">As discussed in </w:t>
      </w:r>
      <w:hyperlink r:id="rId133" w:anchor="sF3EC33622B9D5E9FA81B9AF6D8900DC8" w:history="1">
        <w:r>
          <w:rPr>
            <w:rStyle w:val="a5"/>
            <w:rFonts w:ascii="Times New Roman" w:eastAsia="宋体" w:hAnsi="Times New Roman"/>
            <w:sz w:val="20"/>
            <w:szCs w:val="20"/>
          </w:rPr>
          <w:t>Note 12</w:t>
        </w:r>
      </w:hyperlink>
      <w:r>
        <w:rPr>
          <w:rFonts w:ascii="Times New Roman" w:eastAsia="宋体" w:hAnsi="Times New Roman"/>
          <w:sz w:val="20"/>
          <w:szCs w:val="20"/>
        </w:rPr>
        <w:t xml:space="preserve">, the Company sold the </w:t>
      </w:r>
      <w:r>
        <w:rPr>
          <w:rFonts w:ascii="Times New Roman" w:eastAsia="宋体" w:hAnsi="Times New Roman"/>
          <w:sz w:val="20"/>
          <w:szCs w:val="20"/>
        </w:rPr>
        <w:t>majority stake in Walmart Brazil during fiscal 2019. The assets of the disposal group totaled $3.3 billion and were comprised of $1.0 billion in current assets, $1.6 billion in property and equipment and property under capital lease and financing obligatio</w:t>
      </w:r>
      <w:r>
        <w:rPr>
          <w:rFonts w:ascii="Times New Roman" w:eastAsia="宋体" w:hAnsi="Times New Roman"/>
          <w:sz w:val="20"/>
          <w:szCs w:val="20"/>
        </w:rPr>
        <w:t>ns, net, and $0.7 billion of other long-term assets. When measured as held for sale, these assets were fully impaired as the carrying value of the disposal group exceeded the fair value, less costs to sell and contributed to a pre-tax net loss of $4.8 bill</w:t>
      </w:r>
      <w:r>
        <w:rPr>
          <w:rFonts w:ascii="Times New Roman" w:eastAsia="宋体" w:hAnsi="Times New Roman"/>
          <w:sz w:val="20"/>
          <w:szCs w:val="20"/>
        </w:rPr>
        <w:t>ion in the Walmart International segment, which was recorded in other gains and losses in the Company's Consolidated Statement of Income. Other impairment charges to assets measured at fair value on a nonrecurring basis during fiscal 2019 were immaterial.</w:t>
      </w:r>
    </w:p>
    <w:p w14:paraId="42A13591"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Other Fair Value Disclosures</w:t>
      </w:r>
    </w:p>
    <w:p w14:paraId="42A1359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records cash and cash equivalents, restricted cash and short-term borrowings at cost. The carrying values of these instruments approximate their fair value due to their short-term maturities.</w:t>
      </w:r>
    </w:p>
    <w:p w14:paraId="42A1359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Company's long-term</w:t>
      </w:r>
      <w:r>
        <w:rPr>
          <w:rFonts w:ascii="Times New Roman" w:eastAsia="宋体" w:hAnsi="Times New Roman"/>
          <w:sz w:val="20"/>
          <w:szCs w:val="20"/>
        </w:rPr>
        <w:t xml:space="preserve"> debt is also recorded at cost. The fair value is estimated using Level 2 inputs based on the Company's current incremental borrowing rate for similar types of borrowing arrangements. The carrying value and fair value of the Company's long-term debt as of </w:t>
      </w:r>
      <w:r>
        <w:rPr>
          <w:rFonts w:ascii="Times New Roman" w:eastAsia="宋体" w:hAnsi="Times New Roman"/>
          <w:sz w:val="20"/>
          <w:szCs w:val="20"/>
        </w:rPr>
        <w:t>January 31, 2020 and 2019, are as follows:</w:t>
      </w:r>
    </w:p>
    <w:tbl>
      <w:tblPr>
        <w:tblW w:w="5000" w:type="pct"/>
        <w:jc w:val="center"/>
        <w:tblCellMar>
          <w:left w:w="0" w:type="dxa"/>
          <w:right w:w="0" w:type="dxa"/>
        </w:tblCellMar>
        <w:tblLook w:val="04A0" w:firstRow="1" w:lastRow="0" w:firstColumn="1" w:lastColumn="0" w:noHBand="0" w:noVBand="1"/>
      </w:tblPr>
      <w:tblGrid>
        <w:gridCol w:w="3739"/>
        <w:gridCol w:w="130"/>
        <w:gridCol w:w="121"/>
        <w:gridCol w:w="1010"/>
        <w:gridCol w:w="6"/>
        <w:gridCol w:w="130"/>
        <w:gridCol w:w="121"/>
        <w:gridCol w:w="679"/>
        <w:gridCol w:w="67"/>
        <w:gridCol w:w="130"/>
        <w:gridCol w:w="120"/>
        <w:gridCol w:w="960"/>
        <w:gridCol w:w="96"/>
        <w:gridCol w:w="130"/>
        <w:gridCol w:w="121"/>
        <w:gridCol w:w="679"/>
        <w:gridCol w:w="67"/>
      </w:tblGrid>
      <w:tr w:rsidR="00BB68E1" w14:paraId="42A13595" w14:textId="77777777">
        <w:trPr>
          <w:jc w:val="center"/>
        </w:trPr>
        <w:tc>
          <w:tcPr>
            <w:tcW w:w="0" w:type="auto"/>
            <w:gridSpan w:val="17"/>
            <w:shd w:val="clear" w:color="auto" w:fill="auto"/>
            <w:vAlign w:val="center"/>
          </w:tcPr>
          <w:p w14:paraId="42A13594" w14:textId="77777777" w:rsidR="00BB68E1" w:rsidRDefault="00BB68E1">
            <w:pPr>
              <w:rPr>
                <w:rFonts w:ascii="Times New Roman" w:hAnsi="Times New Roman"/>
                <w:sz w:val="20"/>
                <w:szCs w:val="20"/>
              </w:rPr>
            </w:pPr>
          </w:p>
        </w:tc>
      </w:tr>
      <w:tr w:rsidR="00BB68E1" w14:paraId="42A135A7" w14:textId="77777777">
        <w:trPr>
          <w:jc w:val="center"/>
        </w:trPr>
        <w:tc>
          <w:tcPr>
            <w:tcW w:w="2400" w:type="pct"/>
            <w:shd w:val="clear" w:color="auto" w:fill="auto"/>
            <w:vAlign w:val="center"/>
          </w:tcPr>
          <w:p w14:paraId="42A13596" w14:textId="77777777" w:rsidR="00BB68E1" w:rsidRDefault="00BB68E1">
            <w:pPr>
              <w:rPr>
                <w:rFonts w:ascii="Times New Roman" w:hAnsi="Times New Roman"/>
                <w:sz w:val="20"/>
                <w:szCs w:val="20"/>
              </w:rPr>
            </w:pPr>
          </w:p>
        </w:tc>
        <w:tc>
          <w:tcPr>
            <w:tcW w:w="50" w:type="pct"/>
            <w:shd w:val="clear" w:color="auto" w:fill="auto"/>
            <w:vAlign w:val="center"/>
          </w:tcPr>
          <w:p w14:paraId="42A13597" w14:textId="77777777" w:rsidR="00BB68E1" w:rsidRDefault="00BB68E1">
            <w:pPr>
              <w:rPr>
                <w:rFonts w:ascii="Times New Roman" w:hAnsi="Times New Roman"/>
                <w:sz w:val="20"/>
                <w:szCs w:val="20"/>
              </w:rPr>
            </w:pPr>
          </w:p>
        </w:tc>
        <w:tc>
          <w:tcPr>
            <w:tcW w:w="50" w:type="pct"/>
            <w:shd w:val="clear" w:color="auto" w:fill="auto"/>
            <w:vAlign w:val="center"/>
          </w:tcPr>
          <w:p w14:paraId="42A13598" w14:textId="77777777" w:rsidR="00BB68E1" w:rsidRDefault="00BB68E1">
            <w:pPr>
              <w:rPr>
                <w:rFonts w:ascii="Times New Roman" w:hAnsi="Times New Roman"/>
                <w:sz w:val="20"/>
                <w:szCs w:val="20"/>
              </w:rPr>
            </w:pPr>
          </w:p>
        </w:tc>
        <w:tc>
          <w:tcPr>
            <w:tcW w:w="500" w:type="pct"/>
            <w:shd w:val="clear" w:color="auto" w:fill="auto"/>
            <w:vAlign w:val="center"/>
          </w:tcPr>
          <w:p w14:paraId="42A13599" w14:textId="77777777" w:rsidR="00BB68E1" w:rsidRDefault="00BB68E1">
            <w:pPr>
              <w:rPr>
                <w:rFonts w:ascii="Times New Roman" w:hAnsi="Times New Roman"/>
                <w:sz w:val="20"/>
                <w:szCs w:val="20"/>
              </w:rPr>
            </w:pPr>
          </w:p>
        </w:tc>
        <w:tc>
          <w:tcPr>
            <w:tcW w:w="50" w:type="pct"/>
            <w:shd w:val="clear" w:color="auto" w:fill="auto"/>
            <w:vAlign w:val="center"/>
          </w:tcPr>
          <w:p w14:paraId="42A1359A" w14:textId="77777777" w:rsidR="00BB68E1" w:rsidRDefault="00BB68E1">
            <w:pPr>
              <w:rPr>
                <w:rFonts w:ascii="Times New Roman" w:hAnsi="Times New Roman"/>
                <w:sz w:val="20"/>
                <w:szCs w:val="20"/>
              </w:rPr>
            </w:pPr>
          </w:p>
        </w:tc>
        <w:tc>
          <w:tcPr>
            <w:tcW w:w="50" w:type="pct"/>
            <w:shd w:val="clear" w:color="auto" w:fill="auto"/>
            <w:vAlign w:val="center"/>
          </w:tcPr>
          <w:p w14:paraId="42A1359B" w14:textId="77777777" w:rsidR="00BB68E1" w:rsidRDefault="00BB68E1">
            <w:pPr>
              <w:rPr>
                <w:rFonts w:ascii="Times New Roman" w:hAnsi="Times New Roman"/>
                <w:sz w:val="20"/>
                <w:szCs w:val="20"/>
              </w:rPr>
            </w:pPr>
          </w:p>
        </w:tc>
        <w:tc>
          <w:tcPr>
            <w:tcW w:w="50" w:type="pct"/>
            <w:shd w:val="clear" w:color="auto" w:fill="auto"/>
            <w:vAlign w:val="center"/>
          </w:tcPr>
          <w:p w14:paraId="42A1359C" w14:textId="77777777" w:rsidR="00BB68E1" w:rsidRDefault="00BB68E1">
            <w:pPr>
              <w:rPr>
                <w:rFonts w:ascii="Times New Roman" w:hAnsi="Times New Roman"/>
                <w:sz w:val="20"/>
                <w:szCs w:val="20"/>
              </w:rPr>
            </w:pPr>
          </w:p>
        </w:tc>
        <w:tc>
          <w:tcPr>
            <w:tcW w:w="500" w:type="pct"/>
            <w:shd w:val="clear" w:color="auto" w:fill="auto"/>
            <w:vAlign w:val="center"/>
          </w:tcPr>
          <w:p w14:paraId="42A1359D" w14:textId="77777777" w:rsidR="00BB68E1" w:rsidRDefault="00BB68E1">
            <w:pPr>
              <w:rPr>
                <w:rFonts w:ascii="Times New Roman" w:hAnsi="Times New Roman"/>
                <w:sz w:val="20"/>
                <w:szCs w:val="20"/>
              </w:rPr>
            </w:pPr>
          </w:p>
        </w:tc>
        <w:tc>
          <w:tcPr>
            <w:tcW w:w="50" w:type="pct"/>
            <w:shd w:val="clear" w:color="auto" w:fill="auto"/>
            <w:vAlign w:val="center"/>
          </w:tcPr>
          <w:p w14:paraId="42A1359E" w14:textId="77777777" w:rsidR="00BB68E1" w:rsidRDefault="00BB68E1">
            <w:pPr>
              <w:rPr>
                <w:rFonts w:ascii="Times New Roman" w:hAnsi="Times New Roman"/>
                <w:sz w:val="20"/>
                <w:szCs w:val="20"/>
              </w:rPr>
            </w:pPr>
          </w:p>
        </w:tc>
        <w:tc>
          <w:tcPr>
            <w:tcW w:w="50" w:type="pct"/>
            <w:shd w:val="clear" w:color="auto" w:fill="auto"/>
            <w:vAlign w:val="center"/>
          </w:tcPr>
          <w:p w14:paraId="42A1359F" w14:textId="77777777" w:rsidR="00BB68E1" w:rsidRDefault="00BB68E1">
            <w:pPr>
              <w:rPr>
                <w:rFonts w:ascii="Times New Roman" w:hAnsi="Times New Roman"/>
                <w:sz w:val="20"/>
                <w:szCs w:val="20"/>
              </w:rPr>
            </w:pPr>
          </w:p>
        </w:tc>
        <w:tc>
          <w:tcPr>
            <w:tcW w:w="50" w:type="pct"/>
            <w:shd w:val="clear" w:color="auto" w:fill="auto"/>
            <w:vAlign w:val="center"/>
          </w:tcPr>
          <w:p w14:paraId="42A135A0" w14:textId="77777777" w:rsidR="00BB68E1" w:rsidRDefault="00BB68E1">
            <w:pPr>
              <w:rPr>
                <w:rFonts w:ascii="Times New Roman" w:hAnsi="Times New Roman"/>
                <w:sz w:val="20"/>
                <w:szCs w:val="20"/>
              </w:rPr>
            </w:pPr>
          </w:p>
        </w:tc>
        <w:tc>
          <w:tcPr>
            <w:tcW w:w="500" w:type="pct"/>
            <w:shd w:val="clear" w:color="auto" w:fill="auto"/>
            <w:vAlign w:val="center"/>
          </w:tcPr>
          <w:p w14:paraId="42A135A1" w14:textId="77777777" w:rsidR="00BB68E1" w:rsidRDefault="00BB68E1">
            <w:pPr>
              <w:rPr>
                <w:rFonts w:ascii="Times New Roman" w:hAnsi="Times New Roman"/>
                <w:sz w:val="20"/>
                <w:szCs w:val="20"/>
              </w:rPr>
            </w:pPr>
          </w:p>
        </w:tc>
        <w:tc>
          <w:tcPr>
            <w:tcW w:w="50" w:type="pct"/>
            <w:shd w:val="clear" w:color="auto" w:fill="auto"/>
            <w:vAlign w:val="center"/>
          </w:tcPr>
          <w:p w14:paraId="42A135A2" w14:textId="77777777" w:rsidR="00BB68E1" w:rsidRDefault="00BB68E1">
            <w:pPr>
              <w:rPr>
                <w:rFonts w:ascii="Times New Roman" w:hAnsi="Times New Roman"/>
                <w:sz w:val="20"/>
                <w:szCs w:val="20"/>
              </w:rPr>
            </w:pPr>
          </w:p>
        </w:tc>
        <w:tc>
          <w:tcPr>
            <w:tcW w:w="50" w:type="pct"/>
            <w:shd w:val="clear" w:color="auto" w:fill="auto"/>
            <w:vAlign w:val="center"/>
          </w:tcPr>
          <w:p w14:paraId="42A135A3" w14:textId="77777777" w:rsidR="00BB68E1" w:rsidRDefault="00BB68E1">
            <w:pPr>
              <w:rPr>
                <w:rFonts w:ascii="Times New Roman" w:hAnsi="Times New Roman"/>
                <w:sz w:val="20"/>
                <w:szCs w:val="20"/>
              </w:rPr>
            </w:pPr>
          </w:p>
        </w:tc>
        <w:tc>
          <w:tcPr>
            <w:tcW w:w="50" w:type="pct"/>
            <w:shd w:val="clear" w:color="auto" w:fill="auto"/>
            <w:vAlign w:val="center"/>
          </w:tcPr>
          <w:p w14:paraId="42A135A4" w14:textId="77777777" w:rsidR="00BB68E1" w:rsidRDefault="00BB68E1">
            <w:pPr>
              <w:rPr>
                <w:rFonts w:ascii="Times New Roman" w:hAnsi="Times New Roman"/>
                <w:sz w:val="20"/>
                <w:szCs w:val="20"/>
              </w:rPr>
            </w:pPr>
          </w:p>
        </w:tc>
        <w:tc>
          <w:tcPr>
            <w:tcW w:w="500" w:type="pct"/>
            <w:shd w:val="clear" w:color="auto" w:fill="auto"/>
            <w:vAlign w:val="center"/>
          </w:tcPr>
          <w:p w14:paraId="42A135A5" w14:textId="77777777" w:rsidR="00BB68E1" w:rsidRDefault="00BB68E1">
            <w:pPr>
              <w:rPr>
                <w:rFonts w:ascii="Times New Roman" w:hAnsi="Times New Roman"/>
                <w:sz w:val="20"/>
                <w:szCs w:val="20"/>
              </w:rPr>
            </w:pPr>
          </w:p>
        </w:tc>
        <w:tc>
          <w:tcPr>
            <w:tcW w:w="50" w:type="pct"/>
            <w:shd w:val="clear" w:color="auto" w:fill="auto"/>
            <w:vAlign w:val="center"/>
          </w:tcPr>
          <w:p w14:paraId="42A135A6" w14:textId="77777777" w:rsidR="00BB68E1" w:rsidRDefault="00BB68E1">
            <w:pPr>
              <w:rPr>
                <w:rFonts w:ascii="Times New Roman" w:hAnsi="Times New Roman"/>
                <w:sz w:val="20"/>
                <w:szCs w:val="20"/>
              </w:rPr>
            </w:pPr>
          </w:p>
        </w:tc>
      </w:tr>
      <w:tr w:rsidR="00BB68E1" w14:paraId="42A135AD" w14:textId="77777777">
        <w:trPr>
          <w:jc w:val="center"/>
        </w:trPr>
        <w:tc>
          <w:tcPr>
            <w:tcW w:w="0" w:type="auto"/>
            <w:shd w:val="clear" w:color="auto" w:fill="auto"/>
            <w:tcMar>
              <w:top w:w="40" w:type="dxa"/>
              <w:left w:w="40" w:type="dxa"/>
              <w:bottom w:w="40" w:type="dxa"/>
              <w:right w:w="40" w:type="dxa"/>
            </w:tcMar>
            <w:vAlign w:val="bottom"/>
          </w:tcPr>
          <w:p w14:paraId="42A135A8"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5A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42A135AA"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January 31, 2020</w:t>
            </w:r>
          </w:p>
        </w:tc>
        <w:tc>
          <w:tcPr>
            <w:tcW w:w="0" w:type="auto"/>
            <w:shd w:val="clear" w:color="auto" w:fill="auto"/>
            <w:tcMar>
              <w:top w:w="40" w:type="dxa"/>
              <w:left w:w="40" w:type="dxa"/>
              <w:bottom w:w="40" w:type="dxa"/>
              <w:right w:w="40" w:type="dxa"/>
            </w:tcMar>
            <w:vAlign w:val="bottom"/>
          </w:tcPr>
          <w:p w14:paraId="42A135A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2A135AC"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January 31, 2019</w:t>
            </w:r>
          </w:p>
        </w:tc>
      </w:tr>
      <w:tr w:rsidR="00BB68E1" w14:paraId="42A135B8" w14:textId="77777777">
        <w:trPr>
          <w:jc w:val="center"/>
        </w:trPr>
        <w:tc>
          <w:tcPr>
            <w:tcW w:w="0" w:type="auto"/>
            <w:shd w:val="clear" w:color="auto" w:fill="auto"/>
            <w:tcMar>
              <w:top w:w="40" w:type="dxa"/>
              <w:left w:w="40" w:type="dxa"/>
              <w:bottom w:w="40" w:type="dxa"/>
              <w:right w:w="40" w:type="dxa"/>
            </w:tcMar>
            <w:vAlign w:val="bottom"/>
          </w:tcPr>
          <w:p w14:paraId="42A135AE"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35A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center"/>
          </w:tcPr>
          <w:p w14:paraId="42A135B0" w14:textId="77777777" w:rsidR="00BB68E1" w:rsidRDefault="005D2D5E">
            <w:pPr>
              <w:jc w:val="right"/>
              <w:textAlignment w:val="center"/>
              <w:rPr>
                <w:rFonts w:ascii="Times New Roman" w:hAnsi="Times New Roman"/>
                <w:sz w:val="16"/>
                <w:szCs w:val="16"/>
              </w:rPr>
            </w:pPr>
            <w:r>
              <w:rPr>
                <w:rFonts w:ascii="Times New Roman" w:eastAsia="宋体" w:hAnsi="Times New Roman"/>
                <w:b/>
                <w:bCs/>
                <w:sz w:val="16"/>
                <w:szCs w:val="16"/>
              </w:rPr>
              <w:t>Carrying Value</w:t>
            </w:r>
          </w:p>
        </w:tc>
        <w:tc>
          <w:tcPr>
            <w:tcW w:w="0" w:type="auto"/>
            <w:tcBorders>
              <w:top w:val="single" w:sz="8" w:space="0" w:color="000000"/>
              <w:bottom w:val="single" w:sz="8" w:space="0" w:color="000000"/>
            </w:tcBorders>
            <w:shd w:val="clear" w:color="auto" w:fill="auto"/>
            <w:vAlign w:val="bottom"/>
          </w:tcPr>
          <w:p w14:paraId="42A135B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5B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5B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Fair Value</w:t>
            </w:r>
          </w:p>
        </w:tc>
        <w:tc>
          <w:tcPr>
            <w:tcW w:w="0" w:type="auto"/>
            <w:shd w:val="clear" w:color="auto" w:fill="auto"/>
            <w:tcMar>
              <w:top w:w="40" w:type="dxa"/>
              <w:left w:w="40" w:type="dxa"/>
              <w:bottom w:w="40" w:type="dxa"/>
              <w:right w:w="40" w:type="dxa"/>
            </w:tcMar>
            <w:vAlign w:val="bottom"/>
          </w:tcPr>
          <w:p w14:paraId="42A135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5B5"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Carrying Value</w:t>
            </w:r>
          </w:p>
        </w:tc>
        <w:tc>
          <w:tcPr>
            <w:tcW w:w="0" w:type="auto"/>
            <w:shd w:val="clear" w:color="auto" w:fill="auto"/>
            <w:tcMar>
              <w:top w:w="40" w:type="dxa"/>
              <w:left w:w="40" w:type="dxa"/>
              <w:bottom w:w="40" w:type="dxa"/>
              <w:right w:w="40" w:type="dxa"/>
            </w:tcMar>
            <w:vAlign w:val="bottom"/>
          </w:tcPr>
          <w:p w14:paraId="42A135B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5B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Fair Value</w:t>
            </w:r>
          </w:p>
        </w:tc>
      </w:tr>
      <w:tr w:rsidR="00BB68E1" w14:paraId="42A135CA" w14:textId="77777777">
        <w:trPr>
          <w:jc w:val="center"/>
        </w:trPr>
        <w:tc>
          <w:tcPr>
            <w:tcW w:w="0" w:type="auto"/>
            <w:shd w:val="clear" w:color="auto" w:fill="CCEEFF"/>
            <w:tcMar>
              <w:top w:w="40" w:type="dxa"/>
              <w:left w:w="40" w:type="dxa"/>
              <w:bottom w:w="40" w:type="dxa"/>
              <w:right w:w="40" w:type="dxa"/>
            </w:tcMar>
            <w:vAlign w:val="center"/>
          </w:tcPr>
          <w:p w14:paraId="42A135B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Long-term debt, including amounts due within one year</w:t>
            </w:r>
          </w:p>
        </w:tc>
        <w:tc>
          <w:tcPr>
            <w:tcW w:w="0" w:type="auto"/>
            <w:shd w:val="clear" w:color="auto" w:fill="CCEEFF"/>
            <w:tcMar>
              <w:top w:w="40" w:type="dxa"/>
              <w:left w:w="40" w:type="dxa"/>
              <w:bottom w:w="40" w:type="dxa"/>
              <w:right w:w="40" w:type="dxa"/>
            </w:tcMar>
            <w:vAlign w:val="bottom"/>
          </w:tcPr>
          <w:p w14:paraId="42A135B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5B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5B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49,076</w:t>
            </w:r>
          </w:p>
        </w:tc>
        <w:tc>
          <w:tcPr>
            <w:tcW w:w="0" w:type="auto"/>
            <w:shd w:val="clear" w:color="auto" w:fill="CCEEFF"/>
            <w:vAlign w:val="bottom"/>
          </w:tcPr>
          <w:p w14:paraId="42A135B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5B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35B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35C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57,769</w:t>
            </w:r>
          </w:p>
        </w:tc>
        <w:tc>
          <w:tcPr>
            <w:tcW w:w="0" w:type="auto"/>
            <w:tcBorders>
              <w:top w:val="single" w:sz="8" w:space="0" w:color="000000"/>
            </w:tcBorders>
            <w:shd w:val="clear" w:color="auto" w:fill="CCEEFF"/>
            <w:vAlign w:val="bottom"/>
          </w:tcPr>
          <w:p w14:paraId="42A135C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5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5C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5C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45,396</w:t>
            </w:r>
          </w:p>
        </w:tc>
        <w:tc>
          <w:tcPr>
            <w:tcW w:w="0" w:type="auto"/>
            <w:shd w:val="clear" w:color="auto" w:fill="CCEEFF"/>
            <w:vAlign w:val="bottom"/>
          </w:tcPr>
          <w:p w14:paraId="42A135C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5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5C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5C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49,570</w:t>
            </w:r>
          </w:p>
        </w:tc>
        <w:tc>
          <w:tcPr>
            <w:tcW w:w="0" w:type="auto"/>
            <w:shd w:val="clear" w:color="auto" w:fill="CCEEFF"/>
            <w:vAlign w:val="bottom"/>
          </w:tcPr>
          <w:p w14:paraId="42A135C9" w14:textId="77777777" w:rsidR="00BB68E1" w:rsidRDefault="00BB68E1">
            <w:pPr>
              <w:textAlignment w:val="bottom"/>
              <w:rPr>
                <w:rFonts w:ascii="Times New Roman" w:hAnsi="Times New Roman"/>
                <w:sz w:val="20"/>
                <w:szCs w:val="20"/>
              </w:rPr>
            </w:pPr>
          </w:p>
        </w:tc>
      </w:tr>
    </w:tbl>
    <w:p w14:paraId="42A135CB" w14:textId="77777777" w:rsidR="00BB68E1" w:rsidRDefault="00BB68E1">
      <w:pPr>
        <w:spacing w:line="288" w:lineRule="auto"/>
        <w:jc w:val="center"/>
        <w:rPr>
          <w:rFonts w:ascii="Times New Roman" w:hAnsi="Times New Roman"/>
          <w:sz w:val="20"/>
          <w:szCs w:val="20"/>
        </w:rPr>
      </w:pPr>
    </w:p>
    <w:p w14:paraId="42A135CC" w14:textId="77777777" w:rsidR="00BB68E1" w:rsidRDefault="00BB68E1">
      <w:pPr>
        <w:rPr>
          <w:rFonts w:ascii="Times New Roman" w:hAnsi="Times New Roman"/>
          <w:sz w:val="20"/>
          <w:szCs w:val="20"/>
        </w:rPr>
      </w:pPr>
    </w:p>
    <w:p w14:paraId="42A135CD"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68</w:t>
      </w:r>
    </w:p>
    <w:p w14:paraId="42A135CE" w14:textId="77777777" w:rsidR="00BB68E1" w:rsidRDefault="00BB68E1">
      <w:pPr>
        <w:spacing w:line="288" w:lineRule="auto"/>
        <w:jc w:val="center"/>
        <w:rPr>
          <w:rFonts w:ascii="Times New Roman" w:hAnsi="Times New Roman"/>
          <w:sz w:val="20"/>
          <w:szCs w:val="20"/>
        </w:rPr>
      </w:pPr>
    </w:p>
    <w:p w14:paraId="42A135CF" w14:textId="77777777" w:rsidR="00BB68E1" w:rsidRDefault="005D2D5E">
      <w:r>
        <w:rPr>
          <w:rFonts w:ascii="Times New Roman" w:hAnsi="Times New Roman"/>
          <w:sz w:val="20"/>
          <w:szCs w:val="20"/>
        </w:rPr>
        <w:pict w14:anchorId="42A142BB">
          <v:rect id="_x0000_i1092" style="width:415.3pt;height:1.5pt" o:hralign="center" o:hrstd="t" o:hr="t" fillcolor="#a0a0a0" stroked="f"/>
        </w:pict>
      </w:r>
    </w:p>
    <w:p w14:paraId="42A135D0" w14:textId="77777777" w:rsidR="00BB68E1" w:rsidRDefault="00BB68E1">
      <w:pPr>
        <w:spacing w:line="288" w:lineRule="auto"/>
        <w:rPr>
          <w:rFonts w:ascii="Times New Roman" w:hAnsi="Times New Roman"/>
          <w:sz w:val="20"/>
          <w:szCs w:val="20"/>
        </w:rPr>
      </w:pPr>
    </w:p>
    <w:p w14:paraId="42A135D1" w14:textId="77777777" w:rsidR="00BB68E1" w:rsidRDefault="00BB68E1">
      <w:pPr>
        <w:rPr>
          <w:rFonts w:ascii="Times New Roman" w:hAnsi="Times New Roman"/>
          <w:sz w:val="20"/>
          <w:szCs w:val="20"/>
        </w:rPr>
      </w:pPr>
    </w:p>
    <w:p w14:paraId="42A135D2"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Note 9. Taxes</w:t>
      </w:r>
    </w:p>
    <w:p w14:paraId="42A135D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components of income (loss) before income taxes are as follows: </w:t>
      </w:r>
    </w:p>
    <w:tbl>
      <w:tblPr>
        <w:tblW w:w="5000" w:type="pct"/>
        <w:tblCellMar>
          <w:left w:w="0" w:type="dxa"/>
          <w:right w:w="0" w:type="dxa"/>
        </w:tblCellMar>
        <w:tblLook w:val="04A0" w:firstRow="1" w:lastRow="0" w:firstColumn="1" w:lastColumn="0" w:noHBand="0" w:noVBand="1"/>
      </w:tblPr>
      <w:tblGrid>
        <w:gridCol w:w="5272"/>
        <w:gridCol w:w="130"/>
        <w:gridCol w:w="120"/>
        <w:gridCol w:w="704"/>
        <w:gridCol w:w="39"/>
        <w:gridCol w:w="130"/>
        <w:gridCol w:w="120"/>
        <w:gridCol w:w="704"/>
        <w:gridCol w:w="94"/>
        <w:gridCol w:w="130"/>
        <w:gridCol w:w="120"/>
        <w:gridCol w:w="704"/>
        <w:gridCol w:w="39"/>
      </w:tblGrid>
      <w:tr w:rsidR="00BB68E1" w14:paraId="42A135D5" w14:textId="77777777">
        <w:tc>
          <w:tcPr>
            <w:tcW w:w="0" w:type="auto"/>
            <w:gridSpan w:val="13"/>
            <w:shd w:val="clear" w:color="auto" w:fill="auto"/>
            <w:vAlign w:val="center"/>
          </w:tcPr>
          <w:p w14:paraId="42A135D4" w14:textId="77777777" w:rsidR="00BB68E1" w:rsidRDefault="00BB68E1">
            <w:pPr>
              <w:rPr>
                <w:rFonts w:ascii="Times New Roman" w:hAnsi="Times New Roman"/>
                <w:sz w:val="20"/>
                <w:szCs w:val="20"/>
              </w:rPr>
            </w:pPr>
          </w:p>
        </w:tc>
      </w:tr>
      <w:tr w:rsidR="00BB68E1" w14:paraId="42A135E3" w14:textId="77777777">
        <w:tc>
          <w:tcPr>
            <w:tcW w:w="3200" w:type="pct"/>
            <w:shd w:val="clear" w:color="auto" w:fill="auto"/>
            <w:vAlign w:val="center"/>
          </w:tcPr>
          <w:p w14:paraId="42A135D6" w14:textId="77777777" w:rsidR="00BB68E1" w:rsidRDefault="00BB68E1">
            <w:pPr>
              <w:rPr>
                <w:rFonts w:ascii="Times New Roman" w:hAnsi="Times New Roman"/>
                <w:sz w:val="20"/>
                <w:szCs w:val="20"/>
              </w:rPr>
            </w:pPr>
          </w:p>
        </w:tc>
        <w:tc>
          <w:tcPr>
            <w:tcW w:w="50" w:type="pct"/>
            <w:shd w:val="clear" w:color="auto" w:fill="auto"/>
            <w:vAlign w:val="center"/>
          </w:tcPr>
          <w:p w14:paraId="42A135D7" w14:textId="77777777" w:rsidR="00BB68E1" w:rsidRDefault="00BB68E1">
            <w:pPr>
              <w:rPr>
                <w:rFonts w:ascii="Times New Roman" w:hAnsi="Times New Roman"/>
                <w:sz w:val="20"/>
                <w:szCs w:val="20"/>
              </w:rPr>
            </w:pPr>
          </w:p>
        </w:tc>
        <w:tc>
          <w:tcPr>
            <w:tcW w:w="50" w:type="pct"/>
            <w:shd w:val="clear" w:color="auto" w:fill="auto"/>
            <w:vAlign w:val="center"/>
          </w:tcPr>
          <w:p w14:paraId="42A135D8" w14:textId="77777777" w:rsidR="00BB68E1" w:rsidRDefault="00BB68E1">
            <w:pPr>
              <w:rPr>
                <w:rFonts w:ascii="Times New Roman" w:hAnsi="Times New Roman"/>
                <w:sz w:val="20"/>
                <w:szCs w:val="20"/>
              </w:rPr>
            </w:pPr>
          </w:p>
        </w:tc>
        <w:tc>
          <w:tcPr>
            <w:tcW w:w="450" w:type="pct"/>
            <w:shd w:val="clear" w:color="auto" w:fill="auto"/>
            <w:vAlign w:val="center"/>
          </w:tcPr>
          <w:p w14:paraId="42A135D9" w14:textId="77777777" w:rsidR="00BB68E1" w:rsidRDefault="00BB68E1">
            <w:pPr>
              <w:rPr>
                <w:rFonts w:ascii="Times New Roman" w:hAnsi="Times New Roman"/>
                <w:sz w:val="20"/>
                <w:szCs w:val="20"/>
              </w:rPr>
            </w:pPr>
          </w:p>
        </w:tc>
        <w:tc>
          <w:tcPr>
            <w:tcW w:w="50" w:type="pct"/>
            <w:shd w:val="clear" w:color="auto" w:fill="auto"/>
            <w:vAlign w:val="center"/>
          </w:tcPr>
          <w:p w14:paraId="42A135DA" w14:textId="77777777" w:rsidR="00BB68E1" w:rsidRDefault="00BB68E1">
            <w:pPr>
              <w:rPr>
                <w:rFonts w:ascii="Times New Roman" w:hAnsi="Times New Roman"/>
                <w:sz w:val="20"/>
                <w:szCs w:val="20"/>
              </w:rPr>
            </w:pPr>
          </w:p>
        </w:tc>
        <w:tc>
          <w:tcPr>
            <w:tcW w:w="50" w:type="pct"/>
            <w:shd w:val="clear" w:color="auto" w:fill="auto"/>
            <w:vAlign w:val="center"/>
          </w:tcPr>
          <w:p w14:paraId="42A135DB" w14:textId="77777777" w:rsidR="00BB68E1" w:rsidRDefault="00BB68E1">
            <w:pPr>
              <w:rPr>
                <w:rFonts w:ascii="Times New Roman" w:hAnsi="Times New Roman"/>
                <w:sz w:val="20"/>
                <w:szCs w:val="20"/>
              </w:rPr>
            </w:pPr>
          </w:p>
        </w:tc>
        <w:tc>
          <w:tcPr>
            <w:tcW w:w="50" w:type="pct"/>
            <w:shd w:val="clear" w:color="auto" w:fill="auto"/>
            <w:vAlign w:val="center"/>
          </w:tcPr>
          <w:p w14:paraId="42A135DC" w14:textId="77777777" w:rsidR="00BB68E1" w:rsidRDefault="00BB68E1">
            <w:pPr>
              <w:rPr>
                <w:rFonts w:ascii="Times New Roman" w:hAnsi="Times New Roman"/>
                <w:sz w:val="20"/>
                <w:szCs w:val="20"/>
              </w:rPr>
            </w:pPr>
          </w:p>
        </w:tc>
        <w:tc>
          <w:tcPr>
            <w:tcW w:w="450" w:type="pct"/>
            <w:shd w:val="clear" w:color="auto" w:fill="auto"/>
            <w:vAlign w:val="center"/>
          </w:tcPr>
          <w:p w14:paraId="42A135DD" w14:textId="77777777" w:rsidR="00BB68E1" w:rsidRDefault="00BB68E1">
            <w:pPr>
              <w:rPr>
                <w:rFonts w:ascii="Times New Roman" w:hAnsi="Times New Roman"/>
                <w:sz w:val="20"/>
                <w:szCs w:val="20"/>
              </w:rPr>
            </w:pPr>
          </w:p>
        </w:tc>
        <w:tc>
          <w:tcPr>
            <w:tcW w:w="50" w:type="pct"/>
            <w:shd w:val="clear" w:color="auto" w:fill="auto"/>
            <w:vAlign w:val="center"/>
          </w:tcPr>
          <w:p w14:paraId="42A135DE" w14:textId="77777777" w:rsidR="00BB68E1" w:rsidRDefault="00BB68E1">
            <w:pPr>
              <w:rPr>
                <w:rFonts w:ascii="Times New Roman" w:hAnsi="Times New Roman"/>
                <w:sz w:val="20"/>
                <w:szCs w:val="20"/>
              </w:rPr>
            </w:pPr>
          </w:p>
        </w:tc>
        <w:tc>
          <w:tcPr>
            <w:tcW w:w="50" w:type="pct"/>
            <w:shd w:val="clear" w:color="auto" w:fill="auto"/>
            <w:vAlign w:val="center"/>
          </w:tcPr>
          <w:p w14:paraId="42A135DF" w14:textId="77777777" w:rsidR="00BB68E1" w:rsidRDefault="00BB68E1">
            <w:pPr>
              <w:rPr>
                <w:rFonts w:ascii="Times New Roman" w:hAnsi="Times New Roman"/>
                <w:sz w:val="20"/>
                <w:szCs w:val="20"/>
              </w:rPr>
            </w:pPr>
          </w:p>
        </w:tc>
        <w:tc>
          <w:tcPr>
            <w:tcW w:w="50" w:type="pct"/>
            <w:shd w:val="clear" w:color="auto" w:fill="auto"/>
            <w:vAlign w:val="center"/>
          </w:tcPr>
          <w:p w14:paraId="42A135E0" w14:textId="77777777" w:rsidR="00BB68E1" w:rsidRDefault="00BB68E1">
            <w:pPr>
              <w:rPr>
                <w:rFonts w:ascii="Times New Roman" w:hAnsi="Times New Roman"/>
                <w:sz w:val="20"/>
                <w:szCs w:val="20"/>
              </w:rPr>
            </w:pPr>
          </w:p>
        </w:tc>
        <w:tc>
          <w:tcPr>
            <w:tcW w:w="450" w:type="pct"/>
            <w:shd w:val="clear" w:color="auto" w:fill="auto"/>
            <w:vAlign w:val="center"/>
          </w:tcPr>
          <w:p w14:paraId="42A135E1" w14:textId="77777777" w:rsidR="00BB68E1" w:rsidRDefault="00BB68E1">
            <w:pPr>
              <w:rPr>
                <w:rFonts w:ascii="Times New Roman" w:hAnsi="Times New Roman"/>
                <w:sz w:val="20"/>
                <w:szCs w:val="20"/>
              </w:rPr>
            </w:pPr>
          </w:p>
        </w:tc>
        <w:tc>
          <w:tcPr>
            <w:tcW w:w="50" w:type="pct"/>
            <w:shd w:val="clear" w:color="auto" w:fill="auto"/>
            <w:vAlign w:val="center"/>
          </w:tcPr>
          <w:p w14:paraId="42A135E2" w14:textId="77777777" w:rsidR="00BB68E1" w:rsidRDefault="00BB68E1">
            <w:pPr>
              <w:rPr>
                <w:rFonts w:ascii="Times New Roman" w:hAnsi="Times New Roman"/>
                <w:sz w:val="20"/>
                <w:szCs w:val="20"/>
              </w:rPr>
            </w:pPr>
          </w:p>
        </w:tc>
      </w:tr>
      <w:tr w:rsidR="00BB68E1" w14:paraId="42A135E7" w14:textId="77777777">
        <w:tc>
          <w:tcPr>
            <w:tcW w:w="0" w:type="auto"/>
            <w:shd w:val="clear" w:color="auto" w:fill="auto"/>
            <w:tcMar>
              <w:top w:w="40" w:type="dxa"/>
              <w:left w:w="40" w:type="dxa"/>
              <w:bottom w:w="40" w:type="dxa"/>
              <w:right w:w="40" w:type="dxa"/>
            </w:tcMar>
            <w:vAlign w:val="bottom"/>
          </w:tcPr>
          <w:p w14:paraId="42A135E4"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5E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35E6"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35EF" w14:textId="77777777">
        <w:tc>
          <w:tcPr>
            <w:tcW w:w="0" w:type="auto"/>
            <w:shd w:val="clear" w:color="auto" w:fill="auto"/>
            <w:tcMar>
              <w:top w:w="40" w:type="dxa"/>
              <w:left w:w="40" w:type="dxa"/>
              <w:bottom w:w="40" w:type="dxa"/>
              <w:right w:w="40" w:type="dxa"/>
            </w:tcMar>
            <w:vAlign w:val="bottom"/>
          </w:tcPr>
          <w:p w14:paraId="42A135E8"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35E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5EA"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35E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5EC"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35E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5EE"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35FD" w14:textId="77777777">
        <w:tc>
          <w:tcPr>
            <w:tcW w:w="0" w:type="auto"/>
            <w:shd w:val="clear" w:color="auto" w:fill="CCEEFF"/>
            <w:tcMar>
              <w:top w:w="40" w:type="dxa"/>
              <w:left w:w="40" w:type="dxa"/>
              <w:bottom w:w="40" w:type="dxa"/>
              <w:right w:w="40" w:type="dxa"/>
            </w:tcMar>
            <w:vAlign w:val="center"/>
          </w:tcPr>
          <w:p w14:paraId="42A135F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U.S.</w:t>
            </w:r>
          </w:p>
        </w:tc>
        <w:tc>
          <w:tcPr>
            <w:tcW w:w="0" w:type="auto"/>
            <w:shd w:val="clear" w:color="auto" w:fill="CCEEFF"/>
            <w:tcMar>
              <w:top w:w="40" w:type="dxa"/>
              <w:left w:w="40" w:type="dxa"/>
              <w:bottom w:w="40" w:type="dxa"/>
              <w:right w:w="40" w:type="dxa"/>
            </w:tcMar>
            <w:vAlign w:val="bottom"/>
          </w:tcPr>
          <w:p w14:paraId="42A135F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35F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35F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17,098</w:t>
            </w:r>
          </w:p>
        </w:tc>
        <w:tc>
          <w:tcPr>
            <w:tcW w:w="0" w:type="auto"/>
            <w:tcBorders>
              <w:top w:val="single" w:sz="8" w:space="0" w:color="000000"/>
            </w:tcBorders>
            <w:shd w:val="clear" w:color="auto" w:fill="CCEEFF"/>
            <w:vAlign w:val="bottom"/>
          </w:tcPr>
          <w:p w14:paraId="42A135F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5F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35F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35F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15,875</w:t>
            </w:r>
          </w:p>
        </w:tc>
        <w:tc>
          <w:tcPr>
            <w:tcW w:w="0" w:type="auto"/>
            <w:tcBorders>
              <w:top w:val="single" w:sz="8" w:space="0" w:color="000000"/>
            </w:tcBorders>
            <w:shd w:val="clear" w:color="auto" w:fill="CCEEFF"/>
            <w:vAlign w:val="bottom"/>
          </w:tcPr>
          <w:p w14:paraId="42A135F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5F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35F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35F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10,722</w:t>
            </w:r>
          </w:p>
        </w:tc>
        <w:tc>
          <w:tcPr>
            <w:tcW w:w="0" w:type="auto"/>
            <w:tcBorders>
              <w:top w:val="single" w:sz="8" w:space="0" w:color="000000"/>
            </w:tcBorders>
            <w:shd w:val="clear" w:color="auto" w:fill="CCEEFF"/>
            <w:vAlign w:val="bottom"/>
          </w:tcPr>
          <w:p w14:paraId="42A135FC" w14:textId="77777777" w:rsidR="00BB68E1" w:rsidRDefault="00BB68E1">
            <w:pPr>
              <w:textAlignment w:val="bottom"/>
              <w:rPr>
                <w:rFonts w:ascii="Times New Roman" w:hAnsi="Times New Roman"/>
                <w:sz w:val="20"/>
                <w:szCs w:val="20"/>
              </w:rPr>
            </w:pPr>
          </w:p>
        </w:tc>
      </w:tr>
      <w:tr w:rsidR="00BB68E1" w14:paraId="42A13608" w14:textId="77777777">
        <w:tc>
          <w:tcPr>
            <w:tcW w:w="0" w:type="auto"/>
            <w:shd w:val="clear" w:color="auto" w:fill="auto"/>
            <w:tcMar>
              <w:top w:w="40" w:type="dxa"/>
              <w:left w:w="40" w:type="dxa"/>
              <w:bottom w:w="40" w:type="dxa"/>
              <w:right w:w="40" w:type="dxa"/>
            </w:tcMar>
            <w:vAlign w:val="center"/>
          </w:tcPr>
          <w:p w14:paraId="42A135F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Non-U.S.</w:t>
            </w:r>
          </w:p>
        </w:tc>
        <w:tc>
          <w:tcPr>
            <w:tcW w:w="0" w:type="auto"/>
            <w:shd w:val="clear" w:color="auto" w:fill="auto"/>
            <w:tcMar>
              <w:top w:w="40" w:type="dxa"/>
              <w:left w:w="40" w:type="dxa"/>
              <w:bottom w:w="40" w:type="dxa"/>
              <w:right w:w="40" w:type="dxa"/>
            </w:tcMar>
            <w:vAlign w:val="bottom"/>
          </w:tcPr>
          <w:p w14:paraId="42A135F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60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3,018</w:t>
            </w:r>
          </w:p>
        </w:tc>
        <w:tc>
          <w:tcPr>
            <w:tcW w:w="0" w:type="auto"/>
            <w:shd w:val="clear" w:color="auto" w:fill="auto"/>
            <w:vAlign w:val="bottom"/>
          </w:tcPr>
          <w:p w14:paraId="42A1360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60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60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(4,415</w:t>
            </w:r>
          </w:p>
        </w:tc>
        <w:tc>
          <w:tcPr>
            <w:tcW w:w="0" w:type="auto"/>
            <w:shd w:val="clear" w:color="auto" w:fill="auto"/>
            <w:tcMar>
              <w:top w:w="40" w:type="dxa"/>
              <w:bottom w:w="40" w:type="dxa"/>
              <w:right w:w="40" w:type="dxa"/>
            </w:tcMar>
            <w:vAlign w:val="center"/>
          </w:tcPr>
          <w:p w14:paraId="42A1360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360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60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4,401</w:t>
            </w:r>
          </w:p>
        </w:tc>
        <w:tc>
          <w:tcPr>
            <w:tcW w:w="0" w:type="auto"/>
            <w:shd w:val="clear" w:color="auto" w:fill="auto"/>
            <w:vAlign w:val="bottom"/>
          </w:tcPr>
          <w:p w14:paraId="42A13607" w14:textId="77777777" w:rsidR="00BB68E1" w:rsidRDefault="00BB68E1">
            <w:pPr>
              <w:textAlignment w:val="bottom"/>
              <w:rPr>
                <w:rFonts w:ascii="Times New Roman" w:hAnsi="Times New Roman"/>
                <w:sz w:val="20"/>
                <w:szCs w:val="20"/>
              </w:rPr>
            </w:pPr>
          </w:p>
        </w:tc>
      </w:tr>
      <w:tr w:rsidR="00BB68E1" w14:paraId="42A13616" w14:textId="77777777">
        <w:tc>
          <w:tcPr>
            <w:tcW w:w="0" w:type="auto"/>
            <w:shd w:val="clear" w:color="auto" w:fill="CCEEFF"/>
            <w:tcMar>
              <w:top w:w="40" w:type="dxa"/>
              <w:left w:w="40" w:type="dxa"/>
              <w:bottom w:w="40" w:type="dxa"/>
              <w:right w:w="40" w:type="dxa"/>
            </w:tcMar>
            <w:vAlign w:val="center"/>
          </w:tcPr>
          <w:p w14:paraId="42A13609"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income before income taxes</w:t>
            </w:r>
          </w:p>
        </w:tc>
        <w:tc>
          <w:tcPr>
            <w:tcW w:w="0" w:type="auto"/>
            <w:shd w:val="clear" w:color="auto" w:fill="CCEEFF"/>
            <w:tcMar>
              <w:top w:w="40" w:type="dxa"/>
              <w:left w:w="40" w:type="dxa"/>
              <w:bottom w:w="40" w:type="dxa"/>
              <w:right w:w="40" w:type="dxa"/>
            </w:tcMar>
            <w:vAlign w:val="bottom"/>
          </w:tcPr>
          <w:p w14:paraId="42A1360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360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360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20,116</w:t>
            </w:r>
          </w:p>
        </w:tc>
        <w:tc>
          <w:tcPr>
            <w:tcW w:w="0" w:type="auto"/>
            <w:tcBorders>
              <w:top w:val="single" w:sz="8" w:space="0" w:color="000000"/>
              <w:bottom w:val="double" w:sz="6" w:space="0" w:color="000000"/>
            </w:tcBorders>
            <w:shd w:val="clear" w:color="auto" w:fill="CCEEFF"/>
            <w:vAlign w:val="bottom"/>
          </w:tcPr>
          <w:p w14:paraId="42A1360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6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360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361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11,460</w:t>
            </w:r>
          </w:p>
        </w:tc>
        <w:tc>
          <w:tcPr>
            <w:tcW w:w="0" w:type="auto"/>
            <w:tcBorders>
              <w:top w:val="single" w:sz="8" w:space="0" w:color="000000"/>
              <w:bottom w:val="double" w:sz="6" w:space="0" w:color="000000"/>
            </w:tcBorders>
            <w:shd w:val="clear" w:color="auto" w:fill="CCEEFF"/>
            <w:vAlign w:val="bottom"/>
          </w:tcPr>
          <w:p w14:paraId="42A1361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6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361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361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15,123</w:t>
            </w:r>
          </w:p>
        </w:tc>
        <w:tc>
          <w:tcPr>
            <w:tcW w:w="0" w:type="auto"/>
            <w:tcBorders>
              <w:top w:val="single" w:sz="8" w:space="0" w:color="000000"/>
              <w:bottom w:val="double" w:sz="6" w:space="0" w:color="000000"/>
            </w:tcBorders>
            <w:shd w:val="clear" w:color="auto" w:fill="CCEEFF"/>
            <w:vAlign w:val="bottom"/>
          </w:tcPr>
          <w:p w14:paraId="42A13615" w14:textId="77777777" w:rsidR="00BB68E1" w:rsidRDefault="00BB68E1">
            <w:pPr>
              <w:textAlignment w:val="bottom"/>
              <w:rPr>
                <w:rFonts w:ascii="Times New Roman" w:hAnsi="Times New Roman"/>
                <w:sz w:val="20"/>
                <w:szCs w:val="20"/>
              </w:rPr>
            </w:pPr>
          </w:p>
        </w:tc>
      </w:tr>
    </w:tbl>
    <w:p w14:paraId="42A13617" w14:textId="77777777" w:rsidR="00BB68E1" w:rsidRDefault="00BB68E1">
      <w:pPr>
        <w:spacing w:line="288" w:lineRule="auto"/>
        <w:rPr>
          <w:rFonts w:ascii="Times New Roman" w:hAnsi="Times New Roman"/>
          <w:sz w:val="20"/>
          <w:szCs w:val="20"/>
        </w:rPr>
      </w:pPr>
    </w:p>
    <w:p w14:paraId="42A1361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 summary of the provision for income taxes is as follows:</w:t>
      </w:r>
    </w:p>
    <w:tbl>
      <w:tblPr>
        <w:tblW w:w="5000" w:type="pct"/>
        <w:tblCellMar>
          <w:left w:w="0" w:type="dxa"/>
          <w:right w:w="0" w:type="dxa"/>
        </w:tblCellMar>
        <w:tblLook w:val="04A0" w:firstRow="1" w:lastRow="0" w:firstColumn="1" w:lastColumn="0" w:noHBand="0" w:noVBand="1"/>
      </w:tblPr>
      <w:tblGrid>
        <w:gridCol w:w="5244"/>
        <w:gridCol w:w="130"/>
        <w:gridCol w:w="120"/>
        <w:gridCol w:w="676"/>
        <w:gridCol w:w="94"/>
        <w:gridCol w:w="130"/>
        <w:gridCol w:w="120"/>
        <w:gridCol w:w="677"/>
        <w:gridCol w:w="94"/>
        <w:gridCol w:w="130"/>
        <w:gridCol w:w="120"/>
        <w:gridCol w:w="677"/>
        <w:gridCol w:w="94"/>
      </w:tblGrid>
      <w:tr w:rsidR="00BB68E1" w14:paraId="42A1361A" w14:textId="77777777">
        <w:tc>
          <w:tcPr>
            <w:tcW w:w="0" w:type="auto"/>
            <w:gridSpan w:val="13"/>
            <w:shd w:val="clear" w:color="auto" w:fill="auto"/>
            <w:vAlign w:val="center"/>
          </w:tcPr>
          <w:p w14:paraId="42A13619" w14:textId="77777777" w:rsidR="00BB68E1" w:rsidRDefault="00BB68E1">
            <w:pPr>
              <w:rPr>
                <w:rFonts w:ascii="Times New Roman" w:hAnsi="Times New Roman"/>
                <w:sz w:val="20"/>
                <w:szCs w:val="20"/>
              </w:rPr>
            </w:pPr>
          </w:p>
        </w:tc>
      </w:tr>
      <w:tr w:rsidR="00BB68E1" w14:paraId="42A13628" w14:textId="77777777">
        <w:tc>
          <w:tcPr>
            <w:tcW w:w="3200" w:type="pct"/>
            <w:shd w:val="clear" w:color="auto" w:fill="auto"/>
            <w:vAlign w:val="center"/>
          </w:tcPr>
          <w:p w14:paraId="42A1361B" w14:textId="77777777" w:rsidR="00BB68E1" w:rsidRDefault="00BB68E1">
            <w:pPr>
              <w:rPr>
                <w:rFonts w:ascii="Times New Roman" w:hAnsi="Times New Roman"/>
                <w:sz w:val="20"/>
                <w:szCs w:val="20"/>
              </w:rPr>
            </w:pPr>
          </w:p>
        </w:tc>
        <w:tc>
          <w:tcPr>
            <w:tcW w:w="50" w:type="pct"/>
            <w:shd w:val="clear" w:color="auto" w:fill="auto"/>
            <w:vAlign w:val="center"/>
          </w:tcPr>
          <w:p w14:paraId="42A1361C" w14:textId="77777777" w:rsidR="00BB68E1" w:rsidRDefault="00BB68E1">
            <w:pPr>
              <w:rPr>
                <w:rFonts w:ascii="Times New Roman" w:hAnsi="Times New Roman"/>
                <w:sz w:val="20"/>
                <w:szCs w:val="20"/>
              </w:rPr>
            </w:pPr>
          </w:p>
        </w:tc>
        <w:tc>
          <w:tcPr>
            <w:tcW w:w="50" w:type="pct"/>
            <w:shd w:val="clear" w:color="auto" w:fill="auto"/>
            <w:vAlign w:val="center"/>
          </w:tcPr>
          <w:p w14:paraId="42A1361D" w14:textId="77777777" w:rsidR="00BB68E1" w:rsidRDefault="00BB68E1">
            <w:pPr>
              <w:rPr>
                <w:rFonts w:ascii="Times New Roman" w:hAnsi="Times New Roman"/>
                <w:sz w:val="20"/>
                <w:szCs w:val="20"/>
              </w:rPr>
            </w:pPr>
          </w:p>
        </w:tc>
        <w:tc>
          <w:tcPr>
            <w:tcW w:w="450" w:type="pct"/>
            <w:shd w:val="clear" w:color="auto" w:fill="auto"/>
            <w:vAlign w:val="center"/>
          </w:tcPr>
          <w:p w14:paraId="42A1361E" w14:textId="77777777" w:rsidR="00BB68E1" w:rsidRDefault="00BB68E1">
            <w:pPr>
              <w:rPr>
                <w:rFonts w:ascii="Times New Roman" w:hAnsi="Times New Roman"/>
                <w:sz w:val="20"/>
                <w:szCs w:val="20"/>
              </w:rPr>
            </w:pPr>
          </w:p>
        </w:tc>
        <w:tc>
          <w:tcPr>
            <w:tcW w:w="50" w:type="pct"/>
            <w:shd w:val="clear" w:color="auto" w:fill="auto"/>
            <w:vAlign w:val="center"/>
          </w:tcPr>
          <w:p w14:paraId="42A1361F" w14:textId="77777777" w:rsidR="00BB68E1" w:rsidRDefault="00BB68E1">
            <w:pPr>
              <w:rPr>
                <w:rFonts w:ascii="Times New Roman" w:hAnsi="Times New Roman"/>
                <w:sz w:val="20"/>
                <w:szCs w:val="20"/>
              </w:rPr>
            </w:pPr>
          </w:p>
        </w:tc>
        <w:tc>
          <w:tcPr>
            <w:tcW w:w="50" w:type="pct"/>
            <w:shd w:val="clear" w:color="auto" w:fill="auto"/>
            <w:vAlign w:val="center"/>
          </w:tcPr>
          <w:p w14:paraId="42A13620" w14:textId="77777777" w:rsidR="00BB68E1" w:rsidRDefault="00BB68E1">
            <w:pPr>
              <w:rPr>
                <w:rFonts w:ascii="Times New Roman" w:hAnsi="Times New Roman"/>
                <w:sz w:val="20"/>
                <w:szCs w:val="20"/>
              </w:rPr>
            </w:pPr>
          </w:p>
        </w:tc>
        <w:tc>
          <w:tcPr>
            <w:tcW w:w="50" w:type="pct"/>
            <w:shd w:val="clear" w:color="auto" w:fill="auto"/>
            <w:vAlign w:val="center"/>
          </w:tcPr>
          <w:p w14:paraId="42A13621" w14:textId="77777777" w:rsidR="00BB68E1" w:rsidRDefault="00BB68E1">
            <w:pPr>
              <w:rPr>
                <w:rFonts w:ascii="Times New Roman" w:hAnsi="Times New Roman"/>
                <w:sz w:val="20"/>
                <w:szCs w:val="20"/>
              </w:rPr>
            </w:pPr>
          </w:p>
        </w:tc>
        <w:tc>
          <w:tcPr>
            <w:tcW w:w="450" w:type="pct"/>
            <w:shd w:val="clear" w:color="auto" w:fill="auto"/>
            <w:vAlign w:val="center"/>
          </w:tcPr>
          <w:p w14:paraId="42A13622" w14:textId="77777777" w:rsidR="00BB68E1" w:rsidRDefault="00BB68E1">
            <w:pPr>
              <w:rPr>
                <w:rFonts w:ascii="Times New Roman" w:hAnsi="Times New Roman"/>
                <w:sz w:val="20"/>
                <w:szCs w:val="20"/>
              </w:rPr>
            </w:pPr>
          </w:p>
        </w:tc>
        <w:tc>
          <w:tcPr>
            <w:tcW w:w="50" w:type="pct"/>
            <w:shd w:val="clear" w:color="auto" w:fill="auto"/>
            <w:vAlign w:val="center"/>
          </w:tcPr>
          <w:p w14:paraId="42A13623" w14:textId="77777777" w:rsidR="00BB68E1" w:rsidRDefault="00BB68E1">
            <w:pPr>
              <w:rPr>
                <w:rFonts w:ascii="Times New Roman" w:hAnsi="Times New Roman"/>
                <w:sz w:val="20"/>
                <w:szCs w:val="20"/>
              </w:rPr>
            </w:pPr>
          </w:p>
        </w:tc>
        <w:tc>
          <w:tcPr>
            <w:tcW w:w="50" w:type="pct"/>
            <w:shd w:val="clear" w:color="auto" w:fill="auto"/>
            <w:vAlign w:val="center"/>
          </w:tcPr>
          <w:p w14:paraId="42A13624" w14:textId="77777777" w:rsidR="00BB68E1" w:rsidRDefault="00BB68E1">
            <w:pPr>
              <w:rPr>
                <w:rFonts w:ascii="Times New Roman" w:hAnsi="Times New Roman"/>
                <w:sz w:val="20"/>
                <w:szCs w:val="20"/>
              </w:rPr>
            </w:pPr>
          </w:p>
        </w:tc>
        <w:tc>
          <w:tcPr>
            <w:tcW w:w="50" w:type="pct"/>
            <w:shd w:val="clear" w:color="auto" w:fill="auto"/>
            <w:vAlign w:val="center"/>
          </w:tcPr>
          <w:p w14:paraId="42A13625" w14:textId="77777777" w:rsidR="00BB68E1" w:rsidRDefault="00BB68E1">
            <w:pPr>
              <w:rPr>
                <w:rFonts w:ascii="Times New Roman" w:hAnsi="Times New Roman"/>
                <w:sz w:val="20"/>
                <w:szCs w:val="20"/>
              </w:rPr>
            </w:pPr>
          </w:p>
        </w:tc>
        <w:tc>
          <w:tcPr>
            <w:tcW w:w="450" w:type="pct"/>
            <w:shd w:val="clear" w:color="auto" w:fill="auto"/>
            <w:vAlign w:val="center"/>
          </w:tcPr>
          <w:p w14:paraId="42A13626" w14:textId="77777777" w:rsidR="00BB68E1" w:rsidRDefault="00BB68E1">
            <w:pPr>
              <w:rPr>
                <w:rFonts w:ascii="Times New Roman" w:hAnsi="Times New Roman"/>
                <w:sz w:val="20"/>
                <w:szCs w:val="20"/>
              </w:rPr>
            </w:pPr>
          </w:p>
        </w:tc>
        <w:tc>
          <w:tcPr>
            <w:tcW w:w="50" w:type="pct"/>
            <w:shd w:val="clear" w:color="auto" w:fill="auto"/>
            <w:vAlign w:val="center"/>
          </w:tcPr>
          <w:p w14:paraId="42A13627" w14:textId="77777777" w:rsidR="00BB68E1" w:rsidRDefault="00BB68E1">
            <w:pPr>
              <w:rPr>
                <w:rFonts w:ascii="Times New Roman" w:hAnsi="Times New Roman"/>
                <w:sz w:val="20"/>
                <w:szCs w:val="20"/>
              </w:rPr>
            </w:pPr>
          </w:p>
        </w:tc>
      </w:tr>
      <w:tr w:rsidR="00BB68E1" w14:paraId="42A1362C" w14:textId="77777777">
        <w:tc>
          <w:tcPr>
            <w:tcW w:w="0" w:type="auto"/>
            <w:shd w:val="clear" w:color="auto" w:fill="auto"/>
            <w:tcMar>
              <w:top w:w="40" w:type="dxa"/>
              <w:left w:w="40" w:type="dxa"/>
              <w:bottom w:w="40" w:type="dxa"/>
              <w:right w:w="40" w:type="dxa"/>
            </w:tcMar>
            <w:vAlign w:val="bottom"/>
          </w:tcPr>
          <w:p w14:paraId="42A1362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62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362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3634" w14:textId="77777777">
        <w:tc>
          <w:tcPr>
            <w:tcW w:w="0" w:type="auto"/>
            <w:shd w:val="clear" w:color="auto" w:fill="auto"/>
            <w:tcMar>
              <w:top w:w="40" w:type="dxa"/>
              <w:left w:w="40" w:type="dxa"/>
              <w:bottom w:w="40" w:type="dxa"/>
              <w:right w:w="40" w:type="dxa"/>
            </w:tcMar>
            <w:vAlign w:val="bottom"/>
          </w:tcPr>
          <w:p w14:paraId="42A1362D"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362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62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363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631"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363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63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363C" w14:textId="77777777">
        <w:tc>
          <w:tcPr>
            <w:tcW w:w="0" w:type="auto"/>
            <w:shd w:val="clear" w:color="auto" w:fill="CCEEFF"/>
            <w:tcMar>
              <w:top w:w="40" w:type="dxa"/>
              <w:left w:w="40" w:type="dxa"/>
              <w:bottom w:w="40" w:type="dxa"/>
              <w:right w:w="40" w:type="dxa"/>
            </w:tcMar>
            <w:vAlign w:val="center"/>
          </w:tcPr>
          <w:p w14:paraId="42A13635"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Current:</w:t>
            </w:r>
          </w:p>
        </w:tc>
        <w:tc>
          <w:tcPr>
            <w:tcW w:w="0" w:type="auto"/>
            <w:shd w:val="clear" w:color="auto" w:fill="CCEEFF"/>
            <w:tcMar>
              <w:top w:w="40" w:type="dxa"/>
              <w:left w:w="40" w:type="dxa"/>
              <w:bottom w:w="40" w:type="dxa"/>
              <w:right w:w="40" w:type="dxa"/>
            </w:tcMar>
            <w:vAlign w:val="bottom"/>
          </w:tcPr>
          <w:p w14:paraId="42A1363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63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63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63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63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6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64A" w14:textId="77777777">
        <w:tc>
          <w:tcPr>
            <w:tcW w:w="0" w:type="auto"/>
            <w:shd w:val="clear" w:color="auto" w:fill="auto"/>
            <w:tcMar>
              <w:top w:w="40" w:type="dxa"/>
              <w:left w:w="560" w:type="dxa"/>
              <w:bottom w:w="40" w:type="dxa"/>
              <w:right w:w="40" w:type="dxa"/>
            </w:tcMar>
            <w:vAlign w:val="center"/>
          </w:tcPr>
          <w:p w14:paraId="42A1363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U.S. federal</w:t>
            </w:r>
          </w:p>
        </w:tc>
        <w:tc>
          <w:tcPr>
            <w:tcW w:w="0" w:type="auto"/>
            <w:shd w:val="clear" w:color="auto" w:fill="auto"/>
            <w:tcMar>
              <w:top w:w="40" w:type="dxa"/>
              <w:left w:w="40" w:type="dxa"/>
              <w:bottom w:w="40" w:type="dxa"/>
              <w:right w:w="40" w:type="dxa"/>
            </w:tcMar>
            <w:vAlign w:val="bottom"/>
          </w:tcPr>
          <w:p w14:paraId="42A1363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63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64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2,794</w:t>
            </w:r>
          </w:p>
        </w:tc>
        <w:tc>
          <w:tcPr>
            <w:tcW w:w="0" w:type="auto"/>
            <w:shd w:val="clear" w:color="auto" w:fill="auto"/>
            <w:vAlign w:val="bottom"/>
          </w:tcPr>
          <w:p w14:paraId="42A1364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64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64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64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2,763</w:t>
            </w:r>
          </w:p>
        </w:tc>
        <w:tc>
          <w:tcPr>
            <w:tcW w:w="0" w:type="auto"/>
            <w:shd w:val="clear" w:color="auto" w:fill="auto"/>
            <w:vAlign w:val="bottom"/>
          </w:tcPr>
          <w:p w14:paraId="42A1364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64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64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64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2,998</w:t>
            </w:r>
          </w:p>
        </w:tc>
        <w:tc>
          <w:tcPr>
            <w:tcW w:w="0" w:type="auto"/>
            <w:shd w:val="clear" w:color="auto" w:fill="auto"/>
            <w:vAlign w:val="bottom"/>
          </w:tcPr>
          <w:p w14:paraId="42A13649" w14:textId="77777777" w:rsidR="00BB68E1" w:rsidRDefault="00BB68E1">
            <w:pPr>
              <w:textAlignment w:val="bottom"/>
              <w:rPr>
                <w:rFonts w:ascii="Times New Roman" w:hAnsi="Times New Roman"/>
                <w:sz w:val="20"/>
                <w:szCs w:val="20"/>
              </w:rPr>
            </w:pPr>
          </w:p>
        </w:tc>
      </w:tr>
      <w:tr w:rsidR="00BB68E1" w14:paraId="42A13655" w14:textId="77777777">
        <w:tc>
          <w:tcPr>
            <w:tcW w:w="0" w:type="auto"/>
            <w:shd w:val="clear" w:color="auto" w:fill="CCEEFF"/>
            <w:tcMar>
              <w:top w:w="40" w:type="dxa"/>
              <w:left w:w="560" w:type="dxa"/>
              <w:bottom w:w="40" w:type="dxa"/>
              <w:right w:w="40" w:type="dxa"/>
            </w:tcMar>
            <w:vAlign w:val="center"/>
          </w:tcPr>
          <w:p w14:paraId="42A1364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U.S. state and local</w:t>
            </w:r>
          </w:p>
        </w:tc>
        <w:tc>
          <w:tcPr>
            <w:tcW w:w="0" w:type="auto"/>
            <w:shd w:val="clear" w:color="auto" w:fill="CCEEFF"/>
            <w:tcMar>
              <w:top w:w="40" w:type="dxa"/>
              <w:left w:w="40" w:type="dxa"/>
              <w:bottom w:w="40" w:type="dxa"/>
              <w:right w:w="40" w:type="dxa"/>
            </w:tcMar>
            <w:vAlign w:val="bottom"/>
          </w:tcPr>
          <w:p w14:paraId="42A1364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64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587</w:t>
            </w:r>
          </w:p>
        </w:tc>
        <w:tc>
          <w:tcPr>
            <w:tcW w:w="0" w:type="auto"/>
            <w:shd w:val="clear" w:color="auto" w:fill="CCEEFF"/>
            <w:vAlign w:val="bottom"/>
          </w:tcPr>
          <w:p w14:paraId="42A1364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64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65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493</w:t>
            </w:r>
          </w:p>
        </w:tc>
        <w:tc>
          <w:tcPr>
            <w:tcW w:w="0" w:type="auto"/>
            <w:shd w:val="clear" w:color="auto" w:fill="CCEEFF"/>
            <w:vAlign w:val="bottom"/>
          </w:tcPr>
          <w:p w14:paraId="42A1365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65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65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405</w:t>
            </w:r>
          </w:p>
        </w:tc>
        <w:tc>
          <w:tcPr>
            <w:tcW w:w="0" w:type="auto"/>
            <w:shd w:val="clear" w:color="auto" w:fill="CCEEFF"/>
            <w:vAlign w:val="bottom"/>
          </w:tcPr>
          <w:p w14:paraId="42A13654" w14:textId="77777777" w:rsidR="00BB68E1" w:rsidRDefault="00BB68E1">
            <w:pPr>
              <w:textAlignment w:val="bottom"/>
              <w:rPr>
                <w:rFonts w:ascii="Times New Roman" w:hAnsi="Times New Roman"/>
                <w:sz w:val="20"/>
                <w:szCs w:val="20"/>
              </w:rPr>
            </w:pPr>
          </w:p>
        </w:tc>
      </w:tr>
      <w:tr w:rsidR="00BB68E1" w14:paraId="42A13660" w14:textId="77777777">
        <w:tc>
          <w:tcPr>
            <w:tcW w:w="0" w:type="auto"/>
            <w:shd w:val="clear" w:color="auto" w:fill="auto"/>
            <w:tcMar>
              <w:top w:w="40" w:type="dxa"/>
              <w:left w:w="560" w:type="dxa"/>
              <w:bottom w:w="40" w:type="dxa"/>
              <w:right w:w="40" w:type="dxa"/>
            </w:tcMar>
            <w:vAlign w:val="center"/>
          </w:tcPr>
          <w:p w14:paraId="42A1365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International</w:t>
            </w:r>
          </w:p>
        </w:tc>
        <w:tc>
          <w:tcPr>
            <w:tcW w:w="0" w:type="auto"/>
            <w:shd w:val="clear" w:color="auto" w:fill="auto"/>
            <w:tcMar>
              <w:top w:w="40" w:type="dxa"/>
              <w:left w:w="40" w:type="dxa"/>
              <w:bottom w:w="40" w:type="dxa"/>
              <w:right w:w="40" w:type="dxa"/>
            </w:tcMar>
            <w:vAlign w:val="bottom"/>
          </w:tcPr>
          <w:p w14:paraId="42A1365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365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1,205</w:t>
            </w:r>
          </w:p>
        </w:tc>
        <w:tc>
          <w:tcPr>
            <w:tcW w:w="0" w:type="auto"/>
            <w:tcBorders>
              <w:bottom w:val="single" w:sz="8" w:space="0" w:color="000000"/>
            </w:tcBorders>
            <w:shd w:val="clear" w:color="auto" w:fill="auto"/>
            <w:vAlign w:val="bottom"/>
          </w:tcPr>
          <w:p w14:paraId="42A1365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65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65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1,495</w:t>
            </w:r>
          </w:p>
        </w:tc>
        <w:tc>
          <w:tcPr>
            <w:tcW w:w="0" w:type="auto"/>
            <w:shd w:val="clear" w:color="auto" w:fill="auto"/>
            <w:vAlign w:val="bottom"/>
          </w:tcPr>
          <w:p w14:paraId="42A1365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65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65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1,377</w:t>
            </w:r>
          </w:p>
        </w:tc>
        <w:tc>
          <w:tcPr>
            <w:tcW w:w="0" w:type="auto"/>
            <w:shd w:val="clear" w:color="auto" w:fill="auto"/>
            <w:vAlign w:val="bottom"/>
          </w:tcPr>
          <w:p w14:paraId="42A1365F" w14:textId="77777777" w:rsidR="00BB68E1" w:rsidRDefault="00BB68E1">
            <w:pPr>
              <w:textAlignment w:val="bottom"/>
              <w:rPr>
                <w:rFonts w:ascii="Times New Roman" w:hAnsi="Times New Roman"/>
                <w:sz w:val="20"/>
                <w:szCs w:val="20"/>
              </w:rPr>
            </w:pPr>
          </w:p>
        </w:tc>
      </w:tr>
      <w:tr w:rsidR="00BB68E1" w14:paraId="42A1366B" w14:textId="77777777">
        <w:tc>
          <w:tcPr>
            <w:tcW w:w="0" w:type="auto"/>
            <w:shd w:val="clear" w:color="auto" w:fill="CCEEFF"/>
            <w:tcMar>
              <w:top w:w="40" w:type="dxa"/>
              <w:left w:w="40" w:type="dxa"/>
              <w:bottom w:w="40" w:type="dxa"/>
              <w:right w:w="40" w:type="dxa"/>
            </w:tcMar>
            <w:vAlign w:val="center"/>
          </w:tcPr>
          <w:p w14:paraId="42A13661"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current tax provision</w:t>
            </w:r>
          </w:p>
        </w:tc>
        <w:tc>
          <w:tcPr>
            <w:tcW w:w="0" w:type="auto"/>
            <w:shd w:val="clear" w:color="auto" w:fill="CCEEFF"/>
            <w:tcMar>
              <w:top w:w="40" w:type="dxa"/>
              <w:left w:w="40" w:type="dxa"/>
              <w:bottom w:w="40" w:type="dxa"/>
              <w:right w:w="40" w:type="dxa"/>
            </w:tcMar>
            <w:vAlign w:val="bottom"/>
          </w:tcPr>
          <w:p w14:paraId="42A1366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center"/>
          </w:tcPr>
          <w:p w14:paraId="42A1366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4,586</w:t>
            </w:r>
          </w:p>
        </w:tc>
        <w:tc>
          <w:tcPr>
            <w:tcW w:w="0" w:type="auto"/>
            <w:tcBorders>
              <w:top w:val="single" w:sz="8" w:space="0" w:color="000000"/>
              <w:bottom w:val="single" w:sz="8" w:space="0" w:color="000000"/>
            </w:tcBorders>
            <w:shd w:val="clear" w:color="auto" w:fill="CCEEFF"/>
            <w:vAlign w:val="bottom"/>
          </w:tcPr>
          <w:p w14:paraId="42A1366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66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center"/>
          </w:tcPr>
          <w:p w14:paraId="42A1366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4,751</w:t>
            </w:r>
          </w:p>
        </w:tc>
        <w:tc>
          <w:tcPr>
            <w:tcW w:w="0" w:type="auto"/>
            <w:tcBorders>
              <w:top w:val="single" w:sz="8" w:space="0" w:color="000000"/>
              <w:bottom w:val="single" w:sz="8" w:space="0" w:color="000000"/>
            </w:tcBorders>
            <w:shd w:val="clear" w:color="auto" w:fill="CCEEFF"/>
            <w:vAlign w:val="bottom"/>
          </w:tcPr>
          <w:p w14:paraId="42A1366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66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center"/>
          </w:tcPr>
          <w:p w14:paraId="42A1366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4,780</w:t>
            </w:r>
          </w:p>
        </w:tc>
        <w:tc>
          <w:tcPr>
            <w:tcW w:w="0" w:type="auto"/>
            <w:tcBorders>
              <w:top w:val="single" w:sz="8" w:space="0" w:color="000000"/>
              <w:bottom w:val="single" w:sz="8" w:space="0" w:color="000000"/>
            </w:tcBorders>
            <w:shd w:val="clear" w:color="auto" w:fill="CCEEFF"/>
            <w:vAlign w:val="bottom"/>
          </w:tcPr>
          <w:p w14:paraId="42A1366A" w14:textId="77777777" w:rsidR="00BB68E1" w:rsidRDefault="00BB68E1">
            <w:pPr>
              <w:textAlignment w:val="bottom"/>
              <w:rPr>
                <w:rFonts w:ascii="Times New Roman" w:hAnsi="Times New Roman"/>
                <w:sz w:val="20"/>
                <w:szCs w:val="20"/>
              </w:rPr>
            </w:pPr>
          </w:p>
        </w:tc>
      </w:tr>
      <w:tr w:rsidR="00BB68E1" w14:paraId="42A13673" w14:textId="77777777">
        <w:tc>
          <w:tcPr>
            <w:tcW w:w="0" w:type="auto"/>
            <w:shd w:val="clear" w:color="auto" w:fill="auto"/>
            <w:tcMar>
              <w:top w:w="40" w:type="dxa"/>
              <w:left w:w="40" w:type="dxa"/>
              <w:bottom w:w="40" w:type="dxa"/>
              <w:right w:w="40" w:type="dxa"/>
            </w:tcMar>
            <w:vAlign w:val="center"/>
          </w:tcPr>
          <w:p w14:paraId="42A1366C"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Deferred:</w:t>
            </w:r>
          </w:p>
        </w:tc>
        <w:tc>
          <w:tcPr>
            <w:tcW w:w="0" w:type="auto"/>
            <w:shd w:val="clear" w:color="auto" w:fill="auto"/>
            <w:tcMar>
              <w:top w:w="40" w:type="dxa"/>
              <w:left w:w="40" w:type="dxa"/>
              <w:bottom w:w="40" w:type="dxa"/>
              <w:right w:w="40" w:type="dxa"/>
            </w:tcMar>
            <w:vAlign w:val="bottom"/>
          </w:tcPr>
          <w:p w14:paraId="42A1366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6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66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67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67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67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67E" w14:textId="77777777">
        <w:tc>
          <w:tcPr>
            <w:tcW w:w="0" w:type="auto"/>
            <w:shd w:val="clear" w:color="auto" w:fill="CCEEFF"/>
            <w:tcMar>
              <w:top w:w="40" w:type="dxa"/>
              <w:left w:w="560" w:type="dxa"/>
              <w:bottom w:w="40" w:type="dxa"/>
              <w:right w:w="40" w:type="dxa"/>
            </w:tcMar>
            <w:vAlign w:val="center"/>
          </w:tcPr>
          <w:p w14:paraId="42A1367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lastRenderedPageBreak/>
              <w:t>U.S. federal</w:t>
            </w:r>
          </w:p>
        </w:tc>
        <w:tc>
          <w:tcPr>
            <w:tcW w:w="0" w:type="auto"/>
            <w:shd w:val="clear" w:color="auto" w:fill="CCEEFF"/>
            <w:tcMar>
              <w:top w:w="40" w:type="dxa"/>
              <w:left w:w="40" w:type="dxa"/>
              <w:bottom w:w="40" w:type="dxa"/>
              <w:right w:w="40" w:type="dxa"/>
            </w:tcMar>
            <w:vAlign w:val="bottom"/>
          </w:tcPr>
          <w:p w14:paraId="42A1367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67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663</w:t>
            </w:r>
          </w:p>
        </w:tc>
        <w:tc>
          <w:tcPr>
            <w:tcW w:w="0" w:type="auto"/>
            <w:shd w:val="clear" w:color="auto" w:fill="CCEEFF"/>
            <w:vAlign w:val="bottom"/>
          </w:tcPr>
          <w:p w14:paraId="42A1367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67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67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(361</w:t>
            </w:r>
          </w:p>
        </w:tc>
        <w:tc>
          <w:tcPr>
            <w:tcW w:w="0" w:type="auto"/>
            <w:shd w:val="clear" w:color="auto" w:fill="CCEEFF"/>
            <w:tcMar>
              <w:top w:w="40" w:type="dxa"/>
              <w:bottom w:w="40" w:type="dxa"/>
              <w:right w:w="40" w:type="dxa"/>
            </w:tcMar>
            <w:vAlign w:val="center"/>
          </w:tcPr>
          <w:p w14:paraId="42A1367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67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67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w:t>
            </w:r>
          </w:p>
        </w:tc>
        <w:tc>
          <w:tcPr>
            <w:tcW w:w="0" w:type="auto"/>
            <w:shd w:val="clear" w:color="auto" w:fill="CCEEFF"/>
            <w:tcMar>
              <w:top w:w="40" w:type="dxa"/>
              <w:bottom w:w="40" w:type="dxa"/>
              <w:right w:w="40" w:type="dxa"/>
            </w:tcMar>
            <w:vAlign w:val="center"/>
          </w:tcPr>
          <w:p w14:paraId="42A1367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689" w14:textId="77777777">
        <w:tc>
          <w:tcPr>
            <w:tcW w:w="0" w:type="auto"/>
            <w:shd w:val="clear" w:color="auto" w:fill="auto"/>
            <w:tcMar>
              <w:top w:w="40" w:type="dxa"/>
              <w:left w:w="560" w:type="dxa"/>
              <w:bottom w:w="40" w:type="dxa"/>
              <w:right w:w="40" w:type="dxa"/>
            </w:tcMar>
            <w:vAlign w:val="center"/>
          </w:tcPr>
          <w:p w14:paraId="42A1367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U.S. state and local</w:t>
            </w:r>
          </w:p>
        </w:tc>
        <w:tc>
          <w:tcPr>
            <w:tcW w:w="0" w:type="auto"/>
            <w:shd w:val="clear" w:color="auto" w:fill="auto"/>
            <w:tcMar>
              <w:top w:w="40" w:type="dxa"/>
              <w:left w:w="40" w:type="dxa"/>
              <w:bottom w:w="40" w:type="dxa"/>
              <w:right w:w="40" w:type="dxa"/>
            </w:tcMar>
            <w:vAlign w:val="bottom"/>
          </w:tcPr>
          <w:p w14:paraId="42A1368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68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35</w:t>
            </w:r>
          </w:p>
        </w:tc>
        <w:tc>
          <w:tcPr>
            <w:tcW w:w="0" w:type="auto"/>
            <w:shd w:val="clear" w:color="auto" w:fill="auto"/>
            <w:vAlign w:val="bottom"/>
          </w:tcPr>
          <w:p w14:paraId="42A1368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68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68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shd w:val="clear" w:color="auto" w:fill="auto"/>
            <w:tcMar>
              <w:top w:w="40" w:type="dxa"/>
              <w:bottom w:w="40" w:type="dxa"/>
              <w:right w:w="40" w:type="dxa"/>
            </w:tcMar>
            <w:vAlign w:val="center"/>
          </w:tcPr>
          <w:p w14:paraId="42A1368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36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68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w:t>
            </w:r>
          </w:p>
        </w:tc>
        <w:tc>
          <w:tcPr>
            <w:tcW w:w="0" w:type="auto"/>
            <w:shd w:val="clear" w:color="auto" w:fill="auto"/>
            <w:tcMar>
              <w:top w:w="40" w:type="dxa"/>
              <w:bottom w:w="40" w:type="dxa"/>
              <w:right w:w="40" w:type="dxa"/>
            </w:tcMar>
            <w:vAlign w:val="center"/>
          </w:tcPr>
          <w:p w14:paraId="42A1368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694" w14:textId="77777777">
        <w:tc>
          <w:tcPr>
            <w:tcW w:w="0" w:type="auto"/>
            <w:shd w:val="clear" w:color="auto" w:fill="CCEEFF"/>
            <w:tcMar>
              <w:top w:w="40" w:type="dxa"/>
              <w:left w:w="560" w:type="dxa"/>
              <w:bottom w:w="40" w:type="dxa"/>
              <w:right w:w="40" w:type="dxa"/>
            </w:tcMar>
            <w:vAlign w:val="center"/>
          </w:tcPr>
          <w:p w14:paraId="42A1368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International</w:t>
            </w:r>
          </w:p>
        </w:tc>
        <w:tc>
          <w:tcPr>
            <w:tcW w:w="0" w:type="auto"/>
            <w:shd w:val="clear" w:color="auto" w:fill="CCEEFF"/>
            <w:tcMar>
              <w:top w:w="40" w:type="dxa"/>
              <w:left w:w="40" w:type="dxa"/>
              <w:bottom w:w="40" w:type="dxa"/>
              <w:right w:w="40" w:type="dxa"/>
            </w:tcMar>
            <w:vAlign w:val="bottom"/>
          </w:tcPr>
          <w:p w14:paraId="42A1368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68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(369</w:t>
            </w:r>
          </w:p>
        </w:tc>
        <w:tc>
          <w:tcPr>
            <w:tcW w:w="0" w:type="auto"/>
            <w:shd w:val="clear" w:color="auto" w:fill="CCEEFF"/>
            <w:tcMar>
              <w:top w:w="40" w:type="dxa"/>
              <w:bottom w:w="40" w:type="dxa"/>
              <w:right w:w="40" w:type="dxa"/>
            </w:tcMar>
            <w:vAlign w:val="center"/>
          </w:tcPr>
          <w:p w14:paraId="42A1368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68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68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(93</w:t>
            </w:r>
          </w:p>
        </w:tc>
        <w:tc>
          <w:tcPr>
            <w:tcW w:w="0" w:type="auto"/>
            <w:shd w:val="clear" w:color="auto" w:fill="CCEEFF"/>
            <w:tcMar>
              <w:top w:w="40" w:type="dxa"/>
              <w:bottom w:w="40" w:type="dxa"/>
              <w:right w:w="40" w:type="dxa"/>
            </w:tcMar>
            <w:vAlign w:val="center"/>
          </w:tcPr>
          <w:p w14:paraId="42A1369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69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69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(146</w:t>
            </w:r>
          </w:p>
        </w:tc>
        <w:tc>
          <w:tcPr>
            <w:tcW w:w="0" w:type="auto"/>
            <w:shd w:val="clear" w:color="auto" w:fill="CCEEFF"/>
            <w:tcMar>
              <w:top w:w="40" w:type="dxa"/>
              <w:bottom w:w="40" w:type="dxa"/>
              <w:right w:w="40" w:type="dxa"/>
            </w:tcMar>
            <w:vAlign w:val="center"/>
          </w:tcPr>
          <w:p w14:paraId="42A1369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69F" w14:textId="77777777">
        <w:tc>
          <w:tcPr>
            <w:tcW w:w="0" w:type="auto"/>
            <w:shd w:val="clear" w:color="auto" w:fill="auto"/>
            <w:tcMar>
              <w:top w:w="40" w:type="dxa"/>
              <w:left w:w="40" w:type="dxa"/>
              <w:bottom w:w="40" w:type="dxa"/>
              <w:right w:w="40" w:type="dxa"/>
            </w:tcMar>
            <w:vAlign w:val="center"/>
          </w:tcPr>
          <w:p w14:paraId="42A13695"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deferred tax expense (benefit)</w:t>
            </w:r>
          </w:p>
        </w:tc>
        <w:tc>
          <w:tcPr>
            <w:tcW w:w="0" w:type="auto"/>
            <w:shd w:val="clear" w:color="auto" w:fill="auto"/>
            <w:tcMar>
              <w:top w:w="40" w:type="dxa"/>
              <w:left w:w="40" w:type="dxa"/>
              <w:bottom w:w="40" w:type="dxa"/>
              <w:right w:w="40" w:type="dxa"/>
            </w:tcMar>
            <w:vAlign w:val="bottom"/>
          </w:tcPr>
          <w:p w14:paraId="42A1369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center"/>
          </w:tcPr>
          <w:p w14:paraId="42A1369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329</w:t>
            </w:r>
          </w:p>
        </w:tc>
        <w:tc>
          <w:tcPr>
            <w:tcW w:w="0" w:type="auto"/>
            <w:tcBorders>
              <w:top w:val="single" w:sz="8" w:space="0" w:color="000000"/>
              <w:bottom w:val="single" w:sz="8" w:space="0" w:color="000000"/>
            </w:tcBorders>
            <w:shd w:val="clear" w:color="auto" w:fill="auto"/>
            <w:vAlign w:val="bottom"/>
          </w:tcPr>
          <w:p w14:paraId="42A1369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69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center"/>
          </w:tcPr>
          <w:p w14:paraId="42A1369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(470</w:t>
            </w:r>
          </w:p>
        </w:tc>
        <w:tc>
          <w:tcPr>
            <w:tcW w:w="0" w:type="auto"/>
            <w:tcBorders>
              <w:top w:val="single" w:sz="8" w:space="0" w:color="000000"/>
              <w:bottom w:val="single" w:sz="8" w:space="0" w:color="000000"/>
            </w:tcBorders>
            <w:shd w:val="clear" w:color="auto" w:fill="auto"/>
            <w:tcMar>
              <w:top w:w="40" w:type="dxa"/>
              <w:bottom w:w="40" w:type="dxa"/>
              <w:right w:w="40" w:type="dxa"/>
            </w:tcMar>
            <w:vAlign w:val="center"/>
          </w:tcPr>
          <w:p w14:paraId="42A1369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369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42A1369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(180</w:t>
            </w:r>
          </w:p>
        </w:tc>
        <w:tc>
          <w:tcPr>
            <w:tcW w:w="0" w:type="auto"/>
            <w:tcBorders>
              <w:top w:val="single" w:sz="8" w:space="0" w:color="000000"/>
            </w:tcBorders>
            <w:shd w:val="clear" w:color="auto" w:fill="auto"/>
            <w:tcMar>
              <w:top w:w="40" w:type="dxa"/>
              <w:bottom w:w="40" w:type="dxa"/>
              <w:right w:w="40" w:type="dxa"/>
            </w:tcMar>
            <w:vAlign w:val="center"/>
          </w:tcPr>
          <w:p w14:paraId="42A1369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6AD" w14:textId="77777777">
        <w:tc>
          <w:tcPr>
            <w:tcW w:w="0" w:type="auto"/>
            <w:shd w:val="clear" w:color="auto" w:fill="CCEEFF"/>
            <w:tcMar>
              <w:top w:w="40" w:type="dxa"/>
              <w:left w:w="40" w:type="dxa"/>
              <w:bottom w:w="40" w:type="dxa"/>
              <w:right w:w="40" w:type="dxa"/>
            </w:tcMar>
            <w:vAlign w:val="center"/>
          </w:tcPr>
          <w:p w14:paraId="42A136A0"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provision for income taxes</w:t>
            </w:r>
          </w:p>
        </w:tc>
        <w:tc>
          <w:tcPr>
            <w:tcW w:w="0" w:type="auto"/>
            <w:shd w:val="clear" w:color="auto" w:fill="CCEEFF"/>
            <w:tcMar>
              <w:top w:w="40" w:type="dxa"/>
              <w:left w:w="40" w:type="dxa"/>
              <w:bottom w:w="40" w:type="dxa"/>
              <w:right w:w="40" w:type="dxa"/>
            </w:tcMar>
            <w:vAlign w:val="bottom"/>
          </w:tcPr>
          <w:p w14:paraId="42A136A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36A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36A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4,915</w:t>
            </w:r>
          </w:p>
        </w:tc>
        <w:tc>
          <w:tcPr>
            <w:tcW w:w="0" w:type="auto"/>
            <w:tcBorders>
              <w:bottom w:val="double" w:sz="6" w:space="0" w:color="000000"/>
            </w:tcBorders>
            <w:shd w:val="clear" w:color="auto" w:fill="CCEEFF"/>
            <w:vAlign w:val="bottom"/>
          </w:tcPr>
          <w:p w14:paraId="42A136A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6A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2A136A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2A136A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4,281</w:t>
            </w:r>
          </w:p>
        </w:tc>
        <w:tc>
          <w:tcPr>
            <w:tcW w:w="0" w:type="auto"/>
            <w:tcBorders>
              <w:bottom w:val="double" w:sz="6" w:space="0" w:color="000000"/>
            </w:tcBorders>
            <w:shd w:val="clear" w:color="auto" w:fill="CCEEFF"/>
            <w:vAlign w:val="bottom"/>
          </w:tcPr>
          <w:p w14:paraId="42A136A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6A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36A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36A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4,600</w:t>
            </w:r>
          </w:p>
        </w:tc>
        <w:tc>
          <w:tcPr>
            <w:tcW w:w="0" w:type="auto"/>
            <w:tcBorders>
              <w:top w:val="single" w:sz="8" w:space="0" w:color="000000"/>
              <w:bottom w:val="double" w:sz="6" w:space="0" w:color="000000"/>
            </w:tcBorders>
            <w:shd w:val="clear" w:color="auto" w:fill="CCEEFF"/>
            <w:vAlign w:val="bottom"/>
          </w:tcPr>
          <w:p w14:paraId="42A136AC" w14:textId="77777777" w:rsidR="00BB68E1" w:rsidRDefault="00BB68E1">
            <w:pPr>
              <w:textAlignment w:val="bottom"/>
              <w:rPr>
                <w:rFonts w:ascii="Times New Roman" w:hAnsi="Times New Roman"/>
                <w:sz w:val="20"/>
                <w:szCs w:val="20"/>
              </w:rPr>
            </w:pPr>
          </w:p>
        </w:tc>
      </w:tr>
    </w:tbl>
    <w:p w14:paraId="42A136AE" w14:textId="77777777" w:rsidR="00BB68E1" w:rsidRDefault="00BB68E1">
      <w:pPr>
        <w:spacing w:line="288" w:lineRule="auto"/>
        <w:rPr>
          <w:rFonts w:ascii="Times New Roman" w:hAnsi="Times New Roman"/>
          <w:sz w:val="20"/>
          <w:szCs w:val="20"/>
        </w:rPr>
      </w:pPr>
    </w:p>
    <w:p w14:paraId="42A136A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In December 2017, the Tax Act was enacted and significantly changed U.S. income tax law. Beginning January 2018, the Tax Act reduced the U.S. statutory tax rate and created new taxes focused on foreign-sourced earnings and </w:t>
      </w:r>
      <w:r>
        <w:rPr>
          <w:rFonts w:ascii="Times New Roman" w:eastAsia="宋体" w:hAnsi="Times New Roman"/>
          <w:sz w:val="20"/>
          <w:szCs w:val="20"/>
        </w:rPr>
        <w:t>related-party payments, including the creation of the base erosion anti-abuse tax and a new tax on global intangible low-taxed income ("GILTI"). In addition, the Company was subject to a one-time transition tax in fiscal 2018 on accumulated foreign subsidi</w:t>
      </w:r>
      <w:r>
        <w:rPr>
          <w:rFonts w:ascii="Times New Roman" w:eastAsia="宋体" w:hAnsi="Times New Roman"/>
          <w:sz w:val="20"/>
          <w:szCs w:val="20"/>
        </w:rPr>
        <w:t>ary earnings not previously subject to U.S. income tax.</w:t>
      </w:r>
    </w:p>
    <w:p w14:paraId="42A136B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SEC staff issued Staff Accounting Bulletin No. 118, </w:t>
      </w:r>
      <w:r>
        <w:rPr>
          <w:rFonts w:ascii="Times New Roman" w:eastAsia="宋体" w:hAnsi="Times New Roman"/>
          <w:i/>
          <w:iCs/>
          <w:sz w:val="20"/>
          <w:szCs w:val="20"/>
        </w:rPr>
        <w:t xml:space="preserve">Income Tax Accounting Implications of the Tax Cuts and Jobs Act </w:t>
      </w:r>
      <w:r>
        <w:rPr>
          <w:rFonts w:ascii="Times New Roman" w:eastAsia="宋体" w:hAnsi="Times New Roman"/>
          <w:sz w:val="20"/>
          <w:szCs w:val="20"/>
        </w:rPr>
        <w:t>("SAB 118"), which allowed companies to record provisional amounts during a meas</w:t>
      </w:r>
      <w:r>
        <w:rPr>
          <w:rFonts w:ascii="Times New Roman" w:eastAsia="宋体" w:hAnsi="Times New Roman"/>
          <w:sz w:val="20"/>
          <w:szCs w:val="20"/>
        </w:rPr>
        <w:t>urement period not to extend beyond one year of the enactment date. Due to the timing of the enactment and the complexity involved in applying the provisions of the Tax Act, the Company made reasonable estimates of the effects and recorded provisional amou</w:t>
      </w:r>
      <w:r>
        <w:rPr>
          <w:rFonts w:ascii="Times New Roman" w:eastAsia="宋体" w:hAnsi="Times New Roman"/>
          <w:sz w:val="20"/>
          <w:szCs w:val="20"/>
        </w:rPr>
        <w:t>nts in its financial statements as of January 31, 2018, in accordance with SAB 118. The Company elected to apply the measurement period provisions of this guidance to certain income tax effects of the Tax Act when it became effective. The provisional measu</w:t>
      </w:r>
      <w:r>
        <w:rPr>
          <w:rFonts w:ascii="Times New Roman" w:eastAsia="宋体" w:hAnsi="Times New Roman"/>
          <w:sz w:val="20"/>
          <w:szCs w:val="20"/>
        </w:rPr>
        <w:t xml:space="preserve">rement period ended in the fourth quarter of fiscal 2019.  Management completed the Company's accounting for Tax Reform in fiscal 2019 based on prevailing regulations and currently available information, and any additional guidance issued by the IRS could </w:t>
      </w:r>
      <w:r>
        <w:rPr>
          <w:rFonts w:ascii="Times New Roman" w:eastAsia="宋体" w:hAnsi="Times New Roman"/>
          <w:sz w:val="20"/>
          <w:szCs w:val="20"/>
        </w:rPr>
        <w:t xml:space="preserve">impact the aforementioned amounts in future periods. The net tax benefit recognized in fiscal 2018 related to the Tax Act was $207 million, and in fiscal 2019, the Company recorded $442 million of additional tax expense related to the Tax Act, included as </w:t>
      </w:r>
      <w:r>
        <w:rPr>
          <w:rFonts w:ascii="Times New Roman" w:eastAsia="宋体" w:hAnsi="Times New Roman"/>
          <w:sz w:val="20"/>
          <w:szCs w:val="20"/>
        </w:rPr>
        <w:t>a component of provision for income taxes.</w:t>
      </w:r>
    </w:p>
    <w:p w14:paraId="42A136B1"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One-time Transition Tax</w:t>
      </w:r>
    </w:p>
    <w:p w14:paraId="42A136B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Tax Act required the Company to pay U.S. income taxes on accumulated foreign subsidiary earnings not previously subject to U.S. income tax at a rate of 15.5% to the extent of foreign ca</w:t>
      </w:r>
      <w:r>
        <w:rPr>
          <w:rFonts w:ascii="Times New Roman" w:eastAsia="宋体" w:hAnsi="Times New Roman"/>
          <w:sz w:val="20"/>
          <w:szCs w:val="20"/>
        </w:rPr>
        <w:t xml:space="preserve">sh and certain other net current assets, as defined by the Tax Act, and 8.0% on the remaining earnings. In fiscal 2018, the Company recorded a provisional amount of $1.9 billion of additional income tax expense for its one-time transitional tax liability. </w:t>
      </w:r>
      <w:r>
        <w:rPr>
          <w:rFonts w:ascii="Times New Roman" w:eastAsia="宋体" w:hAnsi="Times New Roman"/>
          <w:sz w:val="20"/>
          <w:szCs w:val="20"/>
        </w:rPr>
        <w:t>The Company calculated the Transition Tax liability and increased the provisional amount by $413 million, with the increase included as a component of provision for income taxes in fiscal 2019.</w:t>
      </w:r>
    </w:p>
    <w:p w14:paraId="42A136B3"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Deferred Tax Effects</w:t>
      </w:r>
    </w:p>
    <w:p w14:paraId="42A136B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Tax Act reduced the U.S. statutory ta</w:t>
      </w:r>
      <w:r>
        <w:rPr>
          <w:rFonts w:ascii="Times New Roman" w:eastAsia="宋体" w:hAnsi="Times New Roman"/>
          <w:sz w:val="20"/>
          <w:szCs w:val="20"/>
        </w:rPr>
        <w:t>x rate from 35.0% to 21.0%, beginning January 2018. Accordingly, the Company re-measured its deferred taxes as of January 31, 2018, to reflect the reduced rate that will apply in future periods when these deferred taxes are settled or realized. In fiscal 2</w:t>
      </w:r>
      <w:r>
        <w:rPr>
          <w:rFonts w:ascii="Times New Roman" w:eastAsia="宋体" w:hAnsi="Times New Roman"/>
          <w:sz w:val="20"/>
          <w:szCs w:val="20"/>
        </w:rPr>
        <w:t>018, the Company recognized a deferred tax benefit of $2.1 billion to reflect the reduced U.S. tax rate and other effects of the Tax Act. In fiscal 2018, the Company made no provisional adjustment with respect to the GILTI provision of the Tax Act. Upon fi</w:t>
      </w:r>
      <w:r>
        <w:rPr>
          <w:rFonts w:ascii="Times New Roman" w:eastAsia="宋体" w:hAnsi="Times New Roman"/>
          <w:sz w:val="20"/>
          <w:szCs w:val="20"/>
        </w:rPr>
        <w:t>nalizing the provisional accounting for the remeasurement of U.S. deferred tax assets and liabilities in fiscal 2019, the Company recorded an additional tax benefit of $75 million, which is included as a component of provision for income taxes.</w:t>
      </w:r>
    </w:p>
    <w:p w14:paraId="42A136B5" w14:textId="77777777" w:rsidR="00BB68E1" w:rsidRDefault="00BB68E1">
      <w:pPr>
        <w:rPr>
          <w:rFonts w:ascii="Times New Roman" w:hAnsi="Times New Roman"/>
          <w:sz w:val="20"/>
          <w:szCs w:val="20"/>
        </w:rPr>
      </w:pPr>
    </w:p>
    <w:p w14:paraId="42A136B6"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69</w:t>
      </w:r>
    </w:p>
    <w:p w14:paraId="42A136B7" w14:textId="77777777" w:rsidR="00BB68E1" w:rsidRDefault="00BB68E1">
      <w:pPr>
        <w:spacing w:line="288" w:lineRule="auto"/>
        <w:jc w:val="center"/>
        <w:rPr>
          <w:rFonts w:ascii="Times New Roman" w:hAnsi="Times New Roman"/>
          <w:sz w:val="20"/>
          <w:szCs w:val="20"/>
        </w:rPr>
      </w:pPr>
    </w:p>
    <w:p w14:paraId="42A136B8" w14:textId="77777777" w:rsidR="00BB68E1" w:rsidRDefault="005D2D5E">
      <w:r>
        <w:rPr>
          <w:rFonts w:ascii="Times New Roman" w:hAnsi="Times New Roman"/>
          <w:sz w:val="20"/>
          <w:szCs w:val="20"/>
        </w:rPr>
        <w:pict w14:anchorId="42A142BC">
          <v:rect id="_x0000_i1093" style="width:415.3pt;height:1.5pt" o:hralign="center" o:hrstd="t" o:hr="t" fillcolor="#a0a0a0" stroked="f"/>
        </w:pict>
      </w:r>
    </w:p>
    <w:p w14:paraId="42A136B9" w14:textId="77777777" w:rsidR="00BB68E1" w:rsidRDefault="00BB68E1">
      <w:pPr>
        <w:spacing w:line="288" w:lineRule="auto"/>
        <w:rPr>
          <w:rFonts w:ascii="Times New Roman" w:hAnsi="Times New Roman"/>
          <w:sz w:val="20"/>
          <w:szCs w:val="20"/>
        </w:rPr>
      </w:pPr>
    </w:p>
    <w:p w14:paraId="42A136BA" w14:textId="77777777" w:rsidR="00BB68E1" w:rsidRDefault="00BB68E1">
      <w:pPr>
        <w:rPr>
          <w:rFonts w:ascii="Times New Roman" w:hAnsi="Times New Roman"/>
          <w:sz w:val="20"/>
          <w:szCs w:val="20"/>
        </w:rPr>
      </w:pPr>
    </w:p>
    <w:p w14:paraId="42A136BB"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Ef</w:t>
      </w:r>
      <w:r>
        <w:rPr>
          <w:rFonts w:ascii="Times New Roman" w:eastAsia="宋体" w:hAnsi="Times New Roman"/>
          <w:i/>
          <w:iCs/>
          <w:sz w:val="20"/>
          <w:szCs w:val="20"/>
        </w:rPr>
        <w:t>fective Income Tax Rate Reconciliation</w:t>
      </w:r>
    </w:p>
    <w:p w14:paraId="42A136B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 xml:space="preserve">In the past, the Company's effective income tax rate was typically lower than the U.S. statutory tax rate primarily because of benefits from lower-taxed global operations partially offset by a valuation </w:t>
      </w:r>
      <w:r>
        <w:rPr>
          <w:rFonts w:ascii="Times New Roman" w:eastAsia="宋体" w:hAnsi="Times New Roman"/>
          <w:sz w:val="20"/>
          <w:szCs w:val="20"/>
        </w:rPr>
        <w:t xml:space="preserve">allowance. However, beginning January 2018, the U.S. statutory rate of 21.0% generally falls below statutory rates in international jurisdictions. A reconciliation of the significant differences between the U.S. statutory tax rate and the effective income </w:t>
      </w:r>
      <w:r>
        <w:rPr>
          <w:rFonts w:ascii="Times New Roman" w:eastAsia="宋体" w:hAnsi="Times New Roman"/>
          <w:sz w:val="20"/>
          <w:szCs w:val="20"/>
        </w:rPr>
        <w:t>tax rate on pretax income from continuing operations is as follows:</w:t>
      </w:r>
    </w:p>
    <w:tbl>
      <w:tblPr>
        <w:tblW w:w="5000" w:type="pct"/>
        <w:tblCellMar>
          <w:left w:w="0" w:type="dxa"/>
          <w:right w:w="0" w:type="dxa"/>
        </w:tblCellMar>
        <w:tblLook w:val="04A0" w:firstRow="1" w:lastRow="0" w:firstColumn="1" w:lastColumn="0" w:noHBand="0" w:noVBand="1"/>
      </w:tblPr>
      <w:tblGrid>
        <w:gridCol w:w="5172"/>
        <w:gridCol w:w="130"/>
        <w:gridCol w:w="687"/>
        <w:gridCol w:w="227"/>
        <w:gridCol w:w="130"/>
        <w:gridCol w:w="688"/>
        <w:gridCol w:w="227"/>
        <w:gridCol w:w="130"/>
        <w:gridCol w:w="688"/>
        <w:gridCol w:w="227"/>
      </w:tblGrid>
      <w:tr w:rsidR="00BB68E1" w14:paraId="42A136BE" w14:textId="77777777">
        <w:tc>
          <w:tcPr>
            <w:tcW w:w="0" w:type="auto"/>
            <w:gridSpan w:val="10"/>
            <w:shd w:val="clear" w:color="auto" w:fill="auto"/>
            <w:vAlign w:val="center"/>
          </w:tcPr>
          <w:p w14:paraId="42A136BD" w14:textId="77777777" w:rsidR="00BB68E1" w:rsidRDefault="00BB68E1">
            <w:pPr>
              <w:rPr>
                <w:rFonts w:ascii="Times New Roman" w:hAnsi="Times New Roman"/>
                <w:sz w:val="20"/>
                <w:szCs w:val="20"/>
              </w:rPr>
            </w:pPr>
          </w:p>
        </w:tc>
      </w:tr>
      <w:tr w:rsidR="00BB68E1" w14:paraId="42A136C9" w14:textId="77777777">
        <w:tc>
          <w:tcPr>
            <w:tcW w:w="3200" w:type="pct"/>
            <w:shd w:val="clear" w:color="auto" w:fill="auto"/>
            <w:vAlign w:val="center"/>
          </w:tcPr>
          <w:p w14:paraId="42A136BF" w14:textId="77777777" w:rsidR="00BB68E1" w:rsidRDefault="00BB68E1">
            <w:pPr>
              <w:rPr>
                <w:rFonts w:ascii="Times New Roman" w:hAnsi="Times New Roman"/>
                <w:sz w:val="20"/>
                <w:szCs w:val="20"/>
              </w:rPr>
            </w:pPr>
          </w:p>
        </w:tc>
        <w:tc>
          <w:tcPr>
            <w:tcW w:w="50" w:type="pct"/>
            <w:shd w:val="clear" w:color="auto" w:fill="auto"/>
            <w:vAlign w:val="center"/>
          </w:tcPr>
          <w:p w14:paraId="42A136C0" w14:textId="77777777" w:rsidR="00BB68E1" w:rsidRDefault="00BB68E1">
            <w:pPr>
              <w:rPr>
                <w:rFonts w:ascii="Times New Roman" w:hAnsi="Times New Roman"/>
                <w:sz w:val="20"/>
                <w:szCs w:val="20"/>
              </w:rPr>
            </w:pPr>
          </w:p>
        </w:tc>
        <w:tc>
          <w:tcPr>
            <w:tcW w:w="500" w:type="pct"/>
            <w:shd w:val="clear" w:color="auto" w:fill="auto"/>
            <w:vAlign w:val="center"/>
          </w:tcPr>
          <w:p w14:paraId="42A136C1" w14:textId="77777777" w:rsidR="00BB68E1" w:rsidRDefault="00BB68E1">
            <w:pPr>
              <w:rPr>
                <w:rFonts w:ascii="Times New Roman" w:hAnsi="Times New Roman"/>
                <w:sz w:val="20"/>
                <w:szCs w:val="20"/>
              </w:rPr>
            </w:pPr>
          </w:p>
        </w:tc>
        <w:tc>
          <w:tcPr>
            <w:tcW w:w="50" w:type="pct"/>
            <w:shd w:val="clear" w:color="auto" w:fill="auto"/>
            <w:vAlign w:val="center"/>
          </w:tcPr>
          <w:p w14:paraId="42A136C2" w14:textId="77777777" w:rsidR="00BB68E1" w:rsidRDefault="00BB68E1">
            <w:pPr>
              <w:rPr>
                <w:rFonts w:ascii="Times New Roman" w:hAnsi="Times New Roman"/>
                <w:sz w:val="20"/>
                <w:szCs w:val="20"/>
              </w:rPr>
            </w:pPr>
          </w:p>
        </w:tc>
        <w:tc>
          <w:tcPr>
            <w:tcW w:w="50" w:type="pct"/>
            <w:shd w:val="clear" w:color="auto" w:fill="auto"/>
            <w:vAlign w:val="center"/>
          </w:tcPr>
          <w:p w14:paraId="42A136C3" w14:textId="77777777" w:rsidR="00BB68E1" w:rsidRDefault="00BB68E1">
            <w:pPr>
              <w:rPr>
                <w:rFonts w:ascii="Times New Roman" w:hAnsi="Times New Roman"/>
                <w:sz w:val="20"/>
                <w:szCs w:val="20"/>
              </w:rPr>
            </w:pPr>
          </w:p>
        </w:tc>
        <w:tc>
          <w:tcPr>
            <w:tcW w:w="500" w:type="pct"/>
            <w:shd w:val="clear" w:color="auto" w:fill="auto"/>
            <w:vAlign w:val="center"/>
          </w:tcPr>
          <w:p w14:paraId="42A136C4" w14:textId="77777777" w:rsidR="00BB68E1" w:rsidRDefault="00BB68E1">
            <w:pPr>
              <w:rPr>
                <w:rFonts w:ascii="Times New Roman" w:hAnsi="Times New Roman"/>
                <w:sz w:val="20"/>
                <w:szCs w:val="20"/>
              </w:rPr>
            </w:pPr>
          </w:p>
        </w:tc>
        <w:tc>
          <w:tcPr>
            <w:tcW w:w="50" w:type="pct"/>
            <w:shd w:val="clear" w:color="auto" w:fill="auto"/>
            <w:vAlign w:val="center"/>
          </w:tcPr>
          <w:p w14:paraId="42A136C5" w14:textId="77777777" w:rsidR="00BB68E1" w:rsidRDefault="00BB68E1">
            <w:pPr>
              <w:rPr>
                <w:rFonts w:ascii="Times New Roman" w:hAnsi="Times New Roman"/>
                <w:sz w:val="20"/>
                <w:szCs w:val="20"/>
              </w:rPr>
            </w:pPr>
          </w:p>
        </w:tc>
        <w:tc>
          <w:tcPr>
            <w:tcW w:w="50" w:type="pct"/>
            <w:shd w:val="clear" w:color="auto" w:fill="auto"/>
            <w:vAlign w:val="center"/>
          </w:tcPr>
          <w:p w14:paraId="42A136C6" w14:textId="77777777" w:rsidR="00BB68E1" w:rsidRDefault="00BB68E1">
            <w:pPr>
              <w:rPr>
                <w:rFonts w:ascii="Times New Roman" w:hAnsi="Times New Roman"/>
                <w:sz w:val="20"/>
                <w:szCs w:val="20"/>
              </w:rPr>
            </w:pPr>
          </w:p>
        </w:tc>
        <w:tc>
          <w:tcPr>
            <w:tcW w:w="500" w:type="pct"/>
            <w:shd w:val="clear" w:color="auto" w:fill="auto"/>
            <w:vAlign w:val="center"/>
          </w:tcPr>
          <w:p w14:paraId="42A136C7" w14:textId="77777777" w:rsidR="00BB68E1" w:rsidRDefault="00BB68E1">
            <w:pPr>
              <w:rPr>
                <w:rFonts w:ascii="Times New Roman" w:hAnsi="Times New Roman"/>
                <w:sz w:val="20"/>
                <w:szCs w:val="20"/>
              </w:rPr>
            </w:pPr>
          </w:p>
        </w:tc>
        <w:tc>
          <w:tcPr>
            <w:tcW w:w="50" w:type="pct"/>
            <w:shd w:val="clear" w:color="auto" w:fill="auto"/>
            <w:vAlign w:val="center"/>
          </w:tcPr>
          <w:p w14:paraId="42A136C8" w14:textId="77777777" w:rsidR="00BB68E1" w:rsidRDefault="00BB68E1">
            <w:pPr>
              <w:rPr>
                <w:rFonts w:ascii="Times New Roman" w:hAnsi="Times New Roman"/>
                <w:sz w:val="20"/>
                <w:szCs w:val="20"/>
              </w:rPr>
            </w:pPr>
          </w:p>
        </w:tc>
      </w:tr>
      <w:tr w:rsidR="00BB68E1" w14:paraId="42A136CD" w14:textId="77777777">
        <w:tc>
          <w:tcPr>
            <w:tcW w:w="0" w:type="auto"/>
            <w:shd w:val="clear" w:color="auto" w:fill="auto"/>
            <w:tcMar>
              <w:top w:w="40" w:type="dxa"/>
              <w:left w:w="40" w:type="dxa"/>
              <w:bottom w:w="40" w:type="dxa"/>
              <w:right w:w="40" w:type="dxa"/>
            </w:tcMar>
            <w:vAlign w:val="bottom"/>
          </w:tcPr>
          <w:p w14:paraId="42A136CA"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6C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42A136CC"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36D5" w14:textId="77777777">
        <w:tc>
          <w:tcPr>
            <w:tcW w:w="0" w:type="auto"/>
            <w:shd w:val="clear" w:color="auto" w:fill="auto"/>
            <w:tcMar>
              <w:top w:w="40" w:type="dxa"/>
              <w:left w:w="40" w:type="dxa"/>
              <w:bottom w:w="40" w:type="dxa"/>
              <w:right w:w="40" w:type="dxa"/>
            </w:tcMar>
            <w:vAlign w:val="bottom"/>
          </w:tcPr>
          <w:p w14:paraId="42A136CE"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6C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36D0"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36D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36D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36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2A136D4"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36E0" w14:textId="77777777">
        <w:tc>
          <w:tcPr>
            <w:tcW w:w="0" w:type="auto"/>
            <w:shd w:val="clear" w:color="auto" w:fill="CCEEFF"/>
            <w:tcMar>
              <w:top w:w="40" w:type="dxa"/>
              <w:left w:w="40" w:type="dxa"/>
              <w:bottom w:w="40" w:type="dxa"/>
              <w:right w:w="40" w:type="dxa"/>
            </w:tcMar>
            <w:vAlign w:val="center"/>
          </w:tcPr>
          <w:p w14:paraId="42A136D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U.S. statutory tax rate</w:t>
            </w:r>
          </w:p>
        </w:tc>
        <w:tc>
          <w:tcPr>
            <w:tcW w:w="0" w:type="auto"/>
            <w:shd w:val="clear" w:color="auto" w:fill="CCEEFF"/>
            <w:tcMar>
              <w:top w:w="40" w:type="dxa"/>
              <w:left w:w="40" w:type="dxa"/>
              <w:bottom w:w="40" w:type="dxa"/>
              <w:right w:w="40" w:type="dxa"/>
            </w:tcMar>
            <w:vAlign w:val="bottom"/>
          </w:tcPr>
          <w:p w14:paraId="42A136D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36D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21.0</w:t>
            </w:r>
          </w:p>
        </w:tc>
        <w:tc>
          <w:tcPr>
            <w:tcW w:w="0" w:type="auto"/>
            <w:tcBorders>
              <w:top w:val="single" w:sz="8" w:space="0" w:color="000000"/>
            </w:tcBorders>
            <w:shd w:val="clear" w:color="auto" w:fill="CCEEFF"/>
            <w:tcMar>
              <w:top w:w="40" w:type="dxa"/>
              <w:bottom w:w="40" w:type="dxa"/>
              <w:right w:w="40" w:type="dxa"/>
            </w:tcMar>
            <w:vAlign w:val="center"/>
          </w:tcPr>
          <w:p w14:paraId="42A136D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bottom"/>
          </w:tcPr>
          <w:p w14:paraId="42A136D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36D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21.0</w:t>
            </w:r>
          </w:p>
        </w:tc>
        <w:tc>
          <w:tcPr>
            <w:tcW w:w="0" w:type="auto"/>
            <w:tcBorders>
              <w:top w:val="single" w:sz="8" w:space="0" w:color="000000"/>
            </w:tcBorders>
            <w:shd w:val="clear" w:color="auto" w:fill="CCEEFF"/>
            <w:tcMar>
              <w:top w:w="40" w:type="dxa"/>
              <w:bottom w:w="40" w:type="dxa"/>
              <w:right w:w="40" w:type="dxa"/>
            </w:tcMar>
            <w:vAlign w:val="center"/>
          </w:tcPr>
          <w:p w14:paraId="42A136D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bottom"/>
          </w:tcPr>
          <w:p w14:paraId="42A136D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36D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33.8</w:t>
            </w:r>
          </w:p>
        </w:tc>
        <w:tc>
          <w:tcPr>
            <w:tcW w:w="0" w:type="auto"/>
            <w:tcBorders>
              <w:top w:val="single" w:sz="8" w:space="0" w:color="000000"/>
            </w:tcBorders>
            <w:shd w:val="clear" w:color="auto" w:fill="CCEEFF"/>
            <w:tcMar>
              <w:top w:w="40" w:type="dxa"/>
              <w:bottom w:w="40" w:type="dxa"/>
              <w:right w:w="40" w:type="dxa"/>
            </w:tcMar>
            <w:vAlign w:val="center"/>
          </w:tcPr>
          <w:p w14:paraId="42A136D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r>
      <w:tr w:rsidR="00BB68E1" w14:paraId="42A136EB" w14:textId="77777777">
        <w:tc>
          <w:tcPr>
            <w:tcW w:w="0" w:type="auto"/>
            <w:shd w:val="clear" w:color="auto" w:fill="auto"/>
            <w:tcMar>
              <w:top w:w="40" w:type="dxa"/>
              <w:left w:w="40" w:type="dxa"/>
              <w:bottom w:w="40" w:type="dxa"/>
              <w:right w:w="40" w:type="dxa"/>
            </w:tcMar>
            <w:vAlign w:val="center"/>
          </w:tcPr>
          <w:p w14:paraId="42A136E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U.S. state income taxes, net of federal income tax </w:t>
            </w:r>
            <w:r>
              <w:rPr>
                <w:rFonts w:ascii="Times New Roman" w:eastAsia="宋体" w:hAnsi="Times New Roman"/>
                <w:sz w:val="16"/>
                <w:szCs w:val="16"/>
              </w:rPr>
              <w:t>benefit</w:t>
            </w:r>
          </w:p>
        </w:tc>
        <w:tc>
          <w:tcPr>
            <w:tcW w:w="0" w:type="auto"/>
            <w:shd w:val="clear" w:color="auto" w:fill="auto"/>
            <w:tcMar>
              <w:top w:w="40" w:type="dxa"/>
              <w:left w:w="40" w:type="dxa"/>
              <w:bottom w:w="40" w:type="dxa"/>
              <w:right w:w="40" w:type="dxa"/>
            </w:tcMar>
            <w:vAlign w:val="bottom"/>
          </w:tcPr>
          <w:p w14:paraId="42A136E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6E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w:t>
            </w:r>
          </w:p>
        </w:tc>
        <w:tc>
          <w:tcPr>
            <w:tcW w:w="0" w:type="auto"/>
            <w:shd w:val="clear" w:color="auto" w:fill="auto"/>
            <w:tcMar>
              <w:top w:w="40" w:type="dxa"/>
              <w:bottom w:w="40" w:type="dxa"/>
              <w:right w:w="40" w:type="dxa"/>
            </w:tcMar>
            <w:vAlign w:val="center"/>
          </w:tcPr>
          <w:p w14:paraId="42A136E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6E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6E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w:t>
            </w:r>
          </w:p>
        </w:tc>
        <w:tc>
          <w:tcPr>
            <w:tcW w:w="0" w:type="auto"/>
            <w:shd w:val="clear" w:color="auto" w:fill="auto"/>
            <w:tcMar>
              <w:top w:w="40" w:type="dxa"/>
              <w:bottom w:w="40" w:type="dxa"/>
              <w:right w:w="40" w:type="dxa"/>
            </w:tcMar>
            <w:vAlign w:val="center"/>
          </w:tcPr>
          <w:p w14:paraId="42A136E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6E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6E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w:t>
            </w:r>
          </w:p>
        </w:tc>
        <w:tc>
          <w:tcPr>
            <w:tcW w:w="0" w:type="auto"/>
            <w:shd w:val="clear" w:color="auto" w:fill="auto"/>
            <w:tcMar>
              <w:top w:w="40" w:type="dxa"/>
              <w:bottom w:w="40" w:type="dxa"/>
              <w:right w:w="40" w:type="dxa"/>
            </w:tcMar>
            <w:vAlign w:val="center"/>
          </w:tcPr>
          <w:p w14:paraId="42A136E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r>
      <w:tr w:rsidR="00BB68E1" w14:paraId="42A136F4" w14:textId="77777777">
        <w:tc>
          <w:tcPr>
            <w:tcW w:w="0" w:type="auto"/>
            <w:shd w:val="clear" w:color="auto" w:fill="CCEEFF"/>
            <w:tcMar>
              <w:top w:w="40" w:type="dxa"/>
              <w:left w:w="40" w:type="dxa"/>
              <w:bottom w:w="40" w:type="dxa"/>
              <w:right w:w="40" w:type="dxa"/>
            </w:tcMar>
            <w:vAlign w:val="center"/>
          </w:tcPr>
          <w:p w14:paraId="42A136E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Impact of the Tax Act:</w:t>
            </w:r>
          </w:p>
        </w:tc>
        <w:tc>
          <w:tcPr>
            <w:tcW w:w="0" w:type="auto"/>
            <w:shd w:val="clear" w:color="auto" w:fill="CCEEFF"/>
            <w:tcMar>
              <w:top w:w="40" w:type="dxa"/>
              <w:left w:w="40" w:type="dxa"/>
              <w:bottom w:w="40" w:type="dxa"/>
              <w:right w:w="40" w:type="dxa"/>
            </w:tcMar>
            <w:vAlign w:val="bottom"/>
          </w:tcPr>
          <w:p w14:paraId="42A136E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center"/>
          </w:tcPr>
          <w:p w14:paraId="42A136EE" w14:textId="77777777" w:rsidR="00BB68E1" w:rsidRDefault="00BB68E1">
            <w:pPr>
              <w:textAlignment w:val="center"/>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42A136E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center"/>
          </w:tcPr>
          <w:p w14:paraId="42A136F0" w14:textId="77777777" w:rsidR="00BB68E1" w:rsidRDefault="00BB68E1">
            <w:pPr>
              <w:textAlignment w:val="center"/>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42A136F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6F2"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6F3" w14:textId="77777777" w:rsidR="00BB68E1" w:rsidRDefault="00BB68E1">
            <w:pPr>
              <w:textAlignment w:val="bottom"/>
              <w:rPr>
                <w:rFonts w:ascii="Times New Roman" w:hAnsi="Times New Roman"/>
                <w:sz w:val="20"/>
                <w:szCs w:val="20"/>
              </w:rPr>
            </w:pPr>
          </w:p>
        </w:tc>
      </w:tr>
      <w:tr w:rsidR="00BB68E1" w14:paraId="42A136FF" w14:textId="77777777">
        <w:tc>
          <w:tcPr>
            <w:tcW w:w="0" w:type="auto"/>
            <w:shd w:val="clear" w:color="auto" w:fill="auto"/>
            <w:tcMar>
              <w:top w:w="40" w:type="dxa"/>
              <w:left w:w="400" w:type="dxa"/>
              <w:bottom w:w="40" w:type="dxa"/>
              <w:right w:w="40" w:type="dxa"/>
            </w:tcMar>
            <w:vAlign w:val="center"/>
          </w:tcPr>
          <w:p w14:paraId="42A136F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One-time transition tax</w:t>
            </w:r>
          </w:p>
        </w:tc>
        <w:tc>
          <w:tcPr>
            <w:tcW w:w="0" w:type="auto"/>
            <w:shd w:val="clear" w:color="auto" w:fill="auto"/>
            <w:tcMar>
              <w:top w:w="40" w:type="dxa"/>
              <w:left w:w="40" w:type="dxa"/>
              <w:bottom w:w="40" w:type="dxa"/>
              <w:right w:w="40" w:type="dxa"/>
            </w:tcMar>
            <w:vAlign w:val="bottom"/>
          </w:tcPr>
          <w:p w14:paraId="42A136F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6F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right w:w="40" w:type="dxa"/>
            </w:tcMar>
            <w:vAlign w:val="center"/>
          </w:tcPr>
          <w:p w14:paraId="42A136F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6F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6F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3.6</w:t>
            </w:r>
          </w:p>
        </w:tc>
        <w:tc>
          <w:tcPr>
            <w:tcW w:w="0" w:type="auto"/>
            <w:shd w:val="clear" w:color="auto" w:fill="auto"/>
            <w:tcMar>
              <w:top w:w="40" w:type="dxa"/>
              <w:bottom w:w="40" w:type="dxa"/>
              <w:right w:w="40" w:type="dxa"/>
            </w:tcMar>
            <w:vAlign w:val="center"/>
          </w:tcPr>
          <w:p w14:paraId="42A136F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6F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6F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12.3</w:t>
            </w:r>
          </w:p>
        </w:tc>
        <w:tc>
          <w:tcPr>
            <w:tcW w:w="0" w:type="auto"/>
            <w:shd w:val="clear" w:color="auto" w:fill="auto"/>
            <w:tcMar>
              <w:top w:w="40" w:type="dxa"/>
              <w:bottom w:w="40" w:type="dxa"/>
              <w:right w:w="40" w:type="dxa"/>
            </w:tcMar>
            <w:vAlign w:val="center"/>
          </w:tcPr>
          <w:p w14:paraId="42A136F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r>
      <w:tr w:rsidR="00BB68E1" w14:paraId="42A1370A" w14:textId="77777777">
        <w:tc>
          <w:tcPr>
            <w:tcW w:w="0" w:type="auto"/>
            <w:shd w:val="clear" w:color="auto" w:fill="CCEEFF"/>
            <w:tcMar>
              <w:top w:w="40" w:type="dxa"/>
              <w:left w:w="400" w:type="dxa"/>
              <w:bottom w:w="40" w:type="dxa"/>
              <w:right w:w="40" w:type="dxa"/>
            </w:tcMar>
            <w:vAlign w:val="center"/>
          </w:tcPr>
          <w:p w14:paraId="42A1370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Deferred tax effects</w:t>
            </w:r>
          </w:p>
        </w:tc>
        <w:tc>
          <w:tcPr>
            <w:tcW w:w="0" w:type="auto"/>
            <w:shd w:val="clear" w:color="auto" w:fill="CCEEFF"/>
            <w:tcMar>
              <w:top w:w="40" w:type="dxa"/>
              <w:left w:w="40" w:type="dxa"/>
              <w:bottom w:w="40" w:type="dxa"/>
              <w:right w:w="40" w:type="dxa"/>
            </w:tcMar>
            <w:vAlign w:val="bottom"/>
          </w:tcPr>
          <w:p w14:paraId="42A1370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70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right w:w="40" w:type="dxa"/>
            </w:tcMar>
            <w:vAlign w:val="center"/>
          </w:tcPr>
          <w:p w14:paraId="42A1370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bottom"/>
          </w:tcPr>
          <w:p w14:paraId="42A1370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70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(0.7</w:t>
            </w:r>
          </w:p>
        </w:tc>
        <w:tc>
          <w:tcPr>
            <w:tcW w:w="0" w:type="auto"/>
            <w:shd w:val="clear" w:color="auto" w:fill="CCEEFF"/>
            <w:tcMar>
              <w:top w:w="40" w:type="dxa"/>
              <w:bottom w:w="40" w:type="dxa"/>
              <w:right w:w="40" w:type="dxa"/>
            </w:tcMar>
            <w:vAlign w:val="center"/>
          </w:tcPr>
          <w:p w14:paraId="42A1370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70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70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(14.1</w:t>
            </w:r>
          </w:p>
        </w:tc>
        <w:tc>
          <w:tcPr>
            <w:tcW w:w="0" w:type="auto"/>
            <w:shd w:val="clear" w:color="auto" w:fill="CCEEFF"/>
            <w:tcMar>
              <w:top w:w="40" w:type="dxa"/>
              <w:bottom w:w="40" w:type="dxa"/>
              <w:right w:w="40" w:type="dxa"/>
            </w:tcMar>
            <w:vAlign w:val="center"/>
          </w:tcPr>
          <w:p w14:paraId="42A1370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715" w14:textId="77777777">
        <w:tc>
          <w:tcPr>
            <w:tcW w:w="0" w:type="auto"/>
            <w:shd w:val="clear" w:color="auto" w:fill="auto"/>
            <w:tcMar>
              <w:top w:w="40" w:type="dxa"/>
              <w:left w:w="40" w:type="dxa"/>
              <w:bottom w:w="40" w:type="dxa"/>
              <w:right w:w="40" w:type="dxa"/>
            </w:tcMar>
            <w:vAlign w:val="center"/>
          </w:tcPr>
          <w:p w14:paraId="42A1370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Income taxed outside the U.S.</w:t>
            </w:r>
          </w:p>
        </w:tc>
        <w:tc>
          <w:tcPr>
            <w:tcW w:w="0" w:type="auto"/>
            <w:shd w:val="clear" w:color="auto" w:fill="auto"/>
            <w:tcMar>
              <w:top w:w="40" w:type="dxa"/>
              <w:left w:w="40" w:type="dxa"/>
              <w:bottom w:w="40" w:type="dxa"/>
              <w:right w:w="40" w:type="dxa"/>
            </w:tcMar>
            <w:vAlign w:val="bottom"/>
          </w:tcPr>
          <w:p w14:paraId="42A1370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70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w:t>
            </w:r>
          </w:p>
        </w:tc>
        <w:tc>
          <w:tcPr>
            <w:tcW w:w="0" w:type="auto"/>
            <w:shd w:val="clear" w:color="auto" w:fill="auto"/>
            <w:tcMar>
              <w:top w:w="40" w:type="dxa"/>
              <w:bottom w:w="40" w:type="dxa"/>
              <w:right w:w="40" w:type="dxa"/>
            </w:tcMar>
            <w:vAlign w:val="center"/>
          </w:tcPr>
          <w:p w14:paraId="42A1370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370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71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(3.4</w:t>
            </w:r>
          </w:p>
        </w:tc>
        <w:tc>
          <w:tcPr>
            <w:tcW w:w="0" w:type="auto"/>
            <w:shd w:val="clear" w:color="auto" w:fill="auto"/>
            <w:tcMar>
              <w:top w:w="40" w:type="dxa"/>
              <w:bottom w:w="40" w:type="dxa"/>
              <w:right w:w="40" w:type="dxa"/>
            </w:tcMar>
            <w:vAlign w:val="center"/>
          </w:tcPr>
          <w:p w14:paraId="42A1371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37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71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(6.3</w:t>
            </w:r>
          </w:p>
        </w:tc>
        <w:tc>
          <w:tcPr>
            <w:tcW w:w="0" w:type="auto"/>
            <w:shd w:val="clear" w:color="auto" w:fill="auto"/>
            <w:tcMar>
              <w:top w:w="40" w:type="dxa"/>
              <w:bottom w:w="40" w:type="dxa"/>
              <w:right w:w="40" w:type="dxa"/>
            </w:tcMar>
            <w:vAlign w:val="center"/>
          </w:tcPr>
          <w:p w14:paraId="42A1371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720" w14:textId="77777777">
        <w:tc>
          <w:tcPr>
            <w:tcW w:w="0" w:type="auto"/>
            <w:shd w:val="clear" w:color="auto" w:fill="CCEEFF"/>
            <w:tcMar>
              <w:top w:w="40" w:type="dxa"/>
              <w:left w:w="40" w:type="dxa"/>
              <w:bottom w:w="40" w:type="dxa"/>
              <w:right w:w="40" w:type="dxa"/>
            </w:tcMar>
            <w:vAlign w:val="center"/>
          </w:tcPr>
          <w:p w14:paraId="42A1371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Disposition of </w:t>
            </w:r>
            <w:r>
              <w:rPr>
                <w:rFonts w:ascii="Times New Roman" w:eastAsia="宋体" w:hAnsi="Times New Roman"/>
                <w:sz w:val="16"/>
                <w:szCs w:val="16"/>
              </w:rPr>
              <w:t>Walmart Brazil</w:t>
            </w:r>
          </w:p>
        </w:tc>
        <w:tc>
          <w:tcPr>
            <w:tcW w:w="0" w:type="auto"/>
            <w:shd w:val="clear" w:color="auto" w:fill="CCEEFF"/>
            <w:tcMar>
              <w:top w:w="40" w:type="dxa"/>
              <w:left w:w="40" w:type="dxa"/>
              <w:bottom w:w="40" w:type="dxa"/>
              <w:right w:w="40" w:type="dxa"/>
            </w:tcMar>
            <w:vAlign w:val="bottom"/>
          </w:tcPr>
          <w:p w14:paraId="42A1371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71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right w:w="40" w:type="dxa"/>
            </w:tcMar>
            <w:vAlign w:val="center"/>
          </w:tcPr>
          <w:p w14:paraId="42A1371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bottom"/>
          </w:tcPr>
          <w:p w14:paraId="42A1371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71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6.7</w:t>
            </w:r>
          </w:p>
        </w:tc>
        <w:tc>
          <w:tcPr>
            <w:tcW w:w="0" w:type="auto"/>
            <w:shd w:val="clear" w:color="auto" w:fill="CCEEFF"/>
            <w:tcMar>
              <w:top w:w="40" w:type="dxa"/>
              <w:bottom w:w="40" w:type="dxa"/>
              <w:right w:w="40" w:type="dxa"/>
            </w:tcMar>
            <w:vAlign w:val="center"/>
          </w:tcPr>
          <w:p w14:paraId="42A1371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bottom"/>
          </w:tcPr>
          <w:p w14:paraId="42A1371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71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right w:w="40" w:type="dxa"/>
            </w:tcMar>
            <w:vAlign w:val="center"/>
          </w:tcPr>
          <w:p w14:paraId="42A1371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r>
      <w:tr w:rsidR="00BB68E1" w14:paraId="42A1372B" w14:textId="77777777">
        <w:tc>
          <w:tcPr>
            <w:tcW w:w="0" w:type="auto"/>
            <w:shd w:val="clear" w:color="auto" w:fill="auto"/>
            <w:tcMar>
              <w:top w:w="40" w:type="dxa"/>
              <w:left w:w="40" w:type="dxa"/>
              <w:bottom w:w="40" w:type="dxa"/>
              <w:right w:w="40" w:type="dxa"/>
            </w:tcMar>
            <w:vAlign w:val="center"/>
          </w:tcPr>
          <w:p w14:paraId="42A1372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Valuation allowance</w:t>
            </w:r>
          </w:p>
        </w:tc>
        <w:tc>
          <w:tcPr>
            <w:tcW w:w="0" w:type="auto"/>
            <w:shd w:val="clear" w:color="auto" w:fill="auto"/>
            <w:tcMar>
              <w:top w:w="40" w:type="dxa"/>
              <w:left w:w="40" w:type="dxa"/>
              <w:bottom w:w="40" w:type="dxa"/>
              <w:right w:w="40" w:type="dxa"/>
            </w:tcMar>
            <w:vAlign w:val="bottom"/>
          </w:tcPr>
          <w:p w14:paraId="42A1372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72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w:t>
            </w:r>
          </w:p>
        </w:tc>
        <w:tc>
          <w:tcPr>
            <w:tcW w:w="0" w:type="auto"/>
            <w:shd w:val="clear" w:color="auto" w:fill="auto"/>
            <w:tcMar>
              <w:top w:w="40" w:type="dxa"/>
              <w:bottom w:w="40" w:type="dxa"/>
              <w:right w:w="40" w:type="dxa"/>
            </w:tcMar>
            <w:vAlign w:val="center"/>
          </w:tcPr>
          <w:p w14:paraId="42A1372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72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72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6.3</w:t>
            </w:r>
          </w:p>
        </w:tc>
        <w:tc>
          <w:tcPr>
            <w:tcW w:w="0" w:type="auto"/>
            <w:shd w:val="clear" w:color="auto" w:fill="auto"/>
            <w:tcMar>
              <w:top w:w="40" w:type="dxa"/>
              <w:bottom w:w="40" w:type="dxa"/>
              <w:right w:w="40" w:type="dxa"/>
            </w:tcMar>
            <w:vAlign w:val="center"/>
          </w:tcPr>
          <w:p w14:paraId="42A1372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72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72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w:t>
            </w:r>
          </w:p>
        </w:tc>
        <w:tc>
          <w:tcPr>
            <w:tcW w:w="0" w:type="auto"/>
            <w:shd w:val="clear" w:color="auto" w:fill="auto"/>
            <w:tcMar>
              <w:top w:w="40" w:type="dxa"/>
              <w:bottom w:w="40" w:type="dxa"/>
              <w:right w:w="40" w:type="dxa"/>
            </w:tcMar>
            <w:vAlign w:val="center"/>
          </w:tcPr>
          <w:p w14:paraId="42A1372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r>
      <w:tr w:rsidR="00BB68E1" w14:paraId="42A13736" w14:textId="77777777">
        <w:tc>
          <w:tcPr>
            <w:tcW w:w="0" w:type="auto"/>
            <w:shd w:val="clear" w:color="auto" w:fill="CCEEFF"/>
            <w:tcMar>
              <w:top w:w="40" w:type="dxa"/>
              <w:left w:w="40" w:type="dxa"/>
              <w:bottom w:w="40" w:type="dxa"/>
              <w:right w:w="40" w:type="dxa"/>
            </w:tcMar>
            <w:vAlign w:val="center"/>
          </w:tcPr>
          <w:p w14:paraId="42A1372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impact of repatriated international earnings</w:t>
            </w:r>
          </w:p>
        </w:tc>
        <w:tc>
          <w:tcPr>
            <w:tcW w:w="0" w:type="auto"/>
            <w:shd w:val="clear" w:color="auto" w:fill="CCEEFF"/>
            <w:tcMar>
              <w:top w:w="40" w:type="dxa"/>
              <w:left w:w="40" w:type="dxa"/>
              <w:bottom w:w="40" w:type="dxa"/>
              <w:right w:w="40" w:type="dxa"/>
            </w:tcMar>
            <w:vAlign w:val="bottom"/>
          </w:tcPr>
          <w:p w14:paraId="42A1372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72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0.4</w:t>
            </w:r>
          </w:p>
        </w:tc>
        <w:tc>
          <w:tcPr>
            <w:tcW w:w="0" w:type="auto"/>
            <w:shd w:val="clear" w:color="auto" w:fill="CCEEFF"/>
            <w:tcMar>
              <w:top w:w="40" w:type="dxa"/>
              <w:bottom w:w="40" w:type="dxa"/>
              <w:right w:w="40" w:type="dxa"/>
            </w:tcMar>
            <w:vAlign w:val="center"/>
          </w:tcPr>
          <w:p w14:paraId="42A1372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bottom"/>
          </w:tcPr>
          <w:p w14:paraId="42A1373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73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0.8</w:t>
            </w:r>
          </w:p>
        </w:tc>
        <w:tc>
          <w:tcPr>
            <w:tcW w:w="0" w:type="auto"/>
            <w:shd w:val="clear" w:color="auto" w:fill="CCEEFF"/>
            <w:tcMar>
              <w:top w:w="40" w:type="dxa"/>
              <w:bottom w:w="40" w:type="dxa"/>
              <w:right w:w="40" w:type="dxa"/>
            </w:tcMar>
            <w:vAlign w:val="center"/>
          </w:tcPr>
          <w:p w14:paraId="42A1373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bottom"/>
          </w:tcPr>
          <w:p w14:paraId="42A1373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73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(0.1</w:t>
            </w:r>
          </w:p>
        </w:tc>
        <w:tc>
          <w:tcPr>
            <w:tcW w:w="0" w:type="auto"/>
            <w:shd w:val="clear" w:color="auto" w:fill="CCEEFF"/>
            <w:tcMar>
              <w:top w:w="40" w:type="dxa"/>
              <w:bottom w:w="40" w:type="dxa"/>
              <w:right w:w="40" w:type="dxa"/>
            </w:tcMar>
            <w:vAlign w:val="center"/>
          </w:tcPr>
          <w:p w14:paraId="42A1373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741" w14:textId="77777777">
        <w:tc>
          <w:tcPr>
            <w:tcW w:w="0" w:type="auto"/>
            <w:shd w:val="clear" w:color="auto" w:fill="auto"/>
            <w:tcMar>
              <w:top w:w="40" w:type="dxa"/>
              <w:left w:w="40" w:type="dxa"/>
              <w:bottom w:w="40" w:type="dxa"/>
              <w:right w:w="40" w:type="dxa"/>
            </w:tcMar>
            <w:vAlign w:val="center"/>
          </w:tcPr>
          <w:p w14:paraId="42A1373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Federal tax credits</w:t>
            </w:r>
          </w:p>
        </w:tc>
        <w:tc>
          <w:tcPr>
            <w:tcW w:w="0" w:type="auto"/>
            <w:shd w:val="clear" w:color="auto" w:fill="auto"/>
            <w:tcMar>
              <w:top w:w="40" w:type="dxa"/>
              <w:left w:w="40" w:type="dxa"/>
              <w:bottom w:w="40" w:type="dxa"/>
              <w:right w:w="40" w:type="dxa"/>
            </w:tcMar>
            <w:vAlign w:val="bottom"/>
          </w:tcPr>
          <w:p w14:paraId="42A1373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73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(0.8</w:t>
            </w:r>
          </w:p>
        </w:tc>
        <w:tc>
          <w:tcPr>
            <w:tcW w:w="0" w:type="auto"/>
            <w:shd w:val="clear" w:color="auto" w:fill="auto"/>
            <w:tcMar>
              <w:top w:w="40" w:type="dxa"/>
              <w:bottom w:w="40" w:type="dxa"/>
              <w:right w:w="40" w:type="dxa"/>
            </w:tcMar>
            <w:vAlign w:val="center"/>
          </w:tcPr>
          <w:p w14:paraId="42A1373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37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73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w:t>
            </w:r>
          </w:p>
        </w:tc>
        <w:tc>
          <w:tcPr>
            <w:tcW w:w="0" w:type="auto"/>
            <w:shd w:val="clear" w:color="auto" w:fill="auto"/>
            <w:tcMar>
              <w:top w:w="40" w:type="dxa"/>
              <w:bottom w:w="40" w:type="dxa"/>
              <w:right w:w="40" w:type="dxa"/>
            </w:tcMar>
            <w:vAlign w:val="center"/>
          </w:tcPr>
          <w:p w14:paraId="42A1373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373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73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(0.9</w:t>
            </w:r>
          </w:p>
        </w:tc>
        <w:tc>
          <w:tcPr>
            <w:tcW w:w="0" w:type="auto"/>
            <w:shd w:val="clear" w:color="auto" w:fill="auto"/>
            <w:tcMar>
              <w:top w:w="40" w:type="dxa"/>
              <w:bottom w:w="40" w:type="dxa"/>
              <w:right w:w="40" w:type="dxa"/>
            </w:tcMar>
            <w:vAlign w:val="center"/>
          </w:tcPr>
          <w:p w14:paraId="42A1374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74C" w14:textId="77777777">
        <w:tc>
          <w:tcPr>
            <w:tcW w:w="0" w:type="auto"/>
            <w:shd w:val="clear" w:color="auto" w:fill="CCEEFF"/>
            <w:tcMar>
              <w:top w:w="40" w:type="dxa"/>
              <w:left w:w="40" w:type="dxa"/>
              <w:bottom w:w="40" w:type="dxa"/>
              <w:right w:w="40" w:type="dxa"/>
            </w:tcMar>
            <w:vAlign w:val="center"/>
          </w:tcPr>
          <w:p w14:paraId="42A1374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Enacted change in tax laws</w:t>
            </w:r>
          </w:p>
        </w:tc>
        <w:tc>
          <w:tcPr>
            <w:tcW w:w="0" w:type="auto"/>
            <w:shd w:val="clear" w:color="auto" w:fill="CCEEFF"/>
            <w:tcMar>
              <w:top w:w="40" w:type="dxa"/>
              <w:left w:w="40" w:type="dxa"/>
              <w:bottom w:w="40" w:type="dxa"/>
              <w:right w:w="40" w:type="dxa"/>
            </w:tcMar>
            <w:vAlign w:val="bottom"/>
          </w:tcPr>
          <w:p w14:paraId="42A1374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74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w:t>
            </w:r>
          </w:p>
        </w:tc>
        <w:tc>
          <w:tcPr>
            <w:tcW w:w="0" w:type="auto"/>
            <w:shd w:val="clear" w:color="auto" w:fill="CCEEFF"/>
            <w:tcMar>
              <w:top w:w="40" w:type="dxa"/>
              <w:bottom w:w="40" w:type="dxa"/>
              <w:right w:w="40" w:type="dxa"/>
            </w:tcMar>
            <w:vAlign w:val="center"/>
          </w:tcPr>
          <w:p w14:paraId="42A1374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74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74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right w:w="40" w:type="dxa"/>
            </w:tcMar>
            <w:vAlign w:val="center"/>
          </w:tcPr>
          <w:p w14:paraId="42A1374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bottom"/>
          </w:tcPr>
          <w:p w14:paraId="42A1374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74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right w:w="40" w:type="dxa"/>
            </w:tcMar>
            <w:vAlign w:val="center"/>
          </w:tcPr>
          <w:p w14:paraId="42A1374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r>
      <w:tr w:rsidR="00BB68E1" w14:paraId="42A13757" w14:textId="77777777">
        <w:tc>
          <w:tcPr>
            <w:tcW w:w="0" w:type="auto"/>
            <w:shd w:val="clear" w:color="auto" w:fill="auto"/>
            <w:tcMar>
              <w:top w:w="40" w:type="dxa"/>
              <w:left w:w="40" w:type="dxa"/>
              <w:bottom w:w="40" w:type="dxa"/>
              <w:right w:w="40" w:type="dxa"/>
            </w:tcMar>
            <w:vAlign w:val="center"/>
          </w:tcPr>
          <w:p w14:paraId="42A1374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Change in reserve for tax contingencies</w:t>
            </w:r>
          </w:p>
        </w:tc>
        <w:tc>
          <w:tcPr>
            <w:tcW w:w="0" w:type="auto"/>
            <w:shd w:val="clear" w:color="auto" w:fill="auto"/>
            <w:tcMar>
              <w:top w:w="40" w:type="dxa"/>
              <w:left w:w="40" w:type="dxa"/>
              <w:bottom w:w="40" w:type="dxa"/>
              <w:right w:w="40" w:type="dxa"/>
            </w:tcMar>
            <w:vAlign w:val="bottom"/>
          </w:tcPr>
          <w:p w14:paraId="42A1374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74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w:t>
            </w:r>
          </w:p>
        </w:tc>
        <w:tc>
          <w:tcPr>
            <w:tcW w:w="0" w:type="auto"/>
            <w:shd w:val="clear" w:color="auto" w:fill="auto"/>
            <w:tcMar>
              <w:top w:w="40" w:type="dxa"/>
              <w:bottom w:w="40" w:type="dxa"/>
              <w:right w:w="40" w:type="dxa"/>
            </w:tcMar>
            <w:vAlign w:val="center"/>
          </w:tcPr>
          <w:p w14:paraId="42A1375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75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75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0.6</w:t>
            </w:r>
          </w:p>
        </w:tc>
        <w:tc>
          <w:tcPr>
            <w:tcW w:w="0" w:type="auto"/>
            <w:shd w:val="clear" w:color="auto" w:fill="auto"/>
            <w:tcMar>
              <w:top w:w="40" w:type="dxa"/>
              <w:bottom w:w="40" w:type="dxa"/>
              <w:right w:w="40" w:type="dxa"/>
            </w:tcMar>
            <w:vAlign w:val="center"/>
          </w:tcPr>
          <w:p w14:paraId="42A1375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7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75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(0.1</w:t>
            </w:r>
          </w:p>
        </w:tc>
        <w:tc>
          <w:tcPr>
            <w:tcW w:w="0" w:type="auto"/>
            <w:shd w:val="clear" w:color="auto" w:fill="auto"/>
            <w:tcMar>
              <w:top w:w="40" w:type="dxa"/>
              <w:bottom w:w="40" w:type="dxa"/>
              <w:right w:w="40" w:type="dxa"/>
            </w:tcMar>
            <w:vAlign w:val="center"/>
          </w:tcPr>
          <w:p w14:paraId="42A1375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762" w14:textId="77777777">
        <w:tc>
          <w:tcPr>
            <w:tcW w:w="0" w:type="auto"/>
            <w:shd w:val="clear" w:color="auto" w:fill="CCEEFF"/>
            <w:tcMar>
              <w:top w:w="40" w:type="dxa"/>
              <w:left w:w="40" w:type="dxa"/>
              <w:bottom w:w="40" w:type="dxa"/>
              <w:right w:w="40" w:type="dxa"/>
            </w:tcMar>
            <w:vAlign w:val="center"/>
          </w:tcPr>
          <w:p w14:paraId="42A1375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 net</w:t>
            </w:r>
          </w:p>
        </w:tc>
        <w:tc>
          <w:tcPr>
            <w:tcW w:w="0" w:type="auto"/>
            <w:shd w:val="clear" w:color="auto" w:fill="CCEEFF"/>
            <w:tcMar>
              <w:top w:w="40" w:type="dxa"/>
              <w:left w:w="40" w:type="dxa"/>
              <w:bottom w:w="40" w:type="dxa"/>
              <w:right w:w="40" w:type="dxa"/>
            </w:tcMar>
            <w:vAlign w:val="bottom"/>
          </w:tcPr>
          <w:p w14:paraId="42A1375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75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(0.3</w:t>
            </w:r>
          </w:p>
        </w:tc>
        <w:tc>
          <w:tcPr>
            <w:tcW w:w="0" w:type="auto"/>
            <w:shd w:val="clear" w:color="auto" w:fill="CCEEFF"/>
            <w:tcMar>
              <w:top w:w="40" w:type="dxa"/>
              <w:bottom w:w="40" w:type="dxa"/>
              <w:right w:w="40" w:type="dxa"/>
            </w:tcMar>
            <w:vAlign w:val="center"/>
          </w:tcPr>
          <w:p w14:paraId="42A1375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75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75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0.8</w:t>
            </w:r>
          </w:p>
        </w:tc>
        <w:tc>
          <w:tcPr>
            <w:tcW w:w="0" w:type="auto"/>
            <w:shd w:val="clear" w:color="auto" w:fill="CCEEFF"/>
            <w:tcMar>
              <w:top w:w="40" w:type="dxa"/>
              <w:bottom w:w="40" w:type="dxa"/>
              <w:right w:w="40" w:type="dxa"/>
            </w:tcMar>
            <w:vAlign w:val="center"/>
          </w:tcPr>
          <w:p w14:paraId="42A1375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bottom"/>
          </w:tcPr>
          <w:p w14:paraId="42A1375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center"/>
          </w:tcPr>
          <w:p w14:paraId="42A1376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w:t>
            </w:r>
          </w:p>
        </w:tc>
        <w:tc>
          <w:tcPr>
            <w:tcW w:w="0" w:type="auto"/>
            <w:tcBorders>
              <w:bottom w:val="single" w:sz="8" w:space="0" w:color="000000"/>
            </w:tcBorders>
            <w:shd w:val="clear" w:color="auto" w:fill="CCEEFF"/>
            <w:tcMar>
              <w:top w:w="40" w:type="dxa"/>
              <w:bottom w:w="40" w:type="dxa"/>
              <w:right w:w="40" w:type="dxa"/>
            </w:tcMar>
            <w:vAlign w:val="center"/>
          </w:tcPr>
          <w:p w14:paraId="42A1376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r>
      <w:tr w:rsidR="00BB68E1" w14:paraId="42A1376D" w14:textId="77777777">
        <w:tc>
          <w:tcPr>
            <w:tcW w:w="0" w:type="auto"/>
            <w:shd w:val="clear" w:color="auto" w:fill="auto"/>
            <w:tcMar>
              <w:top w:w="40" w:type="dxa"/>
              <w:left w:w="40" w:type="dxa"/>
              <w:bottom w:w="40" w:type="dxa"/>
              <w:right w:w="40" w:type="dxa"/>
            </w:tcMar>
            <w:vAlign w:val="center"/>
          </w:tcPr>
          <w:p w14:paraId="42A13763"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Effective income tax rate</w:t>
            </w:r>
          </w:p>
        </w:tc>
        <w:tc>
          <w:tcPr>
            <w:tcW w:w="0" w:type="auto"/>
            <w:shd w:val="clear" w:color="auto" w:fill="auto"/>
            <w:tcMar>
              <w:top w:w="40" w:type="dxa"/>
              <w:left w:w="40" w:type="dxa"/>
              <w:bottom w:w="40" w:type="dxa"/>
              <w:right w:w="40" w:type="dxa"/>
            </w:tcMar>
            <w:vAlign w:val="bottom"/>
          </w:tcPr>
          <w:p w14:paraId="42A1376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376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24.4</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42A1376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76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376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37.4</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42A1376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76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376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30.4</w:t>
            </w:r>
          </w:p>
        </w:tc>
        <w:tc>
          <w:tcPr>
            <w:tcW w:w="0" w:type="auto"/>
            <w:tcBorders>
              <w:bottom w:val="double" w:sz="6" w:space="0" w:color="000000"/>
            </w:tcBorders>
            <w:shd w:val="clear" w:color="auto" w:fill="auto"/>
            <w:tcMar>
              <w:top w:w="40" w:type="dxa"/>
              <w:bottom w:w="40" w:type="dxa"/>
              <w:right w:w="40" w:type="dxa"/>
            </w:tcMar>
            <w:vAlign w:val="center"/>
          </w:tcPr>
          <w:p w14:paraId="42A1376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r>
    </w:tbl>
    <w:p w14:paraId="42A1376E" w14:textId="77777777" w:rsidR="00BB68E1" w:rsidRDefault="00BB68E1">
      <w:pPr>
        <w:spacing w:line="288" w:lineRule="auto"/>
        <w:rPr>
          <w:rFonts w:ascii="Times New Roman" w:hAnsi="Times New Roman"/>
          <w:sz w:val="20"/>
          <w:szCs w:val="20"/>
        </w:rPr>
      </w:pPr>
    </w:p>
    <w:p w14:paraId="42A1376F"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Deferred Taxes</w:t>
      </w:r>
    </w:p>
    <w:p w14:paraId="42A1377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significant components of the Company's deferred tax </w:t>
      </w:r>
      <w:r>
        <w:rPr>
          <w:rFonts w:ascii="Times New Roman" w:eastAsia="宋体" w:hAnsi="Times New Roman"/>
          <w:sz w:val="20"/>
          <w:szCs w:val="20"/>
        </w:rPr>
        <w:t>account balances are as follows:</w:t>
      </w:r>
    </w:p>
    <w:tbl>
      <w:tblPr>
        <w:tblW w:w="5000" w:type="pct"/>
        <w:tblCellMar>
          <w:left w:w="0" w:type="dxa"/>
          <w:right w:w="0" w:type="dxa"/>
        </w:tblCellMar>
        <w:tblLook w:val="04A0" w:firstRow="1" w:lastRow="0" w:firstColumn="1" w:lastColumn="0" w:noHBand="0" w:noVBand="1"/>
      </w:tblPr>
      <w:tblGrid>
        <w:gridCol w:w="6249"/>
        <w:gridCol w:w="130"/>
        <w:gridCol w:w="120"/>
        <w:gridCol w:w="684"/>
        <w:gridCol w:w="94"/>
        <w:gridCol w:w="130"/>
        <w:gridCol w:w="120"/>
        <w:gridCol w:w="685"/>
        <w:gridCol w:w="94"/>
      </w:tblGrid>
      <w:tr w:rsidR="00BB68E1" w14:paraId="42A13772" w14:textId="77777777">
        <w:tc>
          <w:tcPr>
            <w:tcW w:w="0" w:type="auto"/>
            <w:gridSpan w:val="9"/>
            <w:shd w:val="clear" w:color="auto" w:fill="auto"/>
            <w:vAlign w:val="center"/>
          </w:tcPr>
          <w:p w14:paraId="42A13771" w14:textId="77777777" w:rsidR="00BB68E1" w:rsidRDefault="00BB68E1">
            <w:pPr>
              <w:rPr>
                <w:rFonts w:ascii="Times New Roman" w:hAnsi="Times New Roman"/>
                <w:sz w:val="20"/>
                <w:szCs w:val="20"/>
              </w:rPr>
            </w:pPr>
          </w:p>
        </w:tc>
      </w:tr>
      <w:tr w:rsidR="00BB68E1" w14:paraId="42A1377C" w14:textId="77777777">
        <w:tc>
          <w:tcPr>
            <w:tcW w:w="3800" w:type="pct"/>
            <w:shd w:val="clear" w:color="auto" w:fill="auto"/>
            <w:vAlign w:val="center"/>
          </w:tcPr>
          <w:p w14:paraId="42A13773" w14:textId="77777777" w:rsidR="00BB68E1" w:rsidRDefault="00BB68E1">
            <w:pPr>
              <w:rPr>
                <w:rFonts w:ascii="Times New Roman" w:hAnsi="Times New Roman"/>
                <w:sz w:val="20"/>
                <w:szCs w:val="20"/>
              </w:rPr>
            </w:pPr>
          </w:p>
        </w:tc>
        <w:tc>
          <w:tcPr>
            <w:tcW w:w="50" w:type="pct"/>
            <w:shd w:val="clear" w:color="auto" w:fill="auto"/>
            <w:vAlign w:val="center"/>
          </w:tcPr>
          <w:p w14:paraId="42A13774" w14:textId="77777777" w:rsidR="00BB68E1" w:rsidRDefault="00BB68E1">
            <w:pPr>
              <w:rPr>
                <w:rFonts w:ascii="Times New Roman" w:hAnsi="Times New Roman"/>
                <w:sz w:val="20"/>
                <w:szCs w:val="20"/>
              </w:rPr>
            </w:pPr>
          </w:p>
        </w:tc>
        <w:tc>
          <w:tcPr>
            <w:tcW w:w="50" w:type="pct"/>
            <w:shd w:val="clear" w:color="auto" w:fill="auto"/>
            <w:vAlign w:val="center"/>
          </w:tcPr>
          <w:p w14:paraId="42A13775" w14:textId="77777777" w:rsidR="00BB68E1" w:rsidRDefault="00BB68E1">
            <w:pPr>
              <w:rPr>
                <w:rFonts w:ascii="Times New Roman" w:hAnsi="Times New Roman"/>
                <w:sz w:val="20"/>
                <w:szCs w:val="20"/>
              </w:rPr>
            </w:pPr>
          </w:p>
        </w:tc>
        <w:tc>
          <w:tcPr>
            <w:tcW w:w="450" w:type="pct"/>
            <w:shd w:val="clear" w:color="auto" w:fill="auto"/>
            <w:vAlign w:val="center"/>
          </w:tcPr>
          <w:p w14:paraId="42A13776" w14:textId="77777777" w:rsidR="00BB68E1" w:rsidRDefault="00BB68E1">
            <w:pPr>
              <w:rPr>
                <w:rFonts w:ascii="Times New Roman" w:hAnsi="Times New Roman"/>
                <w:sz w:val="20"/>
                <w:szCs w:val="20"/>
              </w:rPr>
            </w:pPr>
          </w:p>
        </w:tc>
        <w:tc>
          <w:tcPr>
            <w:tcW w:w="50" w:type="pct"/>
            <w:shd w:val="clear" w:color="auto" w:fill="auto"/>
            <w:vAlign w:val="center"/>
          </w:tcPr>
          <w:p w14:paraId="42A13777" w14:textId="77777777" w:rsidR="00BB68E1" w:rsidRDefault="00BB68E1">
            <w:pPr>
              <w:rPr>
                <w:rFonts w:ascii="Times New Roman" w:hAnsi="Times New Roman"/>
                <w:sz w:val="20"/>
                <w:szCs w:val="20"/>
              </w:rPr>
            </w:pPr>
          </w:p>
        </w:tc>
        <w:tc>
          <w:tcPr>
            <w:tcW w:w="50" w:type="pct"/>
            <w:shd w:val="clear" w:color="auto" w:fill="auto"/>
            <w:vAlign w:val="center"/>
          </w:tcPr>
          <w:p w14:paraId="42A13778" w14:textId="77777777" w:rsidR="00BB68E1" w:rsidRDefault="00BB68E1">
            <w:pPr>
              <w:rPr>
                <w:rFonts w:ascii="Times New Roman" w:hAnsi="Times New Roman"/>
                <w:sz w:val="20"/>
                <w:szCs w:val="20"/>
              </w:rPr>
            </w:pPr>
          </w:p>
        </w:tc>
        <w:tc>
          <w:tcPr>
            <w:tcW w:w="50" w:type="pct"/>
            <w:shd w:val="clear" w:color="auto" w:fill="auto"/>
            <w:vAlign w:val="center"/>
          </w:tcPr>
          <w:p w14:paraId="42A13779" w14:textId="77777777" w:rsidR="00BB68E1" w:rsidRDefault="00BB68E1">
            <w:pPr>
              <w:rPr>
                <w:rFonts w:ascii="Times New Roman" w:hAnsi="Times New Roman"/>
                <w:sz w:val="20"/>
                <w:szCs w:val="20"/>
              </w:rPr>
            </w:pPr>
          </w:p>
        </w:tc>
        <w:tc>
          <w:tcPr>
            <w:tcW w:w="450" w:type="pct"/>
            <w:shd w:val="clear" w:color="auto" w:fill="auto"/>
            <w:vAlign w:val="center"/>
          </w:tcPr>
          <w:p w14:paraId="42A1377A" w14:textId="77777777" w:rsidR="00BB68E1" w:rsidRDefault="00BB68E1">
            <w:pPr>
              <w:rPr>
                <w:rFonts w:ascii="Times New Roman" w:hAnsi="Times New Roman"/>
                <w:sz w:val="20"/>
                <w:szCs w:val="20"/>
              </w:rPr>
            </w:pPr>
          </w:p>
        </w:tc>
        <w:tc>
          <w:tcPr>
            <w:tcW w:w="50" w:type="pct"/>
            <w:shd w:val="clear" w:color="auto" w:fill="auto"/>
            <w:vAlign w:val="center"/>
          </w:tcPr>
          <w:p w14:paraId="42A1377B" w14:textId="77777777" w:rsidR="00BB68E1" w:rsidRDefault="00BB68E1">
            <w:pPr>
              <w:rPr>
                <w:rFonts w:ascii="Times New Roman" w:hAnsi="Times New Roman"/>
                <w:sz w:val="20"/>
                <w:szCs w:val="20"/>
              </w:rPr>
            </w:pPr>
          </w:p>
        </w:tc>
      </w:tr>
      <w:tr w:rsidR="00BB68E1" w14:paraId="42A13780" w14:textId="77777777">
        <w:tc>
          <w:tcPr>
            <w:tcW w:w="0" w:type="auto"/>
            <w:shd w:val="clear" w:color="auto" w:fill="auto"/>
            <w:tcMar>
              <w:top w:w="40" w:type="dxa"/>
              <w:left w:w="40" w:type="dxa"/>
              <w:bottom w:w="40" w:type="dxa"/>
              <w:right w:w="40" w:type="dxa"/>
            </w:tcMar>
            <w:vAlign w:val="bottom"/>
          </w:tcPr>
          <w:p w14:paraId="42A1377D"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77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2A1377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January 31,</w:t>
            </w:r>
          </w:p>
        </w:tc>
      </w:tr>
      <w:tr w:rsidR="00BB68E1" w14:paraId="42A13786" w14:textId="77777777">
        <w:tc>
          <w:tcPr>
            <w:tcW w:w="0" w:type="auto"/>
            <w:shd w:val="clear" w:color="auto" w:fill="auto"/>
            <w:tcMar>
              <w:top w:w="40" w:type="dxa"/>
              <w:left w:w="40" w:type="dxa"/>
              <w:bottom w:w="40" w:type="dxa"/>
              <w:right w:w="40" w:type="dxa"/>
            </w:tcMar>
            <w:vAlign w:val="bottom"/>
          </w:tcPr>
          <w:p w14:paraId="42A13781"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378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78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37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785"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BB68E1" w14:paraId="42A1378C" w14:textId="77777777">
        <w:tc>
          <w:tcPr>
            <w:tcW w:w="0" w:type="auto"/>
            <w:shd w:val="clear" w:color="auto" w:fill="CCEEFF"/>
            <w:tcMar>
              <w:top w:w="40" w:type="dxa"/>
              <w:left w:w="40" w:type="dxa"/>
              <w:bottom w:w="40" w:type="dxa"/>
              <w:right w:w="40" w:type="dxa"/>
            </w:tcMar>
            <w:vAlign w:val="center"/>
          </w:tcPr>
          <w:p w14:paraId="42A13787"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Deferred tax assets:</w:t>
            </w:r>
          </w:p>
        </w:tc>
        <w:tc>
          <w:tcPr>
            <w:tcW w:w="0" w:type="auto"/>
            <w:shd w:val="clear" w:color="auto" w:fill="CCEEFF"/>
            <w:tcMar>
              <w:top w:w="40" w:type="dxa"/>
              <w:left w:w="40" w:type="dxa"/>
              <w:bottom w:w="40" w:type="dxa"/>
              <w:right w:w="40" w:type="dxa"/>
            </w:tcMar>
            <w:vAlign w:val="bottom"/>
          </w:tcPr>
          <w:p w14:paraId="42A1378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78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78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78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796" w14:textId="77777777">
        <w:tc>
          <w:tcPr>
            <w:tcW w:w="0" w:type="auto"/>
            <w:shd w:val="clear" w:color="auto" w:fill="auto"/>
            <w:tcMar>
              <w:top w:w="40" w:type="dxa"/>
              <w:left w:w="560" w:type="dxa"/>
              <w:bottom w:w="40" w:type="dxa"/>
              <w:right w:w="40" w:type="dxa"/>
            </w:tcMar>
            <w:vAlign w:val="center"/>
          </w:tcPr>
          <w:p w14:paraId="42A1378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Loss and tax credit carryforwards</w:t>
            </w:r>
          </w:p>
        </w:tc>
        <w:tc>
          <w:tcPr>
            <w:tcW w:w="0" w:type="auto"/>
            <w:shd w:val="clear" w:color="auto" w:fill="auto"/>
            <w:tcMar>
              <w:top w:w="40" w:type="dxa"/>
              <w:left w:w="40" w:type="dxa"/>
              <w:bottom w:w="40" w:type="dxa"/>
              <w:right w:w="40" w:type="dxa"/>
            </w:tcMar>
            <w:vAlign w:val="bottom"/>
          </w:tcPr>
          <w:p w14:paraId="42A1378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78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79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9,056</w:t>
            </w:r>
          </w:p>
        </w:tc>
        <w:tc>
          <w:tcPr>
            <w:tcW w:w="0" w:type="auto"/>
            <w:shd w:val="clear" w:color="auto" w:fill="auto"/>
            <w:vAlign w:val="bottom"/>
          </w:tcPr>
          <w:p w14:paraId="42A1379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79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79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79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2,964</w:t>
            </w:r>
          </w:p>
        </w:tc>
        <w:tc>
          <w:tcPr>
            <w:tcW w:w="0" w:type="auto"/>
            <w:shd w:val="clear" w:color="auto" w:fill="auto"/>
            <w:vAlign w:val="bottom"/>
          </w:tcPr>
          <w:p w14:paraId="42A13795" w14:textId="77777777" w:rsidR="00BB68E1" w:rsidRDefault="00BB68E1">
            <w:pPr>
              <w:textAlignment w:val="bottom"/>
              <w:rPr>
                <w:rFonts w:ascii="Times New Roman" w:hAnsi="Times New Roman"/>
                <w:sz w:val="20"/>
                <w:szCs w:val="20"/>
              </w:rPr>
            </w:pPr>
          </w:p>
        </w:tc>
      </w:tr>
      <w:tr w:rsidR="00BB68E1" w14:paraId="42A1379E" w14:textId="77777777">
        <w:tc>
          <w:tcPr>
            <w:tcW w:w="0" w:type="auto"/>
            <w:shd w:val="clear" w:color="auto" w:fill="CCEEFF"/>
            <w:tcMar>
              <w:top w:w="40" w:type="dxa"/>
              <w:left w:w="560" w:type="dxa"/>
              <w:bottom w:w="40" w:type="dxa"/>
              <w:right w:w="40" w:type="dxa"/>
            </w:tcMar>
            <w:vAlign w:val="center"/>
          </w:tcPr>
          <w:p w14:paraId="42A1379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Accrued liabilities</w:t>
            </w:r>
          </w:p>
        </w:tc>
        <w:tc>
          <w:tcPr>
            <w:tcW w:w="0" w:type="auto"/>
            <w:shd w:val="clear" w:color="auto" w:fill="CCEEFF"/>
            <w:tcMar>
              <w:top w:w="40" w:type="dxa"/>
              <w:left w:w="40" w:type="dxa"/>
              <w:bottom w:w="40" w:type="dxa"/>
              <w:right w:w="40" w:type="dxa"/>
            </w:tcMar>
            <w:vAlign w:val="bottom"/>
          </w:tcPr>
          <w:p w14:paraId="42A1379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79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2,483</w:t>
            </w:r>
          </w:p>
        </w:tc>
        <w:tc>
          <w:tcPr>
            <w:tcW w:w="0" w:type="auto"/>
            <w:shd w:val="clear" w:color="auto" w:fill="CCEEFF"/>
            <w:vAlign w:val="bottom"/>
          </w:tcPr>
          <w:p w14:paraId="42A1379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79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79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2,135</w:t>
            </w:r>
          </w:p>
        </w:tc>
        <w:tc>
          <w:tcPr>
            <w:tcW w:w="0" w:type="auto"/>
            <w:shd w:val="clear" w:color="auto" w:fill="CCEEFF"/>
            <w:vAlign w:val="bottom"/>
          </w:tcPr>
          <w:p w14:paraId="42A1379D" w14:textId="77777777" w:rsidR="00BB68E1" w:rsidRDefault="00BB68E1">
            <w:pPr>
              <w:textAlignment w:val="bottom"/>
              <w:rPr>
                <w:rFonts w:ascii="Times New Roman" w:hAnsi="Times New Roman"/>
                <w:sz w:val="20"/>
                <w:szCs w:val="20"/>
              </w:rPr>
            </w:pPr>
          </w:p>
        </w:tc>
      </w:tr>
      <w:tr w:rsidR="00BB68E1" w14:paraId="42A137A6" w14:textId="77777777">
        <w:tc>
          <w:tcPr>
            <w:tcW w:w="0" w:type="auto"/>
            <w:shd w:val="clear" w:color="auto" w:fill="auto"/>
            <w:tcMar>
              <w:top w:w="40" w:type="dxa"/>
              <w:left w:w="560" w:type="dxa"/>
              <w:bottom w:w="40" w:type="dxa"/>
              <w:right w:w="40" w:type="dxa"/>
            </w:tcMar>
            <w:vAlign w:val="center"/>
          </w:tcPr>
          <w:p w14:paraId="42A1379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Share-based </w:t>
            </w:r>
            <w:r>
              <w:rPr>
                <w:rFonts w:ascii="Times New Roman" w:eastAsia="宋体" w:hAnsi="Times New Roman"/>
                <w:sz w:val="16"/>
                <w:szCs w:val="16"/>
              </w:rPr>
              <w:t>compensation</w:t>
            </w:r>
          </w:p>
        </w:tc>
        <w:tc>
          <w:tcPr>
            <w:tcW w:w="0" w:type="auto"/>
            <w:shd w:val="clear" w:color="auto" w:fill="auto"/>
            <w:tcMar>
              <w:top w:w="40" w:type="dxa"/>
              <w:left w:w="40" w:type="dxa"/>
              <w:bottom w:w="40" w:type="dxa"/>
              <w:right w:w="40" w:type="dxa"/>
            </w:tcMar>
            <w:vAlign w:val="bottom"/>
          </w:tcPr>
          <w:p w14:paraId="42A137A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7A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250</w:t>
            </w:r>
          </w:p>
        </w:tc>
        <w:tc>
          <w:tcPr>
            <w:tcW w:w="0" w:type="auto"/>
            <w:shd w:val="clear" w:color="auto" w:fill="auto"/>
            <w:vAlign w:val="bottom"/>
          </w:tcPr>
          <w:p w14:paraId="42A137A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7A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7A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245</w:t>
            </w:r>
          </w:p>
        </w:tc>
        <w:tc>
          <w:tcPr>
            <w:tcW w:w="0" w:type="auto"/>
            <w:shd w:val="clear" w:color="auto" w:fill="auto"/>
            <w:vAlign w:val="bottom"/>
          </w:tcPr>
          <w:p w14:paraId="42A137A5" w14:textId="77777777" w:rsidR="00BB68E1" w:rsidRDefault="00BB68E1">
            <w:pPr>
              <w:textAlignment w:val="bottom"/>
              <w:rPr>
                <w:rFonts w:ascii="Times New Roman" w:hAnsi="Times New Roman"/>
                <w:sz w:val="20"/>
                <w:szCs w:val="20"/>
              </w:rPr>
            </w:pPr>
          </w:p>
        </w:tc>
      </w:tr>
      <w:tr w:rsidR="00BB68E1" w14:paraId="42A137AE" w14:textId="77777777">
        <w:tc>
          <w:tcPr>
            <w:tcW w:w="0" w:type="auto"/>
            <w:shd w:val="clear" w:color="auto" w:fill="CCEEFF"/>
            <w:tcMar>
              <w:top w:w="40" w:type="dxa"/>
              <w:left w:w="560" w:type="dxa"/>
              <w:bottom w:w="40" w:type="dxa"/>
              <w:right w:w="40" w:type="dxa"/>
            </w:tcMar>
            <w:vAlign w:val="center"/>
          </w:tcPr>
          <w:p w14:paraId="42A137A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Lease obligations</w:t>
            </w:r>
          </w:p>
        </w:tc>
        <w:tc>
          <w:tcPr>
            <w:tcW w:w="0" w:type="auto"/>
            <w:shd w:val="clear" w:color="auto" w:fill="CCEEFF"/>
            <w:tcMar>
              <w:top w:w="40" w:type="dxa"/>
              <w:left w:w="40" w:type="dxa"/>
              <w:bottom w:w="40" w:type="dxa"/>
              <w:right w:w="40" w:type="dxa"/>
            </w:tcMar>
            <w:vAlign w:val="bottom"/>
          </w:tcPr>
          <w:p w14:paraId="42A137A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7A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4,098</w:t>
            </w:r>
          </w:p>
        </w:tc>
        <w:tc>
          <w:tcPr>
            <w:tcW w:w="0" w:type="auto"/>
            <w:shd w:val="clear" w:color="auto" w:fill="CCEEFF"/>
            <w:vAlign w:val="bottom"/>
          </w:tcPr>
          <w:p w14:paraId="42A137A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7A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7A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2A137AD" w14:textId="77777777" w:rsidR="00BB68E1" w:rsidRDefault="00BB68E1">
            <w:pPr>
              <w:textAlignment w:val="bottom"/>
              <w:rPr>
                <w:rFonts w:ascii="Times New Roman" w:hAnsi="Times New Roman"/>
                <w:sz w:val="20"/>
                <w:szCs w:val="20"/>
              </w:rPr>
            </w:pPr>
          </w:p>
        </w:tc>
      </w:tr>
      <w:tr w:rsidR="00BB68E1" w14:paraId="42A137B6" w14:textId="77777777">
        <w:tc>
          <w:tcPr>
            <w:tcW w:w="0" w:type="auto"/>
            <w:shd w:val="clear" w:color="auto" w:fill="auto"/>
            <w:tcMar>
              <w:top w:w="40" w:type="dxa"/>
              <w:left w:w="560" w:type="dxa"/>
              <w:bottom w:w="40" w:type="dxa"/>
              <w:right w:w="40" w:type="dxa"/>
            </w:tcMar>
            <w:vAlign w:val="center"/>
          </w:tcPr>
          <w:p w14:paraId="42A137A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w:t>
            </w:r>
          </w:p>
        </w:tc>
        <w:tc>
          <w:tcPr>
            <w:tcW w:w="0" w:type="auto"/>
            <w:shd w:val="clear" w:color="auto" w:fill="auto"/>
            <w:tcMar>
              <w:top w:w="40" w:type="dxa"/>
              <w:left w:w="40" w:type="dxa"/>
              <w:bottom w:w="40" w:type="dxa"/>
              <w:right w:w="40" w:type="dxa"/>
            </w:tcMar>
            <w:vAlign w:val="bottom"/>
          </w:tcPr>
          <w:p w14:paraId="42A137B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37B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1,020</w:t>
            </w:r>
          </w:p>
        </w:tc>
        <w:tc>
          <w:tcPr>
            <w:tcW w:w="0" w:type="auto"/>
            <w:tcBorders>
              <w:bottom w:val="single" w:sz="8" w:space="0" w:color="000000"/>
            </w:tcBorders>
            <w:shd w:val="clear" w:color="auto" w:fill="auto"/>
            <w:vAlign w:val="bottom"/>
          </w:tcPr>
          <w:p w14:paraId="42A137B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7B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37B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1,131</w:t>
            </w:r>
          </w:p>
        </w:tc>
        <w:tc>
          <w:tcPr>
            <w:tcW w:w="0" w:type="auto"/>
            <w:tcBorders>
              <w:bottom w:val="single" w:sz="8" w:space="0" w:color="000000"/>
            </w:tcBorders>
            <w:shd w:val="clear" w:color="auto" w:fill="auto"/>
            <w:vAlign w:val="bottom"/>
          </w:tcPr>
          <w:p w14:paraId="42A137B5" w14:textId="77777777" w:rsidR="00BB68E1" w:rsidRDefault="00BB68E1">
            <w:pPr>
              <w:textAlignment w:val="bottom"/>
              <w:rPr>
                <w:rFonts w:ascii="Times New Roman" w:hAnsi="Times New Roman"/>
                <w:sz w:val="20"/>
                <w:szCs w:val="20"/>
              </w:rPr>
            </w:pPr>
          </w:p>
        </w:tc>
      </w:tr>
      <w:tr w:rsidR="00BB68E1" w14:paraId="42A137BE" w14:textId="77777777">
        <w:tc>
          <w:tcPr>
            <w:tcW w:w="0" w:type="auto"/>
            <w:shd w:val="clear" w:color="auto" w:fill="CCEEFF"/>
            <w:tcMar>
              <w:top w:w="40" w:type="dxa"/>
              <w:left w:w="40" w:type="dxa"/>
              <w:bottom w:w="40" w:type="dxa"/>
              <w:right w:w="40" w:type="dxa"/>
            </w:tcMar>
            <w:vAlign w:val="center"/>
          </w:tcPr>
          <w:p w14:paraId="42A137B7"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deferred tax assets</w:t>
            </w:r>
          </w:p>
        </w:tc>
        <w:tc>
          <w:tcPr>
            <w:tcW w:w="0" w:type="auto"/>
            <w:shd w:val="clear" w:color="auto" w:fill="CCEEFF"/>
            <w:tcMar>
              <w:top w:w="40" w:type="dxa"/>
              <w:left w:w="40" w:type="dxa"/>
              <w:bottom w:w="40" w:type="dxa"/>
              <w:right w:w="40" w:type="dxa"/>
            </w:tcMar>
            <w:vAlign w:val="bottom"/>
          </w:tcPr>
          <w:p w14:paraId="42A137B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7B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16,907</w:t>
            </w:r>
          </w:p>
        </w:tc>
        <w:tc>
          <w:tcPr>
            <w:tcW w:w="0" w:type="auto"/>
            <w:shd w:val="clear" w:color="auto" w:fill="CCEEFF"/>
            <w:vAlign w:val="bottom"/>
          </w:tcPr>
          <w:p w14:paraId="42A137B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7B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7B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6,475</w:t>
            </w:r>
          </w:p>
        </w:tc>
        <w:tc>
          <w:tcPr>
            <w:tcW w:w="0" w:type="auto"/>
            <w:shd w:val="clear" w:color="auto" w:fill="CCEEFF"/>
            <w:vAlign w:val="bottom"/>
          </w:tcPr>
          <w:p w14:paraId="42A137BD" w14:textId="77777777" w:rsidR="00BB68E1" w:rsidRDefault="00BB68E1">
            <w:pPr>
              <w:textAlignment w:val="bottom"/>
              <w:rPr>
                <w:rFonts w:ascii="Times New Roman" w:hAnsi="Times New Roman"/>
                <w:sz w:val="20"/>
                <w:szCs w:val="20"/>
              </w:rPr>
            </w:pPr>
          </w:p>
        </w:tc>
      </w:tr>
      <w:tr w:rsidR="00BB68E1" w14:paraId="42A137C6" w14:textId="77777777">
        <w:tc>
          <w:tcPr>
            <w:tcW w:w="0" w:type="auto"/>
            <w:shd w:val="clear" w:color="auto" w:fill="auto"/>
            <w:tcMar>
              <w:top w:w="40" w:type="dxa"/>
              <w:left w:w="40" w:type="dxa"/>
              <w:bottom w:w="40" w:type="dxa"/>
              <w:right w:w="40" w:type="dxa"/>
            </w:tcMar>
            <w:vAlign w:val="center"/>
          </w:tcPr>
          <w:p w14:paraId="42A137B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Valuation allowances</w:t>
            </w:r>
          </w:p>
        </w:tc>
        <w:tc>
          <w:tcPr>
            <w:tcW w:w="0" w:type="auto"/>
            <w:shd w:val="clear" w:color="auto" w:fill="auto"/>
            <w:tcMar>
              <w:top w:w="40" w:type="dxa"/>
              <w:left w:w="40" w:type="dxa"/>
              <w:bottom w:w="40" w:type="dxa"/>
              <w:right w:w="40" w:type="dxa"/>
            </w:tcMar>
            <w:vAlign w:val="bottom"/>
          </w:tcPr>
          <w:p w14:paraId="42A137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37C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(8,588</w:t>
            </w:r>
          </w:p>
        </w:tc>
        <w:tc>
          <w:tcPr>
            <w:tcW w:w="0" w:type="auto"/>
            <w:tcBorders>
              <w:bottom w:val="single" w:sz="8" w:space="0" w:color="000000"/>
            </w:tcBorders>
            <w:shd w:val="clear" w:color="auto" w:fill="auto"/>
            <w:tcMar>
              <w:top w:w="40" w:type="dxa"/>
              <w:bottom w:w="40" w:type="dxa"/>
              <w:right w:w="40" w:type="dxa"/>
            </w:tcMar>
            <w:vAlign w:val="center"/>
          </w:tcPr>
          <w:p w14:paraId="42A137C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37C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37C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(2,448</w:t>
            </w:r>
          </w:p>
        </w:tc>
        <w:tc>
          <w:tcPr>
            <w:tcW w:w="0" w:type="auto"/>
            <w:tcBorders>
              <w:bottom w:val="single" w:sz="8" w:space="0" w:color="000000"/>
            </w:tcBorders>
            <w:shd w:val="clear" w:color="auto" w:fill="auto"/>
            <w:tcMar>
              <w:top w:w="40" w:type="dxa"/>
              <w:bottom w:w="40" w:type="dxa"/>
              <w:right w:w="40" w:type="dxa"/>
            </w:tcMar>
            <w:vAlign w:val="center"/>
          </w:tcPr>
          <w:p w14:paraId="42A137C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7CE" w14:textId="77777777">
        <w:tc>
          <w:tcPr>
            <w:tcW w:w="0" w:type="auto"/>
            <w:shd w:val="clear" w:color="auto" w:fill="CCEEFF"/>
            <w:tcMar>
              <w:top w:w="40" w:type="dxa"/>
              <w:left w:w="40" w:type="dxa"/>
              <w:bottom w:w="40" w:type="dxa"/>
              <w:right w:w="40" w:type="dxa"/>
            </w:tcMar>
            <w:vAlign w:val="center"/>
          </w:tcPr>
          <w:p w14:paraId="42A137C7"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Deferred tax assets, net of valuation allowances</w:t>
            </w:r>
          </w:p>
        </w:tc>
        <w:tc>
          <w:tcPr>
            <w:tcW w:w="0" w:type="auto"/>
            <w:shd w:val="clear" w:color="auto" w:fill="CCEEFF"/>
            <w:tcMar>
              <w:top w:w="40" w:type="dxa"/>
              <w:left w:w="40" w:type="dxa"/>
              <w:bottom w:w="40" w:type="dxa"/>
              <w:right w:w="40" w:type="dxa"/>
            </w:tcMar>
            <w:vAlign w:val="bottom"/>
          </w:tcPr>
          <w:p w14:paraId="42A137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7C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8,319</w:t>
            </w:r>
          </w:p>
        </w:tc>
        <w:tc>
          <w:tcPr>
            <w:tcW w:w="0" w:type="auto"/>
            <w:tcBorders>
              <w:bottom w:val="single" w:sz="8" w:space="0" w:color="000000"/>
            </w:tcBorders>
            <w:shd w:val="clear" w:color="auto" w:fill="CCEEFF"/>
            <w:vAlign w:val="bottom"/>
          </w:tcPr>
          <w:p w14:paraId="42A137C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7C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7C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4,027</w:t>
            </w:r>
          </w:p>
        </w:tc>
        <w:tc>
          <w:tcPr>
            <w:tcW w:w="0" w:type="auto"/>
            <w:tcBorders>
              <w:bottom w:val="single" w:sz="8" w:space="0" w:color="000000"/>
            </w:tcBorders>
            <w:shd w:val="clear" w:color="auto" w:fill="CCEEFF"/>
            <w:vAlign w:val="bottom"/>
          </w:tcPr>
          <w:p w14:paraId="42A137CD" w14:textId="77777777" w:rsidR="00BB68E1" w:rsidRDefault="00BB68E1">
            <w:pPr>
              <w:textAlignment w:val="bottom"/>
              <w:rPr>
                <w:rFonts w:ascii="Times New Roman" w:hAnsi="Times New Roman"/>
                <w:sz w:val="20"/>
                <w:szCs w:val="20"/>
              </w:rPr>
            </w:pPr>
          </w:p>
        </w:tc>
      </w:tr>
      <w:tr w:rsidR="00BB68E1" w14:paraId="42A137D4" w14:textId="77777777">
        <w:tc>
          <w:tcPr>
            <w:tcW w:w="0" w:type="auto"/>
            <w:shd w:val="clear" w:color="auto" w:fill="auto"/>
            <w:tcMar>
              <w:top w:w="40" w:type="dxa"/>
              <w:left w:w="40" w:type="dxa"/>
              <w:bottom w:w="40" w:type="dxa"/>
              <w:right w:w="40" w:type="dxa"/>
            </w:tcMar>
            <w:vAlign w:val="center"/>
          </w:tcPr>
          <w:p w14:paraId="42A137CF"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Deferred tax liabilities:</w:t>
            </w:r>
          </w:p>
        </w:tc>
        <w:tc>
          <w:tcPr>
            <w:tcW w:w="0" w:type="auto"/>
            <w:shd w:val="clear" w:color="auto" w:fill="auto"/>
            <w:tcMar>
              <w:top w:w="40" w:type="dxa"/>
              <w:left w:w="40" w:type="dxa"/>
              <w:bottom w:w="40" w:type="dxa"/>
              <w:right w:w="40" w:type="dxa"/>
            </w:tcMar>
            <w:vAlign w:val="bottom"/>
          </w:tcPr>
          <w:p w14:paraId="42A137D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7D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7D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7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7DC" w14:textId="77777777">
        <w:tc>
          <w:tcPr>
            <w:tcW w:w="0" w:type="auto"/>
            <w:shd w:val="clear" w:color="auto" w:fill="CCEEFF"/>
            <w:tcMar>
              <w:top w:w="40" w:type="dxa"/>
              <w:left w:w="560" w:type="dxa"/>
              <w:bottom w:w="40" w:type="dxa"/>
              <w:right w:w="40" w:type="dxa"/>
            </w:tcMar>
            <w:vAlign w:val="center"/>
          </w:tcPr>
          <w:p w14:paraId="42A137D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Property and equipment</w:t>
            </w:r>
          </w:p>
        </w:tc>
        <w:tc>
          <w:tcPr>
            <w:tcW w:w="0" w:type="auto"/>
            <w:shd w:val="clear" w:color="auto" w:fill="CCEEFF"/>
            <w:tcMar>
              <w:top w:w="40" w:type="dxa"/>
              <w:left w:w="40" w:type="dxa"/>
              <w:bottom w:w="40" w:type="dxa"/>
              <w:right w:w="40" w:type="dxa"/>
            </w:tcMar>
            <w:vAlign w:val="bottom"/>
          </w:tcPr>
          <w:p w14:paraId="42A137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7D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4,621</w:t>
            </w:r>
          </w:p>
        </w:tc>
        <w:tc>
          <w:tcPr>
            <w:tcW w:w="0" w:type="auto"/>
            <w:shd w:val="clear" w:color="auto" w:fill="CCEEFF"/>
            <w:vAlign w:val="bottom"/>
          </w:tcPr>
          <w:p w14:paraId="42A137D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7D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7D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4,175</w:t>
            </w:r>
          </w:p>
        </w:tc>
        <w:tc>
          <w:tcPr>
            <w:tcW w:w="0" w:type="auto"/>
            <w:shd w:val="clear" w:color="auto" w:fill="CCEEFF"/>
            <w:vAlign w:val="bottom"/>
          </w:tcPr>
          <w:p w14:paraId="42A137DB" w14:textId="77777777" w:rsidR="00BB68E1" w:rsidRDefault="00BB68E1">
            <w:pPr>
              <w:textAlignment w:val="bottom"/>
              <w:rPr>
                <w:rFonts w:ascii="Times New Roman" w:hAnsi="Times New Roman"/>
                <w:sz w:val="20"/>
                <w:szCs w:val="20"/>
              </w:rPr>
            </w:pPr>
          </w:p>
        </w:tc>
      </w:tr>
      <w:tr w:rsidR="00BB68E1" w14:paraId="42A137E4" w14:textId="77777777">
        <w:tc>
          <w:tcPr>
            <w:tcW w:w="0" w:type="auto"/>
            <w:shd w:val="clear" w:color="auto" w:fill="auto"/>
            <w:tcMar>
              <w:top w:w="40" w:type="dxa"/>
              <w:left w:w="560" w:type="dxa"/>
              <w:bottom w:w="40" w:type="dxa"/>
              <w:right w:w="40" w:type="dxa"/>
            </w:tcMar>
            <w:vAlign w:val="center"/>
          </w:tcPr>
          <w:p w14:paraId="42A137D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Acquired intangibles</w:t>
            </w:r>
          </w:p>
        </w:tc>
        <w:tc>
          <w:tcPr>
            <w:tcW w:w="0" w:type="auto"/>
            <w:shd w:val="clear" w:color="auto" w:fill="auto"/>
            <w:tcMar>
              <w:top w:w="40" w:type="dxa"/>
              <w:left w:w="40" w:type="dxa"/>
              <w:bottom w:w="40" w:type="dxa"/>
              <w:right w:w="40" w:type="dxa"/>
            </w:tcMar>
            <w:vAlign w:val="bottom"/>
          </w:tcPr>
          <w:p w14:paraId="42A137D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7D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1,152</w:t>
            </w:r>
          </w:p>
        </w:tc>
        <w:tc>
          <w:tcPr>
            <w:tcW w:w="0" w:type="auto"/>
            <w:shd w:val="clear" w:color="auto" w:fill="auto"/>
            <w:vAlign w:val="bottom"/>
          </w:tcPr>
          <w:p w14:paraId="42A137E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7E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7E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2,099</w:t>
            </w:r>
          </w:p>
        </w:tc>
        <w:tc>
          <w:tcPr>
            <w:tcW w:w="0" w:type="auto"/>
            <w:shd w:val="clear" w:color="auto" w:fill="auto"/>
            <w:vAlign w:val="bottom"/>
          </w:tcPr>
          <w:p w14:paraId="42A137E3" w14:textId="77777777" w:rsidR="00BB68E1" w:rsidRDefault="00BB68E1">
            <w:pPr>
              <w:textAlignment w:val="bottom"/>
              <w:rPr>
                <w:rFonts w:ascii="Times New Roman" w:hAnsi="Times New Roman"/>
                <w:sz w:val="20"/>
                <w:szCs w:val="20"/>
              </w:rPr>
            </w:pPr>
          </w:p>
        </w:tc>
      </w:tr>
      <w:tr w:rsidR="00BB68E1" w14:paraId="42A137EC" w14:textId="77777777">
        <w:tc>
          <w:tcPr>
            <w:tcW w:w="0" w:type="auto"/>
            <w:shd w:val="clear" w:color="auto" w:fill="CCEEFF"/>
            <w:tcMar>
              <w:top w:w="40" w:type="dxa"/>
              <w:left w:w="560" w:type="dxa"/>
              <w:bottom w:w="40" w:type="dxa"/>
              <w:right w:w="40" w:type="dxa"/>
            </w:tcMar>
            <w:vAlign w:val="center"/>
          </w:tcPr>
          <w:p w14:paraId="42A137E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Inventory</w:t>
            </w:r>
          </w:p>
        </w:tc>
        <w:tc>
          <w:tcPr>
            <w:tcW w:w="0" w:type="auto"/>
            <w:shd w:val="clear" w:color="auto" w:fill="CCEEFF"/>
            <w:tcMar>
              <w:top w:w="40" w:type="dxa"/>
              <w:left w:w="40" w:type="dxa"/>
              <w:bottom w:w="40" w:type="dxa"/>
              <w:right w:w="40" w:type="dxa"/>
            </w:tcMar>
            <w:vAlign w:val="bottom"/>
          </w:tcPr>
          <w:p w14:paraId="42A137E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7E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1,414</w:t>
            </w:r>
          </w:p>
        </w:tc>
        <w:tc>
          <w:tcPr>
            <w:tcW w:w="0" w:type="auto"/>
            <w:shd w:val="clear" w:color="auto" w:fill="CCEEFF"/>
            <w:vAlign w:val="bottom"/>
          </w:tcPr>
          <w:p w14:paraId="42A137E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7E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7E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1,354</w:t>
            </w:r>
          </w:p>
        </w:tc>
        <w:tc>
          <w:tcPr>
            <w:tcW w:w="0" w:type="auto"/>
            <w:shd w:val="clear" w:color="auto" w:fill="CCEEFF"/>
            <w:vAlign w:val="bottom"/>
          </w:tcPr>
          <w:p w14:paraId="42A137EB" w14:textId="77777777" w:rsidR="00BB68E1" w:rsidRDefault="00BB68E1">
            <w:pPr>
              <w:textAlignment w:val="bottom"/>
              <w:rPr>
                <w:rFonts w:ascii="Times New Roman" w:hAnsi="Times New Roman"/>
                <w:sz w:val="20"/>
                <w:szCs w:val="20"/>
              </w:rPr>
            </w:pPr>
          </w:p>
        </w:tc>
      </w:tr>
      <w:tr w:rsidR="00BB68E1" w14:paraId="42A137F4" w14:textId="77777777">
        <w:tc>
          <w:tcPr>
            <w:tcW w:w="0" w:type="auto"/>
            <w:shd w:val="clear" w:color="auto" w:fill="auto"/>
            <w:tcMar>
              <w:top w:w="40" w:type="dxa"/>
              <w:left w:w="560" w:type="dxa"/>
              <w:bottom w:w="40" w:type="dxa"/>
              <w:right w:w="40" w:type="dxa"/>
            </w:tcMar>
            <w:vAlign w:val="center"/>
          </w:tcPr>
          <w:p w14:paraId="42A137E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Lease right of use assets</w:t>
            </w:r>
          </w:p>
        </w:tc>
        <w:tc>
          <w:tcPr>
            <w:tcW w:w="0" w:type="auto"/>
            <w:shd w:val="clear" w:color="auto" w:fill="auto"/>
            <w:tcMar>
              <w:top w:w="40" w:type="dxa"/>
              <w:left w:w="40" w:type="dxa"/>
              <w:bottom w:w="40" w:type="dxa"/>
              <w:right w:w="40" w:type="dxa"/>
            </w:tcMar>
            <w:vAlign w:val="bottom"/>
          </w:tcPr>
          <w:p w14:paraId="42A137E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7E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3,998</w:t>
            </w:r>
          </w:p>
        </w:tc>
        <w:tc>
          <w:tcPr>
            <w:tcW w:w="0" w:type="auto"/>
            <w:shd w:val="clear" w:color="auto" w:fill="auto"/>
            <w:vAlign w:val="bottom"/>
          </w:tcPr>
          <w:p w14:paraId="42A137F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7F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7F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37F3" w14:textId="77777777" w:rsidR="00BB68E1" w:rsidRDefault="00BB68E1">
            <w:pPr>
              <w:textAlignment w:val="bottom"/>
              <w:rPr>
                <w:rFonts w:ascii="Times New Roman" w:hAnsi="Times New Roman"/>
                <w:sz w:val="20"/>
                <w:szCs w:val="20"/>
              </w:rPr>
            </w:pPr>
          </w:p>
        </w:tc>
      </w:tr>
      <w:tr w:rsidR="00BB68E1" w14:paraId="42A137FC" w14:textId="77777777">
        <w:tc>
          <w:tcPr>
            <w:tcW w:w="0" w:type="auto"/>
            <w:shd w:val="clear" w:color="auto" w:fill="CCEEFF"/>
            <w:tcMar>
              <w:top w:w="40" w:type="dxa"/>
              <w:left w:w="560" w:type="dxa"/>
              <w:bottom w:w="40" w:type="dxa"/>
              <w:right w:w="40" w:type="dxa"/>
            </w:tcMar>
            <w:vAlign w:val="center"/>
          </w:tcPr>
          <w:p w14:paraId="42A137F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Mark-to-market investments</w:t>
            </w:r>
          </w:p>
        </w:tc>
        <w:tc>
          <w:tcPr>
            <w:tcW w:w="0" w:type="auto"/>
            <w:shd w:val="clear" w:color="auto" w:fill="CCEEFF"/>
            <w:tcMar>
              <w:top w:w="40" w:type="dxa"/>
              <w:left w:w="40" w:type="dxa"/>
              <w:bottom w:w="40" w:type="dxa"/>
              <w:right w:w="40" w:type="dxa"/>
            </w:tcMar>
            <w:vAlign w:val="bottom"/>
          </w:tcPr>
          <w:p w14:paraId="42A137F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7F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724</w:t>
            </w:r>
          </w:p>
        </w:tc>
        <w:tc>
          <w:tcPr>
            <w:tcW w:w="0" w:type="auto"/>
            <w:shd w:val="clear" w:color="auto" w:fill="CCEEFF"/>
            <w:vAlign w:val="bottom"/>
          </w:tcPr>
          <w:p w14:paraId="42A137F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7F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7F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335</w:t>
            </w:r>
          </w:p>
        </w:tc>
        <w:tc>
          <w:tcPr>
            <w:tcW w:w="0" w:type="auto"/>
            <w:shd w:val="clear" w:color="auto" w:fill="CCEEFF"/>
            <w:vAlign w:val="bottom"/>
          </w:tcPr>
          <w:p w14:paraId="42A137FB" w14:textId="77777777" w:rsidR="00BB68E1" w:rsidRDefault="00BB68E1">
            <w:pPr>
              <w:textAlignment w:val="bottom"/>
              <w:rPr>
                <w:rFonts w:ascii="Times New Roman" w:hAnsi="Times New Roman"/>
                <w:sz w:val="20"/>
                <w:szCs w:val="20"/>
              </w:rPr>
            </w:pPr>
          </w:p>
        </w:tc>
      </w:tr>
      <w:tr w:rsidR="00BB68E1" w14:paraId="42A13804" w14:textId="77777777">
        <w:tc>
          <w:tcPr>
            <w:tcW w:w="0" w:type="auto"/>
            <w:shd w:val="clear" w:color="auto" w:fill="auto"/>
            <w:tcMar>
              <w:top w:w="40" w:type="dxa"/>
              <w:left w:w="560" w:type="dxa"/>
              <w:bottom w:w="40" w:type="dxa"/>
              <w:right w:w="40" w:type="dxa"/>
            </w:tcMar>
            <w:vAlign w:val="center"/>
          </w:tcPr>
          <w:p w14:paraId="42A137F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lastRenderedPageBreak/>
              <w:t>Other</w:t>
            </w:r>
          </w:p>
        </w:tc>
        <w:tc>
          <w:tcPr>
            <w:tcW w:w="0" w:type="auto"/>
            <w:shd w:val="clear" w:color="auto" w:fill="auto"/>
            <w:tcMar>
              <w:top w:w="40" w:type="dxa"/>
              <w:left w:w="40" w:type="dxa"/>
              <w:bottom w:w="40" w:type="dxa"/>
              <w:right w:w="40" w:type="dxa"/>
            </w:tcMar>
            <w:vAlign w:val="bottom"/>
          </w:tcPr>
          <w:p w14:paraId="42A137F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37F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700</w:t>
            </w:r>
          </w:p>
        </w:tc>
        <w:tc>
          <w:tcPr>
            <w:tcW w:w="0" w:type="auto"/>
            <w:tcBorders>
              <w:bottom w:val="single" w:sz="8" w:space="0" w:color="000000"/>
            </w:tcBorders>
            <w:shd w:val="clear" w:color="auto" w:fill="auto"/>
            <w:vAlign w:val="bottom"/>
          </w:tcPr>
          <w:p w14:paraId="42A1380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80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2A1380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564</w:t>
            </w:r>
          </w:p>
        </w:tc>
        <w:tc>
          <w:tcPr>
            <w:tcW w:w="0" w:type="auto"/>
            <w:tcBorders>
              <w:bottom w:val="single" w:sz="8" w:space="0" w:color="000000"/>
            </w:tcBorders>
            <w:shd w:val="clear" w:color="auto" w:fill="auto"/>
            <w:vAlign w:val="bottom"/>
          </w:tcPr>
          <w:p w14:paraId="42A13803" w14:textId="77777777" w:rsidR="00BB68E1" w:rsidRDefault="00BB68E1">
            <w:pPr>
              <w:textAlignment w:val="bottom"/>
              <w:rPr>
                <w:rFonts w:ascii="Times New Roman" w:hAnsi="Times New Roman"/>
                <w:sz w:val="20"/>
                <w:szCs w:val="20"/>
              </w:rPr>
            </w:pPr>
          </w:p>
        </w:tc>
      </w:tr>
      <w:tr w:rsidR="00BB68E1" w14:paraId="42A1380C" w14:textId="77777777">
        <w:tc>
          <w:tcPr>
            <w:tcW w:w="0" w:type="auto"/>
            <w:shd w:val="clear" w:color="auto" w:fill="CCEEFF"/>
            <w:tcMar>
              <w:top w:w="40" w:type="dxa"/>
              <w:left w:w="40" w:type="dxa"/>
              <w:bottom w:w="40" w:type="dxa"/>
              <w:right w:w="40" w:type="dxa"/>
            </w:tcMar>
            <w:vAlign w:val="center"/>
          </w:tcPr>
          <w:p w14:paraId="42A13805"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deferred tax liabilities</w:t>
            </w:r>
          </w:p>
        </w:tc>
        <w:tc>
          <w:tcPr>
            <w:tcW w:w="0" w:type="auto"/>
            <w:shd w:val="clear" w:color="auto" w:fill="CCEEFF"/>
            <w:tcMar>
              <w:top w:w="40" w:type="dxa"/>
              <w:left w:w="40" w:type="dxa"/>
              <w:bottom w:w="40" w:type="dxa"/>
              <w:right w:w="40" w:type="dxa"/>
            </w:tcMar>
            <w:vAlign w:val="bottom"/>
          </w:tcPr>
          <w:p w14:paraId="42A1380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80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12,609</w:t>
            </w:r>
          </w:p>
        </w:tc>
        <w:tc>
          <w:tcPr>
            <w:tcW w:w="0" w:type="auto"/>
            <w:tcBorders>
              <w:bottom w:val="single" w:sz="8" w:space="0" w:color="000000"/>
            </w:tcBorders>
            <w:shd w:val="clear" w:color="auto" w:fill="CCEEFF"/>
            <w:vAlign w:val="bottom"/>
          </w:tcPr>
          <w:p w14:paraId="42A1380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80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80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8,527</w:t>
            </w:r>
          </w:p>
        </w:tc>
        <w:tc>
          <w:tcPr>
            <w:tcW w:w="0" w:type="auto"/>
            <w:tcBorders>
              <w:bottom w:val="single" w:sz="8" w:space="0" w:color="000000"/>
            </w:tcBorders>
            <w:shd w:val="clear" w:color="auto" w:fill="CCEEFF"/>
            <w:vAlign w:val="bottom"/>
          </w:tcPr>
          <w:p w14:paraId="42A1380B" w14:textId="77777777" w:rsidR="00BB68E1" w:rsidRDefault="00BB68E1">
            <w:pPr>
              <w:textAlignment w:val="bottom"/>
              <w:rPr>
                <w:rFonts w:ascii="Times New Roman" w:hAnsi="Times New Roman"/>
                <w:sz w:val="20"/>
                <w:szCs w:val="20"/>
              </w:rPr>
            </w:pPr>
          </w:p>
        </w:tc>
      </w:tr>
      <w:tr w:rsidR="00BB68E1" w14:paraId="42A13816" w14:textId="77777777">
        <w:tc>
          <w:tcPr>
            <w:tcW w:w="0" w:type="auto"/>
            <w:shd w:val="clear" w:color="auto" w:fill="auto"/>
            <w:tcMar>
              <w:top w:w="40" w:type="dxa"/>
              <w:left w:w="40" w:type="dxa"/>
              <w:bottom w:w="40" w:type="dxa"/>
              <w:right w:w="40" w:type="dxa"/>
            </w:tcMar>
            <w:vAlign w:val="center"/>
          </w:tcPr>
          <w:p w14:paraId="42A1380D"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Net deferred tax liabilities</w:t>
            </w:r>
          </w:p>
        </w:tc>
        <w:tc>
          <w:tcPr>
            <w:tcW w:w="0" w:type="auto"/>
            <w:shd w:val="clear" w:color="auto" w:fill="auto"/>
            <w:tcMar>
              <w:top w:w="40" w:type="dxa"/>
              <w:left w:w="40" w:type="dxa"/>
              <w:bottom w:w="40" w:type="dxa"/>
              <w:right w:w="40" w:type="dxa"/>
            </w:tcMar>
            <w:vAlign w:val="bottom"/>
          </w:tcPr>
          <w:p w14:paraId="42A138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380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2A1381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4,290</w:t>
            </w:r>
          </w:p>
        </w:tc>
        <w:tc>
          <w:tcPr>
            <w:tcW w:w="0" w:type="auto"/>
            <w:tcBorders>
              <w:bottom w:val="double" w:sz="6" w:space="0" w:color="000000"/>
            </w:tcBorders>
            <w:shd w:val="clear" w:color="auto" w:fill="auto"/>
            <w:vAlign w:val="bottom"/>
          </w:tcPr>
          <w:p w14:paraId="42A1381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8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381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2A1381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4,500</w:t>
            </w:r>
          </w:p>
        </w:tc>
        <w:tc>
          <w:tcPr>
            <w:tcW w:w="0" w:type="auto"/>
            <w:tcBorders>
              <w:bottom w:val="double" w:sz="6" w:space="0" w:color="000000"/>
            </w:tcBorders>
            <w:shd w:val="clear" w:color="auto" w:fill="auto"/>
            <w:vAlign w:val="bottom"/>
          </w:tcPr>
          <w:p w14:paraId="42A13815" w14:textId="77777777" w:rsidR="00BB68E1" w:rsidRDefault="00BB68E1">
            <w:pPr>
              <w:textAlignment w:val="bottom"/>
              <w:rPr>
                <w:rFonts w:ascii="Times New Roman" w:hAnsi="Times New Roman"/>
                <w:sz w:val="20"/>
                <w:szCs w:val="20"/>
              </w:rPr>
            </w:pPr>
          </w:p>
        </w:tc>
      </w:tr>
    </w:tbl>
    <w:p w14:paraId="42A13817" w14:textId="77777777" w:rsidR="00BB68E1" w:rsidRDefault="00BB68E1">
      <w:pPr>
        <w:spacing w:line="288" w:lineRule="auto"/>
        <w:rPr>
          <w:rFonts w:ascii="Times New Roman" w:hAnsi="Times New Roman"/>
          <w:sz w:val="20"/>
          <w:szCs w:val="20"/>
        </w:rPr>
      </w:pPr>
    </w:p>
    <w:p w14:paraId="42A1381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deferred taxes noted above are classified as follows in the Company's Consolidated Balance Sheets:</w:t>
      </w:r>
    </w:p>
    <w:tbl>
      <w:tblPr>
        <w:tblW w:w="5000" w:type="pct"/>
        <w:tblCellMar>
          <w:left w:w="0" w:type="dxa"/>
          <w:right w:w="0" w:type="dxa"/>
        </w:tblCellMar>
        <w:tblLook w:val="04A0" w:firstRow="1" w:lastRow="0" w:firstColumn="1" w:lastColumn="0" w:noHBand="0" w:noVBand="1"/>
      </w:tblPr>
      <w:tblGrid>
        <w:gridCol w:w="6279"/>
        <w:gridCol w:w="130"/>
        <w:gridCol w:w="120"/>
        <w:gridCol w:w="714"/>
        <w:gridCol w:w="49"/>
        <w:gridCol w:w="130"/>
        <w:gridCol w:w="120"/>
        <w:gridCol w:w="714"/>
        <w:gridCol w:w="50"/>
      </w:tblGrid>
      <w:tr w:rsidR="00BB68E1" w14:paraId="42A1381A" w14:textId="77777777">
        <w:tc>
          <w:tcPr>
            <w:tcW w:w="0" w:type="auto"/>
            <w:gridSpan w:val="9"/>
            <w:shd w:val="clear" w:color="auto" w:fill="auto"/>
            <w:vAlign w:val="center"/>
          </w:tcPr>
          <w:p w14:paraId="42A13819" w14:textId="77777777" w:rsidR="00BB68E1" w:rsidRDefault="00BB68E1">
            <w:pPr>
              <w:rPr>
                <w:rFonts w:ascii="Times New Roman" w:hAnsi="Times New Roman"/>
                <w:sz w:val="20"/>
                <w:szCs w:val="20"/>
              </w:rPr>
            </w:pPr>
          </w:p>
        </w:tc>
      </w:tr>
      <w:tr w:rsidR="00BB68E1" w14:paraId="42A13824" w14:textId="77777777">
        <w:tc>
          <w:tcPr>
            <w:tcW w:w="3800" w:type="pct"/>
            <w:shd w:val="clear" w:color="auto" w:fill="auto"/>
            <w:vAlign w:val="center"/>
          </w:tcPr>
          <w:p w14:paraId="42A1381B" w14:textId="77777777" w:rsidR="00BB68E1" w:rsidRDefault="00BB68E1">
            <w:pPr>
              <w:rPr>
                <w:rFonts w:ascii="Times New Roman" w:hAnsi="Times New Roman"/>
                <w:sz w:val="20"/>
                <w:szCs w:val="20"/>
              </w:rPr>
            </w:pPr>
          </w:p>
        </w:tc>
        <w:tc>
          <w:tcPr>
            <w:tcW w:w="50" w:type="pct"/>
            <w:shd w:val="clear" w:color="auto" w:fill="auto"/>
            <w:vAlign w:val="center"/>
          </w:tcPr>
          <w:p w14:paraId="42A1381C" w14:textId="77777777" w:rsidR="00BB68E1" w:rsidRDefault="00BB68E1">
            <w:pPr>
              <w:rPr>
                <w:rFonts w:ascii="Times New Roman" w:hAnsi="Times New Roman"/>
                <w:sz w:val="20"/>
                <w:szCs w:val="20"/>
              </w:rPr>
            </w:pPr>
          </w:p>
        </w:tc>
        <w:tc>
          <w:tcPr>
            <w:tcW w:w="50" w:type="pct"/>
            <w:shd w:val="clear" w:color="auto" w:fill="auto"/>
            <w:vAlign w:val="center"/>
          </w:tcPr>
          <w:p w14:paraId="42A1381D" w14:textId="77777777" w:rsidR="00BB68E1" w:rsidRDefault="00BB68E1">
            <w:pPr>
              <w:rPr>
                <w:rFonts w:ascii="Times New Roman" w:hAnsi="Times New Roman"/>
                <w:sz w:val="20"/>
                <w:szCs w:val="20"/>
              </w:rPr>
            </w:pPr>
          </w:p>
        </w:tc>
        <w:tc>
          <w:tcPr>
            <w:tcW w:w="450" w:type="pct"/>
            <w:shd w:val="clear" w:color="auto" w:fill="auto"/>
            <w:vAlign w:val="center"/>
          </w:tcPr>
          <w:p w14:paraId="42A1381E" w14:textId="77777777" w:rsidR="00BB68E1" w:rsidRDefault="00BB68E1">
            <w:pPr>
              <w:rPr>
                <w:rFonts w:ascii="Times New Roman" w:hAnsi="Times New Roman"/>
                <w:sz w:val="20"/>
                <w:szCs w:val="20"/>
              </w:rPr>
            </w:pPr>
          </w:p>
        </w:tc>
        <w:tc>
          <w:tcPr>
            <w:tcW w:w="50" w:type="pct"/>
            <w:shd w:val="clear" w:color="auto" w:fill="auto"/>
            <w:vAlign w:val="center"/>
          </w:tcPr>
          <w:p w14:paraId="42A1381F" w14:textId="77777777" w:rsidR="00BB68E1" w:rsidRDefault="00BB68E1">
            <w:pPr>
              <w:rPr>
                <w:rFonts w:ascii="Times New Roman" w:hAnsi="Times New Roman"/>
                <w:sz w:val="20"/>
                <w:szCs w:val="20"/>
              </w:rPr>
            </w:pPr>
          </w:p>
        </w:tc>
        <w:tc>
          <w:tcPr>
            <w:tcW w:w="50" w:type="pct"/>
            <w:shd w:val="clear" w:color="auto" w:fill="auto"/>
            <w:vAlign w:val="center"/>
          </w:tcPr>
          <w:p w14:paraId="42A13820" w14:textId="77777777" w:rsidR="00BB68E1" w:rsidRDefault="00BB68E1">
            <w:pPr>
              <w:rPr>
                <w:rFonts w:ascii="Times New Roman" w:hAnsi="Times New Roman"/>
                <w:sz w:val="20"/>
                <w:szCs w:val="20"/>
              </w:rPr>
            </w:pPr>
          </w:p>
        </w:tc>
        <w:tc>
          <w:tcPr>
            <w:tcW w:w="50" w:type="pct"/>
            <w:shd w:val="clear" w:color="auto" w:fill="auto"/>
            <w:vAlign w:val="center"/>
          </w:tcPr>
          <w:p w14:paraId="42A13821" w14:textId="77777777" w:rsidR="00BB68E1" w:rsidRDefault="00BB68E1">
            <w:pPr>
              <w:rPr>
                <w:rFonts w:ascii="Times New Roman" w:hAnsi="Times New Roman"/>
                <w:sz w:val="20"/>
                <w:szCs w:val="20"/>
              </w:rPr>
            </w:pPr>
          </w:p>
        </w:tc>
        <w:tc>
          <w:tcPr>
            <w:tcW w:w="450" w:type="pct"/>
            <w:shd w:val="clear" w:color="auto" w:fill="auto"/>
            <w:vAlign w:val="center"/>
          </w:tcPr>
          <w:p w14:paraId="42A13822" w14:textId="77777777" w:rsidR="00BB68E1" w:rsidRDefault="00BB68E1">
            <w:pPr>
              <w:rPr>
                <w:rFonts w:ascii="Times New Roman" w:hAnsi="Times New Roman"/>
                <w:sz w:val="20"/>
                <w:szCs w:val="20"/>
              </w:rPr>
            </w:pPr>
          </w:p>
        </w:tc>
        <w:tc>
          <w:tcPr>
            <w:tcW w:w="50" w:type="pct"/>
            <w:shd w:val="clear" w:color="auto" w:fill="auto"/>
            <w:vAlign w:val="center"/>
          </w:tcPr>
          <w:p w14:paraId="42A13823" w14:textId="77777777" w:rsidR="00BB68E1" w:rsidRDefault="00BB68E1">
            <w:pPr>
              <w:rPr>
                <w:rFonts w:ascii="Times New Roman" w:hAnsi="Times New Roman"/>
                <w:sz w:val="20"/>
                <w:szCs w:val="20"/>
              </w:rPr>
            </w:pPr>
          </w:p>
        </w:tc>
      </w:tr>
      <w:tr w:rsidR="00BB68E1" w14:paraId="42A13828" w14:textId="77777777">
        <w:tc>
          <w:tcPr>
            <w:tcW w:w="0" w:type="auto"/>
            <w:shd w:val="clear" w:color="auto" w:fill="auto"/>
            <w:tcMar>
              <w:top w:w="40" w:type="dxa"/>
              <w:left w:w="40" w:type="dxa"/>
              <w:bottom w:w="40" w:type="dxa"/>
              <w:right w:w="40" w:type="dxa"/>
            </w:tcMar>
            <w:vAlign w:val="bottom"/>
          </w:tcPr>
          <w:p w14:paraId="42A13825"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82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2A1382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January 31,</w:t>
            </w:r>
          </w:p>
        </w:tc>
      </w:tr>
      <w:tr w:rsidR="00BB68E1" w14:paraId="42A1382E" w14:textId="77777777">
        <w:tc>
          <w:tcPr>
            <w:tcW w:w="0" w:type="auto"/>
            <w:shd w:val="clear" w:color="auto" w:fill="auto"/>
            <w:tcMar>
              <w:top w:w="40" w:type="dxa"/>
              <w:left w:w="40" w:type="dxa"/>
              <w:bottom w:w="40" w:type="dxa"/>
              <w:right w:w="40" w:type="dxa"/>
            </w:tcMar>
            <w:vAlign w:val="bottom"/>
          </w:tcPr>
          <w:p w14:paraId="42A13829"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 xml:space="preserve">(Amounts in </w:t>
            </w:r>
            <w:r>
              <w:rPr>
                <w:rFonts w:ascii="Times New Roman" w:eastAsia="宋体" w:hAnsi="Times New Roman"/>
                <w:i/>
                <w:iCs/>
                <w:sz w:val="16"/>
                <w:szCs w:val="16"/>
              </w:rPr>
              <w:t>millions)</w:t>
            </w:r>
          </w:p>
        </w:tc>
        <w:tc>
          <w:tcPr>
            <w:tcW w:w="0" w:type="auto"/>
            <w:shd w:val="clear" w:color="auto" w:fill="auto"/>
            <w:tcMar>
              <w:top w:w="40" w:type="dxa"/>
              <w:left w:w="40" w:type="dxa"/>
              <w:bottom w:w="40" w:type="dxa"/>
              <w:right w:w="40" w:type="dxa"/>
            </w:tcMar>
            <w:vAlign w:val="bottom"/>
          </w:tcPr>
          <w:p w14:paraId="42A1382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82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382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82D"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BB68E1" w14:paraId="42A13834" w14:textId="77777777">
        <w:tc>
          <w:tcPr>
            <w:tcW w:w="0" w:type="auto"/>
            <w:shd w:val="clear" w:color="auto" w:fill="CCEEFF"/>
            <w:tcMar>
              <w:top w:w="40" w:type="dxa"/>
              <w:left w:w="40" w:type="dxa"/>
              <w:bottom w:w="40" w:type="dxa"/>
              <w:right w:w="40" w:type="dxa"/>
            </w:tcMar>
            <w:vAlign w:val="center"/>
          </w:tcPr>
          <w:p w14:paraId="42A1382F"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Balance Sheet classification</w:t>
            </w:r>
          </w:p>
        </w:tc>
        <w:tc>
          <w:tcPr>
            <w:tcW w:w="0" w:type="auto"/>
            <w:shd w:val="clear" w:color="auto" w:fill="CCEEFF"/>
            <w:tcMar>
              <w:top w:w="40" w:type="dxa"/>
              <w:left w:w="40" w:type="dxa"/>
              <w:bottom w:w="40" w:type="dxa"/>
              <w:right w:w="40" w:type="dxa"/>
            </w:tcMar>
            <w:vAlign w:val="bottom"/>
          </w:tcPr>
          <w:p w14:paraId="42A1383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42A1383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42A1383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42A1383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83A" w14:textId="77777777">
        <w:tc>
          <w:tcPr>
            <w:tcW w:w="0" w:type="auto"/>
            <w:shd w:val="clear" w:color="auto" w:fill="auto"/>
            <w:tcMar>
              <w:top w:w="40" w:type="dxa"/>
              <w:left w:w="40" w:type="dxa"/>
              <w:bottom w:w="40" w:type="dxa"/>
              <w:right w:w="40" w:type="dxa"/>
            </w:tcMar>
            <w:vAlign w:val="center"/>
          </w:tcPr>
          <w:p w14:paraId="42A13835"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Assets:</w:t>
            </w:r>
          </w:p>
        </w:tc>
        <w:tc>
          <w:tcPr>
            <w:tcW w:w="0" w:type="auto"/>
            <w:shd w:val="clear" w:color="auto" w:fill="auto"/>
            <w:tcMar>
              <w:top w:w="40" w:type="dxa"/>
              <w:left w:w="40" w:type="dxa"/>
              <w:bottom w:w="40" w:type="dxa"/>
              <w:right w:w="40" w:type="dxa"/>
            </w:tcMar>
            <w:vAlign w:val="bottom"/>
          </w:tcPr>
          <w:p w14:paraId="42A1383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83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83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83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844" w14:textId="77777777">
        <w:tc>
          <w:tcPr>
            <w:tcW w:w="0" w:type="auto"/>
            <w:shd w:val="clear" w:color="auto" w:fill="CCEEFF"/>
            <w:tcMar>
              <w:top w:w="40" w:type="dxa"/>
              <w:left w:w="40" w:type="dxa"/>
              <w:bottom w:w="40" w:type="dxa"/>
              <w:right w:w="40" w:type="dxa"/>
            </w:tcMar>
            <w:vAlign w:val="center"/>
          </w:tcPr>
          <w:p w14:paraId="42A1383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 long-term assets</w:t>
            </w:r>
          </w:p>
        </w:tc>
        <w:tc>
          <w:tcPr>
            <w:tcW w:w="0" w:type="auto"/>
            <w:shd w:val="clear" w:color="auto" w:fill="CCEEFF"/>
            <w:tcMar>
              <w:top w:w="40" w:type="dxa"/>
              <w:left w:w="40" w:type="dxa"/>
              <w:bottom w:w="40" w:type="dxa"/>
              <w:right w:w="40" w:type="dxa"/>
            </w:tcMar>
            <w:vAlign w:val="bottom"/>
          </w:tcPr>
          <w:p w14:paraId="42A138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83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83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1,914</w:t>
            </w:r>
          </w:p>
        </w:tc>
        <w:tc>
          <w:tcPr>
            <w:tcW w:w="0" w:type="auto"/>
            <w:shd w:val="clear" w:color="auto" w:fill="CCEEFF"/>
            <w:vAlign w:val="bottom"/>
          </w:tcPr>
          <w:p w14:paraId="42A1383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84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84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84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1,796</w:t>
            </w:r>
          </w:p>
        </w:tc>
        <w:tc>
          <w:tcPr>
            <w:tcW w:w="0" w:type="auto"/>
            <w:shd w:val="clear" w:color="auto" w:fill="CCEEFF"/>
            <w:vAlign w:val="bottom"/>
          </w:tcPr>
          <w:p w14:paraId="42A13843" w14:textId="77777777" w:rsidR="00BB68E1" w:rsidRDefault="00BB68E1">
            <w:pPr>
              <w:textAlignment w:val="bottom"/>
              <w:rPr>
                <w:rFonts w:ascii="Times New Roman" w:hAnsi="Times New Roman"/>
                <w:sz w:val="20"/>
                <w:szCs w:val="20"/>
              </w:rPr>
            </w:pPr>
          </w:p>
        </w:tc>
      </w:tr>
      <w:tr w:rsidR="00BB68E1" w14:paraId="42A1384B" w14:textId="77777777">
        <w:tc>
          <w:tcPr>
            <w:tcW w:w="0" w:type="auto"/>
            <w:shd w:val="clear" w:color="auto" w:fill="auto"/>
            <w:tcMar>
              <w:top w:w="40" w:type="dxa"/>
              <w:left w:w="40" w:type="dxa"/>
              <w:bottom w:w="40" w:type="dxa"/>
              <w:right w:w="40" w:type="dxa"/>
            </w:tcMar>
            <w:vAlign w:val="bottom"/>
          </w:tcPr>
          <w:p w14:paraId="42A1384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84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center"/>
          </w:tcPr>
          <w:p w14:paraId="42A13847" w14:textId="77777777" w:rsidR="00BB68E1" w:rsidRDefault="00BB68E1">
            <w:pPr>
              <w:textAlignment w:val="center"/>
              <w:rPr>
                <w:rFonts w:ascii="Times New Roman" w:hAnsi="Times New Roman"/>
                <w:sz w:val="16"/>
                <w:szCs w:val="16"/>
              </w:rPr>
            </w:pPr>
          </w:p>
        </w:tc>
        <w:tc>
          <w:tcPr>
            <w:tcW w:w="0" w:type="auto"/>
            <w:shd w:val="clear" w:color="auto" w:fill="auto"/>
            <w:tcMar>
              <w:top w:w="40" w:type="dxa"/>
              <w:left w:w="40" w:type="dxa"/>
              <w:bottom w:w="40" w:type="dxa"/>
              <w:right w:w="40" w:type="dxa"/>
            </w:tcMar>
            <w:vAlign w:val="bottom"/>
          </w:tcPr>
          <w:p w14:paraId="42A1384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849"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84A" w14:textId="77777777" w:rsidR="00BB68E1" w:rsidRDefault="00BB68E1">
            <w:pPr>
              <w:textAlignment w:val="bottom"/>
              <w:rPr>
                <w:rFonts w:ascii="Times New Roman" w:hAnsi="Times New Roman"/>
                <w:sz w:val="20"/>
                <w:szCs w:val="20"/>
              </w:rPr>
            </w:pPr>
          </w:p>
        </w:tc>
      </w:tr>
      <w:tr w:rsidR="00BB68E1" w14:paraId="42A13851" w14:textId="77777777">
        <w:tc>
          <w:tcPr>
            <w:tcW w:w="0" w:type="auto"/>
            <w:shd w:val="clear" w:color="auto" w:fill="CCEEFF"/>
            <w:tcMar>
              <w:top w:w="40" w:type="dxa"/>
              <w:left w:w="40" w:type="dxa"/>
              <w:bottom w:w="40" w:type="dxa"/>
              <w:right w:w="40" w:type="dxa"/>
            </w:tcMar>
            <w:vAlign w:val="center"/>
          </w:tcPr>
          <w:p w14:paraId="42A1384C"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Liabilities:</w:t>
            </w:r>
          </w:p>
        </w:tc>
        <w:tc>
          <w:tcPr>
            <w:tcW w:w="0" w:type="auto"/>
            <w:shd w:val="clear" w:color="auto" w:fill="CCEEFF"/>
            <w:tcMar>
              <w:top w:w="40" w:type="dxa"/>
              <w:left w:w="40" w:type="dxa"/>
              <w:bottom w:w="40" w:type="dxa"/>
              <w:right w:w="40" w:type="dxa"/>
            </w:tcMar>
            <w:vAlign w:val="bottom"/>
          </w:tcPr>
          <w:p w14:paraId="42A138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center"/>
          </w:tcPr>
          <w:p w14:paraId="42A1384E" w14:textId="77777777" w:rsidR="00BB68E1" w:rsidRDefault="00BB68E1">
            <w:pPr>
              <w:textAlignment w:val="center"/>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42A1384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center"/>
          </w:tcPr>
          <w:p w14:paraId="42A13850" w14:textId="77777777" w:rsidR="00BB68E1" w:rsidRDefault="00BB68E1">
            <w:pPr>
              <w:textAlignment w:val="center"/>
              <w:rPr>
                <w:rFonts w:ascii="Times New Roman" w:hAnsi="Times New Roman"/>
                <w:sz w:val="16"/>
                <w:szCs w:val="16"/>
              </w:rPr>
            </w:pPr>
          </w:p>
        </w:tc>
      </w:tr>
      <w:tr w:rsidR="00BB68E1" w14:paraId="42A13859" w14:textId="77777777">
        <w:tc>
          <w:tcPr>
            <w:tcW w:w="0" w:type="auto"/>
            <w:shd w:val="clear" w:color="auto" w:fill="auto"/>
            <w:tcMar>
              <w:top w:w="40" w:type="dxa"/>
              <w:left w:w="40" w:type="dxa"/>
              <w:bottom w:w="40" w:type="dxa"/>
              <w:right w:w="40" w:type="dxa"/>
            </w:tcMar>
            <w:vAlign w:val="center"/>
          </w:tcPr>
          <w:p w14:paraId="42A1385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Deferred income taxes and other</w:t>
            </w:r>
          </w:p>
        </w:tc>
        <w:tc>
          <w:tcPr>
            <w:tcW w:w="0" w:type="auto"/>
            <w:shd w:val="clear" w:color="auto" w:fill="auto"/>
            <w:tcMar>
              <w:top w:w="40" w:type="dxa"/>
              <w:left w:w="40" w:type="dxa"/>
              <w:bottom w:w="40" w:type="dxa"/>
              <w:right w:w="40" w:type="dxa"/>
            </w:tcMar>
            <w:vAlign w:val="bottom"/>
          </w:tcPr>
          <w:p w14:paraId="42A1385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85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6,204</w:t>
            </w:r>
          </w:p>
        </w:tc>
        <w:tc>
          <w:tcPr>
            <w:tcW w:w="0" w:type="auto"/>
            <w:shd w:val="clear" w:color="auto" w:fill="auto"/>
            <w:vAlign w:val="bottom"/>
          </w:tcPr>
          <w:p w14:paraId="42A1385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85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85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6,296</w:t>
            </w:r>
          </w:p>
        </w:tc>
        <w:tc>
          <w:tcPr>
            <w:tcW w:w="0" w:type="auto"/>
            <w:shd w:val="clear" w:color="auto" w:fill="auto"/>
            <w:vAlign w:val="bottom"/>
          </w:tcPr>
          <w:p w14:paraId="42A13858" w14:textId="77777777" w:rsidR="00BB68E1" w:rsidRDefault="00BB68E1">
            <w:pPr>
              <w:textAlignment w:val="bottom"/>
              <w:rPr>
                <w:rFonts w:ascii="Times New Roman" w:hAnsi="Times New Roman"/>
                <w:sz w:val="20"/>
                <w:szCs w:val="20"/>
              </w:rPr>
            </w:pPr>
          </w:p>
        </w:tc>
      </w:tr>
      <w:tr w:rsidR="00BB68E1" w14:paraId="42A13861" w14:textId="77777777">
        <w:tc>
          <w:tcPr>
            <w:tcW w:w="0" w:type="auto"/>
            <w:shd w:val="clear" w:color="auto" w:fill="CCEEFF"/>
            <w:tcMar>
              <w:top w:w="40" w:type="dxa"/>
              <w:left w:w="40" w:type="dxa"/>
              <w:bottom w:w="40" w:type="dxa"/>
              <w:right w:w="40" w:type="dxa"/>
            </w:tcMar>
            <w:vAlign w:val="bottom"/>
          </w:tcPr>
          <w:p w14:paraId="42A1385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85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85C" w14:textId="77777777" w:rsidR="00BB68E1" w:rsidRDefault="00BB68E1">
            <w:pPr>
              <w:jc w:val="right"/>
              <w:textAlignment w:val="center"/>
              <w:rPr>
                <w:rFonts w:ascii="Times New Roman" w:hAnsi="Times New Roman"/>
                <w:sz w:val="16"/>
                <w:szCs w:val="16"/>
              </w:rPr>
            </w:pPr>
          </w:p>
        </w:tc>
        <w:tc>
          <w:tcPr>
            <w:tcW w:w="0" w:type="auto"/>
            <w:tcBorders>
              <w:bottom w:val="single" w:sz="8" w:space="0" w:color="000000"/>
            </w:tcBorders>
            <w:shd w:val="clear" w:color="auto" w:fill="CCEEFF"/>
            <w:vAlign w:val="bottom"/>
          </w:tcPr>
          <w:p w14:paraId="42A1385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85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85F" w14:textId="77777777" w:rsidR="00BB68E1" w:rsidRDefault="00BB68E1">
            <w:pPr>
              <w:jc w:val="right"/>
              <w:textAlignment w:val="center"/>
              <w:rPr>
                <w:rFonts w:ascii="Times New Roman" w:hAnsi="Times New Roman"/>
                <w:sz w:val="16"/>
                <w:szCs w:val="16"/>
              </w:rPr>
            </w:pPr>
          </w:p>
        </w:tc>
        <w:tc>
          <w:tcPr>
            <w:tcW w:w="0" w:type="auto"/>
            <w:tcBorders>
              <w:bottom w:val="single" w:sz="8" w:space="0" w:color="000000"/>
            </w:tcBorders>
            <w:shd w:val="clear" w:color="auto" w:fill="CCEEFF"/>
            <w:vAlign w:val="bottom"/>
          </w:tcPr>
          <w:p w14:paraId="42A13860" w14:textId="77777777" w:rsidR="00BB68E1" w:rsidRDefault="00BB68E1">
            <w:pPr>
              <w:textAlignment w:val="bottom"/>
              <w:rPr>
                <w:rFonts w:ascii="Times New Roman" w:hAnsi="Times New Roman"/>
                <w:sz w:val="20"/>
                <w:szCs w:val="20"/>
              </w:rPr>
            </w:pPr>
          </w:p>
        </w:tc>
      </w:tr>
      <w:tr w:rsidR="00BB68E1" w14:paraId="42A1386B" w14:textId="77777777">
        <w:tc>
          <w:tcPr>
            <w:tcW w:w="0" w:type="auto"/>
            <w:shd w:val="clear" w:color="auto" w:fill="auto"/>
            <w:tcMar>
              <w:top w:w="40" w:type="dxa"/>
              <w:left w:w="40" w:type="dxa"/>
              <w:bottom w:w="40" w:type="dxa"/>
              <w:right w:w="40" w:type="dxa"/>
            </w:tcMar>
            <w:vAlign w:val="center"/>
          </w:tcPr>
          <w:p w14:paraId="42A13862"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 xml:space="preserve">Net deferred tax </w:t>
            </w:r>
            <w:r>
              <w:rPr>
                <w:rFonts w:ascii="Times New Roman" w:eastAsia="宋体" w:hAnsi="Times New Roman"/>
                <w:b/>
                <w:bCs/>
                <w:sz w:val="16"/>
                <w:szCs w:val="16"/>
              </w:rPr>
              <w:t>liabilities</w:t>
            </w:r>
          </w:p>
        </w:tc>
        <w:tc>
          <w:tcPr>
            <w:tcW w:w="0" w:type="auto"/>
            <w:shd w:val="clear" w:color="auto" w:fill="auto"/>
            <w:tcMar>
              <w:top w:w="40" w:type="dxa"/>
              <w:left w:w="40" w:type="dxa"/>
              <w:bottom w:w="40" w:type="dxa"/>
              <w:right w:w="40" w:type="dxa"/>
            </w:tcMar>
            <w:vAlign w:val="bottom"/>
          </w:tcPr>
          <w:p w14:paraId="42A1386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386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2A1386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4,290</w:t>
            </w:r>
          </w:p>
        </w:tc>
        <w:tc>
          <w:tcPr>
            <w:tcW w:w="0" w:type="auto"/>
            <w:tcBorders>
              <w:bottom w:val="double" w:sz="6" w:space="0" w:color="000000"/>
            </w:tcBorders>
            <w:shd w:val="clear" w:color="auto" w:fill="auto"/>
            <w:vAlign w:val="bottom"/>
          </w:tcPr>
          <w:p w14:paraId="42A1386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86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2A1386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2A1386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4,500</w:t>
            </w:r>
          </w:p>
        </w:tc>
        <w:tc>
          <w:tcPr>
            <w:tcW w:w="0" w:type="auto"/>
            <w:tcBorders>
              <w:bottom w:val="double" w:sz="6" w:space="0" w:color="000000"/>
            </w:tcBorders>
            <w:shd w:val="clear" w:color="auto" w:fill="auto"/>
            <w:vAlign w:val="bottom"/>
          </w:tcPr>
          <w:p w14:paraId="42A1386A" w14:textId="77777777" w:rsidR="00BB68E1" w:rsidRDefault="00BB68E1">
            <w:pPr>
              <w:textAlignment w:val="bottom"/>
              <w:rPr>
                <w:rFonts w:ascii="Times New Roman" w:hAnsi="Times New Roman"/>
                <w:sz w:val="20"/>
                <w:szCs w:val="20"/>
              </w:rPr>
            </w:pPr>
          </w:p>
        </w:tc>
      </w:tr>
    </w:tbl>
    <w:p w14:paraId="42A1386C" w14:textId="77777777" w:rsidR="00BB68E1" w:rsidRDefault="00BB68E1">
      <w:pPr>
        <w:spacing w:line="288" w:lineRule="auto"/>
        <w:rPr>
          <w:rFonts w:ascii="Times New Roman" w:hAnsi="Times New Roman"/>
          <w:sz w:val="20"/>
          <w:szCs w:val="20"/>
        </w:rPr>
      </w:pPr>
    </w:p>
    <w:p w14:paraId="42A1386D" w14:textId="77777777" w:rsidR="00BB68E1" w:rsidRDefault="00BB68E1">
      <w:pPr>
        <w:rPr>
          <w:rFonts w:ascii="Times New Roman" w:hAnsi="Times New Roman"/>
          <w:sz w:val="20"/>
          <w:szCs w:val="20"/>
        </w:rPr>
      </w:pPr>
    </w:p>
    <w:p w14:paraId="42A1386E"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70</w:t>
      </w:r>
    </w:p>
    <w:p w14:paraId="42A1386F" w14:textId="77777777" w:rsidR="00BB68E1" w:rsidRDefault="00BB68E1">
      <w:pPr>
        <w:spacing w:line="288" w:lineRule="auto"/>
        <w:jc w:val="center"/>
        <w:rPr>
          <w:rFonts w:ascii="Times New Roman" w:hAnsi="Times New Roman"/>
          <w:sz w:val="20"/>
          <w:szCs w:val="20"/>
        </w:rPr>
      </w:pPr>
    </w:p>
    <w:p w14:paraId="42A13870" w14:textId="77777777" w:rsidR="00BB68E1" w:rsidRDefault="005D2D5E">
      <w:r>
        <w:rPr>
          <w:rFonts w:ascii="Times New Roman" w:hAnsi="Times New Roman"/>
          <w:sz w:val="20"/>
          <w:szCs w:val="20"/>
        </w:rPr>
        <w:pict w14:anchorId="42A142BD">
          <v:rect id="_x0000_i1094" style="width:415.3pt;height:1.5pt" o:hralign="center" o:hrstd="t" o:hr="t" fillcolor="#a0a0a0" stroked="f"/>
        </w:pict>
      </w:r>
    </w:p>
    <w:p w14:paraId="42A13871" w14:textId="77777777" w:rsidR="00BB68E1" w:rsidRDefault="00BB68E1">
      <w:pPr>
        <w:spacing w:line="288" w:lineRule="auto"/>
        <w:rPr>
          <w:rFonts w:ascii="Times New Roman" w:hAnsi="Times New Roman"/>
          <w:sz w:val="20"/>
          <w:szCs w:val="20"/>
        </w:rPr>
      </w:pPr>
    </w:p>
    <w:p w14:paraId="42A13872" w14:textId="77777777" w:rsidR="00BB68E1" w:rsidRDefault="00BB68E1">
      <w:pPr>
        <w:rPr>
          <w:rFonts w:ascii="Times New Roman" w:hAnsi="Times New Roman"/>
          <w:sz w:val="20"/>
          <w:szCs w:val="20"/>
        </w:rPr>
      </w:pPr>
    </w:p>
    <w:p w14:paraId="42A13873"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Unremitted Earnings</w:t>
      </w:r>
    </w:p>
    <w:p w14:paraId="42A1387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Prior to the Tax Act, the Company asserted that all unremitted earnings of its foreign subsidiaries were considered indefinitely reinvested. As a result of the Tax Act, the Company </w:t>
      </w:r>
      <w:r>
        <w:rPr>
          <w:rFonts w:ascii="Times New Roman" w:eastAsia="宋体" w:hAnsi="Times New Roman"/>
          <w:sz w:val="20"/>
          <w:szCs w:val="20"/>
        </w:rPr>
        <w:t>reported and paid U.S. tax on the majority of its previously unremitted foreign earnings and repatriations of foreign earnings will generally be free of U.S. federal tax, but may incur other taxes such as withholding or state taxes.  As of January 31, 2020</w:t>
      </w:r>
      <w:r>
        <w:rPr>
          <w:rFonts w:ascii="Times New Roman" w:eastAsia="宋体" w:hAnsi="Times New Roman"/>
          <w:sz w:val="20"/>
          <w:szCs w:val="20"/>
        </w:rPr>
        <w:t>, the Company has not recorded approximately $3 billion of deferred tax liabilities associated with remaining unremitted foreign earnings considered indefinitely reinvested, for which U.S. and foreign income and withholding taxes would be due upon repatria</w:t>
      </w:r>
      <w:r>
        <w:rPr>
          <w:rFonts w:ascii="Times New Roman" w:eastAsia="宋体" w:hAnsi="Times New Roman"/>
          <w:sz w:val="20"/>
          <w:szCs w:val="20"/>
        </w:rPr>
        <w:t>tion.</w:t>
      </w:r>
    </w:p>
    <w:p w14:paraId="42A13875"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Net Operating Losses, Tax Credit Carryforwards and Valuation Allowances</w:t>
      </w:r>
    </w:p>
    <w:p w14:paraId="42A1387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As of January 31, 2020, the Company's net operating loss and capital loss carryforwards totaled approximately $37.8 billion. Of these carryforwards, approximately $25.2 billion w</w:t>
      </w:r>
      <w:r>
        <w:rPr>
          <w:rFonts w:ascii="Times New Roman" w:eastAsia="宋体" w:hAnsi="Times New Roman"/>
          <w:sz w:val="20"/>
          <w:szCs w:val="20"/>
        </w:rPr>
        <w:t xml:space="preserve">ill expire, if not utilized, in various years through 2040. The remaining carryforwards have no expiration. </w:t>
      </w:r>
    </w:p>
    <w:p w14:paraId="42A1387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recoverability of these future tax deductions and credits is evaluated by assessing the adequacy of future expected taxable income from all sou</w:t>
      </w:r>
      <w:r>
        <w:rPr>
          <w:rFonts w:ascii="Times New Roman" w:eastAsia="宋体" w:hAnsi="Times New Roman"/>
          <w:sz w:val="20"/>
          <w:szCs w:val="20"/>
        </w:rPr>
        <w:t>rces, including taxable income in prior carryback years, reversal of taxable temporary differences, forecasted operating earnings and available tax planning strategies. To the extent the Company does not consider it more likely than not that a deferred tax</w:t>
      </w:r>
      <w:r>
        <w:rPr>
          <w:rFonts w:ascii="Times New Roman" w:eastAsia="宋体" w:hAnsi="Times New Roman"/>
          <w:sz w:val="20"/>
          <w:szCs w:val="20"/>
        </w:rPr>
        <w:t xml:space="preserve"> asset will be recovered, a valuation allowance is generally established. To the extent that a valuation allowance was established and it is subsequently determined that it is more likely than not that the deferred tax assets will be recovered, the change </w:t>
      </w:r>
      <w:r>
        <w:rPr>
          <w:rFonts w:ascii="Times New Roman" w:eastAsia="宋体" w:hAnsi="Times New Roman"/>
          <w:sz w:val="20"/>
          <w:szCs w:val="20"/>
        </w:rPr>
        <w:t>in the valuation allowance is recognized in the consolidated statements of income.</w:t>
      </w:r>
    </w:p>
    <w:p w14:paraId="42A1387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had valuation allowances of $8.6 billion and $2.4 billion as of January 31, 2020 and 2019, respectively, on deferred tax assets associated primarily with net ope</w:t>
      </w:r>
      <w:r>
        <w:rPr>
          <w:rFonts w:ascii="Times New Roman" w:eastAsia="宋体" w:hAnsi="Times New Roman"/>
          <w:sz w:val="20"/>
          <w:szCs w:val="20"/>
        </w:rPr>
        <w:t xml:space="preserve">rating loss carryforwards for which management has determined it is more likely than not that the deferred tax assets will not be realized. Due to tax law changes in Luxembourg enacted in December 2019 the Company recognized </w:t>
      </w:r>
      <w:r>
        <w:rPr>
          <w:rFonts w:ascii="Times New Roman" w:eastAsia="宋体" w:hAnsi="Times New Roman"/>
          <w:sz w:val="20"/>
          <w:szCs w:val="20"/>
        </w:rPr>
        <w:lastRenderedPageBreak/>
        <w:t>additional deferred tax assets,</w:t>
      </w:r>
      <w:r>
        <w:rPr>
          <w:rFonts w:ascii="Times New Roman" w:eastAsia="宋体" w:hAnsi="Times New Roman"/>
          <w:sz w:val="20"/>
          <w:szCs w:val="20"/>
        </w:rPr>
        <w:t xml:space="preserve"> and related valuation allowances, of $6.2 billion associated with existing net operating loss carryforwards. Other activity in the valuation allowance during fiscal 2020 related to valuation allowance increases in other markets, as well as releases due to</w:t>
      </w:r>
      <w:r>
        <w:rPr>
          <w:rFonts w:ascii="Times New Roman" w:eastAsia="宋体" w:hAnsi="Times New Roman"/>
          <w:sz w:val="20"/>
          <w:szCs w:val="20"/>
        </w:rPr>
        <w:t xml:space="preserve"> the expiration of underlying deferred tax assets. </w:t>
      </w:r>
    </w:p>
    <w:p w14:paraId="42A13879"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Uncertain Tax Positions</w:t>
      </w:r>
    </w:p>
    <w:p w14:paraId="42A1387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benefits of uncertain tax positions are recorded in the Company's Consolidated Financial Statements only after determining a more-likely-than-not probability that the uncertain</w:t>
      </w:r>
      <w:r>
        <w:rPr>
          <w:rFonts w:ascii="Times New Roman" w:eastAsia="宋体" w:hAnsi="Times New Roman"/>
          <w:sz w:val="20"/>
          <w:szCs w:val="20"/>
        </w:rPr>
        <w:t xml:space="preserve"> tax positions will withstand challenge, if any, from taxing authorities.</w:t>
      </w:r>
    </w:p>
    <w:p w14:paraId="42A1387B"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As of January 31, 2020 and 2019, the amount of unrecognized tax benefits related to continuing operations was $1.8 billion and $1.3 billion, respectively. The amount of unrecognized </w:t>
      </w:r>
      <w:r>
        <w:rPr>
          <w:rFonts w:ascii="Times New Roman" w:eastAsia="宋体" w:hAnsi="Times New Roman"/>
          <w:sz w:val="20"/>
          <w:szCs w:val="20"/>
        </w:rPr>
        <w:t>tax benefits that would affect the Company's effective income tax rate was $1.6 billion and $1.1 billion as of January 31, 2020 and 2019, respectively.</w:t>
      </w:r>
    </w:p>
    <w:p w14:paraId="42A1387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 reconciliation of unrecognized tax benefits from continuing operations is as follows:</w:t>
      </w:r>
    </w:p>
    <w:tbl>
      <w:tblPr>
        <w:tblW w:w="5000" w:type="pct"/>
        <w:tblCellMar>
          <w:left w:w="0" w:type="dxa"/>
          <w:right w:w="0" w:type="dxa"/>
        </w:tblCellMar>
        <w:tblLook w:val="04A0" w:firstRow="1" w:lastRow="0" w:firstColumn="1" w:lastColumn="0" w:noHBand="0" w:noVBand="1"/>
      </w:tblPr>
      <w:tblGrid>
        <w:gridCol w:w="5743"/>
        <w:gridCol w:w="130"/>
        <w:gridCol w:w="120"/>
        <w:gridCol w:w="510"/>
        <w:gridCol w:w="94"/>
        <w:gridCol w:w="130"/>
        <w:gridCol w:w="120"/>
        <w:gridCol w:w="510"/>
        <w:gridCol w:w="94"/>
        <w:gridCol w:w="130"/>
        <w:gridCol w:w="120"/>
        <w:gridCol w:w="511"/>
        <w:gridCol w:w="94"/>
      </w:tblGrid>
      <w:tr w:rsidR="00BB68E1" w14:paraId="42A1387E" w14:textId="77777777">
        <w:tc>
          <w:tcPr>
            <w:tcW w:w="0" w:type="auto"/>
            <w:gridSpan w:val="13"/>
            <w:shd w:val="clear" w:color="auto" w:fill="auto"/>
            <w:vAlign w:val="center"/>
          </w:tcPr>
          <w:p w14:paraId="42A1387D" w14:textId="77777777" w:rsidR="00BB68E1" w:rsidRDefault="00BB68E1">
            <w:pPr>
              <w:rPr>
                <w:rFonts w:ascii="Times New Roman" w:hAnsi="Times New Roman"/>
                <w:sz w:val="20"/>
                <w:szCs w:val="20"/>
              </w:rPr>
            </w:pPr>
          </w:p>
        </w:tc>
      </w:tr>
      <w:tr w:rsidR="00BB68E1" w14:paraId="42A1388C" w14:textId="77777777">
        <w:tc>
          <w:tcPr>
            <w:tcW w:w="3500" w:type="pct"/>
            <w:shd w:val="clear" w:color="auto" w:fill="auto"/>
            <w:vAlign w:val="center"/>
          </w:tcPr>
          <w:p w14:paraId="42A1387F" w14:textId="77777777" w:rsidR="00BB68E1" w:rsidRDefault="00BB68E1">
            <w:pPr>
              <w:rPr>
                <w:rFonts w:ascii="Times New Roman" w:hAnsi="Times New Roman"/>
                <w:sz w:val="20"/>
                <w:szCs w:val="20"/>
              </w:rPr>
            </w:pPr>
          </w:p>
        </w:tc>
        <w:tc>
          <w:tcPr>
            <w:tcW w:w="50" w:type="pct"/>
            <w:shd w:val="clear" w:color="auto" w:fill="auto"/>
            <w:vAlign w:val="center"/>
          </w:tcPr>
          <w:p w14:paraId="42A13880" w14:textId="77777777" w:rsidR="00BB68E1" w:rsidRDefault="00BB68E1">
            <w:pPr>
              <w:rPr>
                <w:rFonts w:ascii="Times New Roman" w:hAnsi="Times New Roman"/>
                <w:sz w:val="20"/>
                <w:szCs w:val="20"/>
              </w:rPr>
            </w:pPr>
          </w:p>
        </w:tc>
        <w:tc>
          <w:tcPr>
            <w:tcW w:w="50" w:type="pct"/>
            <w:shd w:val="clear" w:color="auto" w:fill="auto"/>
            <w:vAlign w:val="center"/>
          </w:tcPr>
          <w:p w14:paraId="42A13881" w14:textId="77777777" w:rsidR="00BB68E1" w:rsidRDefault="00BB68E1">
            <w:pPr>
              <w:rPr>
                <w:rFonts w:ascii="Times New Roman" w:hAnsi="Times New Roman"/>
                <w:sz w:val="20"/>
                <w:szCs w:val="20"/>
              </w:rPr>
            </w:pPr>
          </w:p>
        </w:tc>
        <w:tc>
          <w:tcPr>
            <w:tcW w:w="350" w:type="pct"/>
            <w:shd w:val="clear" w:color="auto" w:fill="auto"/>
            <w:vAlign w:val="center"/>
          </w:tcPr>
          <w:p w14:paraId="42A13882" w14:textId="77777777" w:rsidR="00BB68E1" w:rsidRDefault="00BB68E1">
            <w:pPr>
              <w:rPr>
                <w:rFonts w:ascii="Times New Roman" w:hAnsi="Times New Roman"/>
                <w:sz w:val="20"/>
                <w:szCs w:val="20"/>
              </w:rPr>
            </w:pPr>
          </w:p>
        </w:tc>
        <w:tc>
          <w:tcPr>
            <w:tcW w:w="50" w:type="pct"/>
            <w:shd w:val="clear" w:color="auto" w:fill="auto"/>
            <w:vAlign w:val="center"/>
          </w:tcPr>
          <w:p w14:paraId="42A13883" w14:textId="77777777" w:rsidR="00BB68E1" w:rsidRDefault="00BB68E1">
            <w:pPr>
              <w:rPr>
                <w:rFonts w:ascii="Times New Roman" w:hAnsi="Times New Roman"/>
                <w:sz w:val="20"/>
                <w:szCs w:val="20"/>
              </w:rPr>
            </w:pPr>
          </w:p>
        </w:tc>
        <w:tc>
          <w:tcPr>
            <w:tcW w:w="50" w:type="pct"/>
            <w:shd w:val="clear" w:color="auto" w:fill="auto"/>
            <w:vAlign w:val="center"/>
          </w:tcPr>
          <w:p w14:paraId="42A13884" w14:textId="77777777" w:rsidR="00BB68E1" w:rsidRDefault="00BB68E1">
            <w:pPr>
              <w:rPr>
                <w:rFonts w:ascii="Times New Roman" w:hAnsi="Times New Roman"/>
                <w:sz w:val="20"/>
                <w:szCs w:val="20"/>
              </w:rPr>
            </w:pPr>
          </w:p>
        </w:tc>
        <w:tc>
          <w:tcPr>
            <w:tcW w:w="50" w:type="pct"/>
            <w:shd w:val="clear" w:color="auto" w:fill="auto"/>
            <w:vAlign w:val="center"/>
          </w:tcPr>
          <w:p w14:paraId="42A13885" w14:textId="77777777" w:rsidR="00BB68E1" w:rsidRDefault="00BB68E1">
            <w:pPr>
              <w:rPr>
                <w:rFonts w:ascii="Times New Roman" w:hAnsi="Times New Roman"/>
                <w:sz w:val="20"/>
                <w:szCs w:val="20"/>
              </w:rPr>
            </w:pPr>
          </w:p>
        </w:tc>
        <w:tc>
          <w:tcPr>
            <w:tcW w:w="350" w:type="pct"/>
            <w:shd w:val="clear" w:color="auto" w:fill="auto"/>
            <w:vAlign w:val="center"/>
          </w:tcPr>
          <w:p w14:paraId="42A13886" w14:textId="77777777" w:rsidR="00BB68E1" w:rsidRDefault="00BB68E1">
            <w:pPr>
              <w:rPr>
                <w:rFonts w:ascii="Times New Roman" w:hAnsi="Times New Roman"/>
                <w:sz w:val="20"/>
                <w:szCs w:val="20"/>
              </w:rPr>
            </w:pPr>
          </w:p>
        </w:tc>
        <w:tc>
          <w:tcPr>
            <w:tcW w:w="50" w:type="pct"/>
            <w:shd w:val="clear" w:color="auto" w:fill="auto"/>
            <w:vAlign w:val="center"/>
          </w:tcPr>
          <w:p w14:paraId="42A13887" w14:textId="77777777" w:rsidR="00BB68E1" w:rsidRDefault="00BB68E1">
            <w:pPr>
              <w:rPr>
                <w:rFonts w:ascii="Times New Roman" w:hAnsi="Times New Roman"/>
                <w:sz w:val="20"/>
                <w:szCs w:val="20"/>
              </w:rPr>
            </w:pPr>
          </w:p>
        </w:tc>
        <w:tc>
          <w:tcPr>
            <w:tcW w:w="50" w:type="pct"/>
            <w:shd w:val="clear" w:color="auto" w:fill="auto"/>
            <w:vAlign w:val="center"/>
          </w:tcPr>
          <w:p w14:paraId="42A13888" w14:textId="77777777" w:rsidR="00BB68E1" w:rsidRDefault="00BB68E1">
            <w:pPr>
              <w:rPr>
                <w:rFonts w:ascii="Times New Roman" w:hAnsi="Times New Roman"/>
                <w:sz w:val="20"/>
                <w:szCs w:val="20"/>
              </w:rPr>
            </w:pPr>
          </w:p>
        </w:tc>
        <w:tc>
          <w:tcPr>
            <w:tcW w:w="50" w:type="pct"/>
            <w:shd w:val="clear" w:color="auto" w:fill="auto"/>
            <w:vAlign w:val="center"/>
          </w:tcPr>
          <w:p w14:paraId="42A13889" w14:textId="77777777" w:rsidR="00BB68E1" w:rsidRDefault="00BB68E1">
            <w:pPr>
              <w:rPr>
                <w:rFonts w:ascii="Times New Roman" w:hAnsi="Times New Roman"/>
                <w:sz w:val="20"/>
                <w:szCs w:val="20"/>
              </w:rPr>
            </w:pPr>
          </w:p>
        </w:tc>
        <w:tc>
          <w:tcPr>
            <w:tcW w:w="350" w:type="pct"/>
            <w:shd w:val="clear" w:color="auto" w:fill="auto"/>
            <w:vAlign w:val="center"/>
          </w:tcPr>
          <w:p w14:paraId="42A1388A" w14:textId="77777777" w:rsidR="00BB68E1" w:rsidRDefault="00BB68E1">
            <w:pPr>
              <w:rPr>
                <w:rFonts w:ascii="Times New Roman" w:hAnsi="Times New Roman"/>
                <w:sz w:val="20"/>
                <w:szCs w:val="20"/>
              </w:rPr>
            </w:pPr>
          </w:p>
        </w:tc>
        <w:tc>
          <w:tcPr>
            <w:tcW w:w="50" w:type="pct"/>
            <w:shd w:val="clear" w:color="auto" w:fill="auto"/>
            <w:vAlign w:val="center"/>
          </w:tcPr>
          <w:p w14:paraId="42A1388B" w14:textId="77777777" w:rsidR="00BB68E1" w:rsidRDefault="00BB68E1">
            <w:pPr>
              <w:rPr>
                <w:rFonts w:ascii="Times New Roman" w:hAnsi="Times New Roman"/>
                <w:sz w:val="20"/>
                <w:szCs w:val="20"/>
              </w:rPr>
            </w:pPr>
          </w:p>
        </w:tc>
      </w:tr>
      <w:tr w:rsidR="00BB68E1" w14:paraId="42A13890" w14:textId="77777777">
        <w:tc>
          <w:tcPr>
            <w:tcW w:w="0" w:type="auto"/>
            <w:shd w:val="clear" w:color="auto" w:fill="auto"/>
            <w:tcMar>
              <w:top w:w="40" w:type="dxa"/>
              <w:left w:w="40" w:type="dxa"/>
              <w:bottom w:w="40" w:type="dxa"/>
              <w:right w:w="40" w:type="dxa"/>
            </w:tcMar>
            <w:vAlign w:val="bottom"/>
          </w:tcPr>
          <w:p w14:paraId="42A1388D"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88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388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3898" w14:textId="77777777">
        <w:tc>
          <w:tcPr>
            <w:tcW w:w="0" w:type="auto"/>
            <w:shd w:val="clear" w:color="auto" w:fill="auto"/>
            <w:tcMar>
              <w:top w:w="40" w:type="dxa"/>
              <w:left w:w="40" w:type="dxa"/>
              <w:bottom w:w="40" w:type="dxa"/>
              <w:right w:w="40" w:type="dxa"/>
            </w:tcMar>
            <w:vAlign w:val="bottom"/>
          </w:tcPr>
          <w:p w14:paraId="42A13891"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389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89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389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895"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389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89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38A6" w14:textId="77777777">
        <w:tc>
          <w:tcPr>
            <w:tcW w:w="0" w:type="auto"/>
            <w:shd w:val="clear" w:color="auto" w:fill="CCEEFF"/>
            <w:tcMar>
              <w:top w:w="40" w:type="dxa"/>
              <w:left w:w="40" w:type="dxa"/>
              <w:bottom w:w="40" w:type="dxa"/>
              <w:right w:w="40" w:type="dxa"/>
            </w:tcMar>
            <w:vAlign w:val="center"/>
          </w:tcPr>
          <w:p w14:paraId="42A13899"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Unrecognized tax benefits, beginning of year</w:t>
            </w:r>
          </w:p>
        </w:tc>
        <w:tc>
          <w:tcPr>
            <w:tcW w:w="0" w:type="auto"/>
            <w:shd w:val="clear" w:color="auto" w:fill="CCEEFF"/>
            <w:tcMar>
              <w:top w:w="40" w:type="dxa"/>
              <w:left w:w="40" w:type="dxa"/>
              <w:bottom w:w="40" w:type="dxa"/>
              <w:right w:w="40" w:type="dxa"/>
            </w:tcMar>
            <w:vAlign w:val="bottom"/>
          </w:tcPr>
          <w:p w14:paraId="42A1389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389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389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1,305</w:t>
            </w:r>
          </w:p>
        </w:tc>
        <w:tc>
          <w:tcPr>
            <w:tcW w:w="0" w:type="auto"/>
            <w:tcBorders>
              <w:top w:val="single" w:sz="8" w:space="0" w:color="000000"/>
            </w:tcBorders>
            <w:shd w:val="clear" w:color="auto" w:fill="CCEEFF"/>
            <w:vAlign w:val="bottom"/>
          </w:tcPr>
          <w:p w14:paraId="42A1389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89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89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8A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1,010</w:t>
            </w:r>
          </w:p>
        </w:tc>
        <w:tc>
          <w:tcPr>
            <w:tcW w:w="0" w:type="auto"/>
            <w:shd w:val="clear" w:color="auto" w:fill="CCEEFF"/>
            <w:vAlign w:val="bottom"/>
          </w:tcPr>
          <w:p w14:paraId="42A138A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8A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8A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8A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1,050</w:t>
            </w:r>
          </w:p>
        </w:tc>
        <w:tc>
          <w:tcPr>
            <w:tcW w:w="0" w:type="auto"/>
            <w:shd w:val="clear" w:color="auto" w:fill="CCEEFF"/>
            <w:vAlign w:val="bottom"/>
          </w:tcPr>
          <w:p w14:paraId="42A138A5" w14:textId="77777777" w:rsidR="00BB68E1" w:rsidRDefault="00BB68E1">
            <w:pPr>
              <w:textAlignment w:val="bottom"/>
              <w:rPr>
                <w:rFonts w:ascii="Times New Roman" w:hAnsi="Times New Roman"/>
                <w:sz w:val="20"/>
                <w:szCs w:val="20"/>
              </w:rPr>
            </w:pPr>
          </w:p>
        </w:tc>
      </w:tr>
      <w:tr w:rsidR="00BB68E1" w14:paraId="42A138B1" w14:textId="77777777">
        <w:tc>
          <w:tcPr>
            <w:tcW w:w="0" w:type="auto"/>
            <w:shd w:val="clear" w:color="auto" w:fill="auto"/>
            <w:tcMar>
              <w:top w:w="40" w:type="dxa"/>
              <w:left w:w="40" w:type="dxa"/>
              <w:bottom w:w="40" w:type="dxa"/>
              <w:right w:w="40" w:type="dxa"/>
            </w:tcMar>
            <w:vAlign w:val="center"/>
          </w:tcPr>
          <w:p w14:paraId="42A138A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Increases related to prior year tax positions</w:t>
            </w:r>
          </w:p>
        </w:tc>
        <w:tc>
          <w:tcPr>
            <w:tcW w:w="0" w:type="auto"/>
            <w:shd w:val="clear" w:color="auto" w:fill="auto"/>
            <w:tcMar>
              <w:top w:w="40" w:type="dxa"/>
              <w:left w:w="40" w:type="dxa"/>
              <w:bottom w:w="40" w:type="dxa"/>
              <w:right w:w="40" w:type="dxa"/>
            </w:tcMar>
            <w:vAlign w:val="bottom"/>
          </w:tcPr>
          <w:p w14:paraId="42A138A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8A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516</w:t>
            </w:r>
          </w:p>
        </w:tc>
        <w:tc>
          <w:tcPr>
            <w:tcW w:w="0" w:type="auto"/>
            <w:shd w:val="clear" w:color="auto" w:fill="auto"/>
            <w:vAlign w:val="bottom"/>
          </w:tcPr>
          <w:p w14:paraId="42A138A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8A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8A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620</w:t>
            </w:r>
          </w:p>
        </w:tc>
        <w:tc>
          <w:tcPr>
            <w:tcW w:w="0" w:type="auto"/>
            <w:shd w:val="clear" w:color="auto" w:fill="auto"/>
            <w:vAlign w:val="bottom"/>
          </w:tcPr>
          <w:p w14:paraId="42A138A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8A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8A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130</w:t>
            </w:r>
          </w:p>
        </w:tc>
        <w:tc>
          <w:tcPr>
            <w:tcW w:w="0" w:type="auto"/>
            <w:shd w:val="clear" w:color="auto" w:fill="auto"/>
            <w:vAlign w:val="bottom"/>
          </w:tcPr>
          <w:p w14:paraId="42A138B0" w14:textId="77777777" w:rsidR="00BB68E1" w:rsidRDefault="00BB68E1">
            <w:pPr>
              <w:textAlignment w:val="bottom"/>
              <w:rPr>
                <w:rFonts w:ascii="Times New Roman" w:hAnsi="Times New Roman"/>
                <w:sz w:val="20"/>
                <w:szCs w:val="20"/>
              </w:rPr>
            </w:pPr>
          </w:p>
        </w:tc>
      </w:tr>
      <w:tr w:rsidR="00BB68E1" w14:paraId="42A138BC" w14:textId="77777777">
        <w:tc>
          <w:tcPr>
            <w:tcW w:w="0" w:type="auto"/>
            <w:shd w:val="clear" w:color="auto" w:fill="CCEEFF"/>
            <w:tcMar>
              <w:top w:w="40" w:type="dxa"/>
              <w:left w:w="40" w:type="dxa"/>
              <w:bottom w:w="40" w:type="dxa"/>
              <w:right w:w="40" w:type="dxa"/>
            </w:tcMar>
            <w:vAlign w:val="center"/>
          </w:tcPr>
          <w:p w14:paraId="42A138B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Decreases related to </w:t>
            </w:r>
            <w:r>
              <w:rPr>
                <w:rFonts w:ascii="Times New Roman" w:eastAsia="宋体" w:hAnsi="Times New Roman"/>
                <w:sz w:val="16"/>
                <w:szCs w:val="16"/>
              </w:rPr>
              <w:t>prior year tax positions</w:t>
            </w:r>
          </w:p>
        </w:tc>
        <w:tc>
          <w:tcPr>
            <w:tcW w:w="0" w:type="auto"/>
            <w:shd w:val="clear" w:color="auto" w:fill="CCEEFF"/>
            <w:tcMar>
              <w:top w:w="40" w:type="dxa"/>
              <w:left w:w="40" w:type="dxa"/>
              <w:bottom w:w="40" w:type="dxa"/>
              <w:right w:w="40" w:type="dxa"/>
            </w:tcMar>
            <w:vAlign w:val="bottom"/>
          </w:tcPr>
          <w:p w14:paraId="42A138B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8B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shd w:val="clear" w:color="auto" w:fill="CCEEFF"/>
            <w:tcMar>
              <w:top w:w="40" w:type="dxa"/>
              <w:bottom w:w="40" w:type="dxa"/>
              <w:right w:w="40" w:type="dxa"/>
            </w:tcMar>
            <w:vAlign w:val="center"/>
          </w:tcPr>
          <w:p w14:paraId="42A138B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8B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8B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(107</w:t>
            </w:r>
          </w:p>
        </w:tc>
        <w:tc>
          <w:tcPr>
            <w:tcW w:w="0" w:type="auto"/>
            <w:shd w:val="clear" w:color="auto" w:fill="CCEEFF"/>
            <w:tcMar>
              <w:top w:w="40" w:type="dxa"/>
              <w:bottom w:w="40" w:type="dxa"/>
              <w:right w:w="40" w:type="dxa"/>
            </w:tcMar>
            <w:vAlign w:val="center"/>
          </w:tcPr>
          <w:p w14:paraId="42A138B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8B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8B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(254</w:t>
            </w:r>
          </w:p>
        </w:tc>
        <w:tc>
          <w:tcPr>
            <w:tcW w:w="0" w:type="auto"/>
            <w:shd w:val="clear" w:color="auto" w:fill="CCEEFF"/>
            <w:tcMar>
              <w:top w:w="40" w:type="dxa"/>
              <w:bottom w:w="40" w:type="dxa"/>
              <w:right w:w="40" w:type="dxa"/>
            </w:tcMar>
            <w:vAlign w:val="center"/>
          </w:tcPr>
          <w:p w14:paraId="42A138B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8C7" w14:textId="77777777">
        <w:tc>
          <w:tcPr>
            <w:tcW w:w="0" w:type="auto"/>
            <w:shd w:val="clear" w:color="auto" w:fill="auto"/>
            <w:tcMar>
              <w:top w:w="40" w:type="dxa"/>
              <w:left w:w="40" w:type="dxa"/>
              <w:bottom w:w="40" w:type="dxa"/>
              <w:right w:w="40" w:type="dxa"/>
            </w:tcMar>
            <w:vAlign w:val="center"/>
          </w:tcPr>
          <w:p w14:paraId="42A138B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Increases related to current year tax positions</w:t>
            </w:r>
          </w:p>
        </w:tc>
        <w:tc>
          <w:tcPr>
            <w:tcW w:w="0" w:type="auto"/>
            <w:shd w:val="clear" w:color="auto" w:fill="auto"/>
            <w:tcMar>
              <w:top w:w="40" w:type="dxa"/>
              <w:left w:w="40" w:type="dxa"/>
              <w:bottom w:w="40" w:type="dxa"/>
              <w:right w:w="40" w:type="dxa"/>
            </w:tcMar>
            <w:vAlign w:val="bottom"/>
          </w:tcPr>
          <w:p w14:paraId="42A138B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8B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66</w:t>
            </w:r>
          </w:p>
        </w:tc>
        <w:tc>
          <w:tcPr>
            <w:tcW w:w="0" w:type="auto"/>
            <w:shd w:val="clear" w:color="auto" w:fill="auto"/>
            <w:vAlign w:val="bottom"/>
          </w:tcPr>
          <w:p w14:paraId="42A138C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8C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8C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203</w:t>
            </w:r>
          </w:p>
        </w:tc>
        <w:tc>
          <w:tcPr>
            <w:tcW w:w="0" w:type="auto"/>
            <w:shd w:val="clear" w:color="auto" w:fill="auto"/>
            <w:vAlign w:val="bottom"/>
          </w:tcPr>
          <w:p w14:paraId="42A138C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8C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8C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122</w:t>
            </w:r>
          </w:p>
        </w:tc>
        <w:tc>
          <w:tcPr>
            <w:tcW w:w="0" w:type="auto"/>
            <w:shd w:val="clear" w:color="auto" w:fill="auto"/>
            <w:vAlign w:val="bottom"/>
          </w:tcPr>
          <w:p w14:paraId="42A138C6" w14:textId="77777777" w:rsidR="00BB68E1" w:rsidRDefault="00BB68E1">
            <w:pPr>
              <w:textAlignment w:val="bottom"/>
              <w:rPr>
                <w:rFonts w:ascii="Times New Roman" w:hAnsi="Times New Roman"/>
                <w:sz w:val="20"/>
                <w:szCs w:val="20"/>
              </w:rPr>
            </w:pPr>
          </w:p>
        </w:tc>
      </w:tr>
      <w:tr w:rsidR="00BB68E1" w14:paraId="42A138D2" w14:textId="77777777">
        <w:tc>
          <w:tcPr>
            <w:tcW w:w="0" w:type="auto"/>
            <w:shd w:val="clear" w:color="auto" w:fill="CCEEFF"/>
            <w:tcMar>
              <w:top w:w="40" w:type="dxa"/>
              <w:left w:w="40" w:type="dxa"/>
              <w:bottom w:w="40" w:type="dxa"/>
              <w:right w:w="40" w:type="dxa"/>
            </w:tcMar>
            <w:vAlign w:val="center"/>
          </w:tcPr>
          <w:p w14:paraId="42A138C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Settlements during the period</w:t>
            </w:r>
          </w:p>
        </w:tc>
        <w:tc>
          <w:tcPr>
            <w:tcW w:w="0" w:type="auto"/>
            <w:shd w:val="clear" w:color="auto" w:fill="CCEEFF"/>
            <w:tcMar>
              <w:top w:w="40" w:type="dxa"/>
              <w:left w:w="40" w:type="dxa"/>
              <w:bottom w:w="40" w:type="dxa"/>
              <w:right w:w="40" w:type="dxa"/>
            </w:tcMar>
            <w:vAlign w:val="bottom"/>
          </w:tcPr>
          <w:p w14:paraId="42A138C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8C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(29</w:t>
            </w:r>
          </w:p>
        </w:tc>
        <w:tc>
          <w:tcPr>
            <w:tcW w:w="0" w:type="auto"/>
            <w:shd w:val="clear" w:color="auto" w:fill="CCEEFF"/>
            <w:tcMar>
              <w:top w:w="40" w:type="dxa"/>
              <w:bottom w:w="40" w:type="dxa"/>
              <w:right w:w="40" w:type="dxa"/>
            </w:tcMar>
            <w:vAlign w:val="center"/>
          </w:tcPr>
          <w:p w14:paraId="42A138C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8C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8C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(390</w:t>
            </w:r>
          </w:p>
        </w:tc>
        <w:tc>
          <w:tcPr>
            <w:tcW w:w="0" w:type="auto"/>
            <w:shd w:val="clear" w:color="auto" w:fill="CCEEFF"/>
            <w:tcMar>
              <w:top w:w="40" w:type="dxa"/>
              <w:bottom w:w="40" w:type="dxa"/>
              <w:right w:w="40" w:type="dxa"/>
            </w:tcMar>
            <w:vAlign w:val="center"/>
          </w:tcPr>
          <w:p w14:paraId="42A138C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8C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8D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w:t>
            </w:r>
          </w:p>
        </w:tc>
        <w:tc>
          <w:tcPr>
            <w:tcW w:w="0" w:type="auto"/>
            <w:shd w:val="clear" w:color="auto" w:fill="CCEEFF"/>
            <w:tcMar>
              <w:top w:w="40" w:type="dxa"/>
              <w:bottom w:w="40" w:type="dxa"/>
              <w:right w:w="40" w:type="dxa"/>
            </w:tcMar>
            <w:vAlign w:val="center"/>
          </w:tcPr>
          <w:p w14:paraId="42A138D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8DD" w14:textId="77777777">
        <w:tc>
          <w:tcPr>
            <w:tcW w:w="0" w:type="auto"/>
            <w:shd w:val="clear" w:color="auto" w:fill="auto"/>
            <w:tcMar>
              <w:top w:w="40" w:type="dxa"/>
              <w:left w:w="40" w:type="dxa"/>
              <w:bottom w:w="40" w:type="dxa"/>
              <w:right w:w="40" w:type="dxa"/>
            </w:tcMar>
            <w:vAlign w:val="center"/>
          </w:tcPr>
          <w:p w14:paraId="42A138D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Lapse in statutes of limitations</w:t>
            </w:r>
          </w:p>
        </w:tc>
        <w:tc>
          <w:tcPr>
            <w:tcW w:w="0" w:type="auto"/>
            <w:shd w:val="clear" w:color="auto" w:fill="auto"/>
            <w:tcMar>
              <w:top w:w="40" w:type="dxa"/>
              <w:left w:w="40" w:type="dxa"/>
              <w:bottom w:w="40" w:type="dxa"/>
              <w:right w:w="40" w:type="dxa"/>
            </w:tcMar>
            <w:vAlign w:val="bottom"/>
          </w:tcPr>
          <w:p w14:paraId="42A138D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8D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w:t>
            </w:r>
          </w:p>
        </w:tc>
        <w:tc>
          <w:tcPr>
            <w:tcW w:w="0" w:type="auto"/>
            <w:shd w:val="clear" w:color="auto" w:fill="auto"/>
            <w:tcMar>
              <w:top w:w="40" w:type="dxa"/>
              <w:bottom w:w="40" w:type="dxa"/>
              <w:right w:w="40" w:type="dxa"/>
            </w:tcMar>
            <w:vAlign w:val="center"/>
          </w:tcPr>
          <w:p w14:paraId="42A138D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38D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8D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(31</w:t>
            </w:r>
          </w:p>
        </w:tc>
        <w:tc>
          <w:tcPr>
            <w:tcW w:w="0" w:type="auto"/>
            <w:shd w:val="clear" w:color="auto" w:fill="auto"/>
            <w:tcMar>
              <w:top w:w="40" w:type="dxa"/>
              <w:bottom w:w="40" w:type="dxa"/>
              <w:right w:w="40" w:type="dxa"/>
            </w:tcMar>
            <w:vAlign w:val="center"/>
          </w:tcPr>
          <w:p w14:paraId="42A138D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38D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8D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shd w:val="clear" w:color="auto" w:fill="auto"/>
            <w:tcMar>
              <w:top w:w="40" w:type="dxa"/>
              <w:bottom w:w="40" w:type="dxa"/>
              <w:right w:w="40" w:type="dxa"/>
            </w:tcMar>
            <w:vAlign w:val="center"/>
          </w:tcPr>
          <w:p w14:paraId="42A138D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8EB" w14:textId="77777777">
        <w:tc>
          <w:tcPr>
            <w:tcW w:w="0" w:type="auto"/>
            <w:shd w:val="clear" w:color="auto" w:fill="CCEEFF"/>
            <w:tcMar>
              <w:top w:w="40" w:type="dxa"/>
              <w:left w:w="40" w:type="dxa"/>
              <w:bottom w:w="40" w:type="dxa"/>
              <w:right w:w="40" w:type="dxa"/>
            </w:tcMar>
            <w:vAlign w:val="center"/>
          </w:tcPr>
          <w:p w14:paraId="42A138DE"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Unrecognized tax benefits, end of year</w:t>
            </w:r>
          </w:p>
        </w:tc>
        <w:tc>
          <w:tcPr>
            <w:tcW w:w="0" w:type="auto"/>
            <w:shd w:val="clear" w:color="auto" w:fill="CCEEFF"/>
            <w:tcMar>
              <w:top w:w="40" w:type="dxa"/>
              <w:left w:w="40" w:type="dxa"/>
              <w:bottom w:w="40" w:type="dxa"/>
              <w:right w:w="40" w:type="dxa"/>
            </w:tcMar>
            <w:vAlign w:val="bottom"/>
          </w:tcPr>
          <w:p w14:paraId="42A138D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38E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38E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1,817</w:t>
            </w:r>
          </w:p>
        </w:tc>
        <w:tc>
          <w:tcPr>
            <w:tcW w:w="0" w:type="auto"/>
            <w:tcBorders>
              <w:top w:val="single" w:sz="8" w:space="0" w:color="000000"/>
              <w:bottom w:val="double" w:sz="6" w:space="0" w:color="000000"/>
            </w:tcBorders>
            <w:shd w:val="clear" w:color="auto" w:fill="CCEEFF"/>
            <w:vAlign w:val="bottom"/>
          </w:tcPr>
          <w:p w14:paraId="42A138E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8E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38E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38E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1,305</w:t>
            </w:r>
          </w:p>
        </w:tc>
        <w:tc>
          <w:tcPr>
            <w:tcW w:w="0" w:type="auto"/>
            <w:tcBorders>
              <w:top w:val="single" w:sz="8" w:space="0" w:color="000000"/>
              <w:bottom w:val="double" w:sz="6" w:space="0" w:color="000000"/>
            </w:tcBorders>
            <w:shd w:val="clear" w:color="auto" w:fill="CCEEFF"/>
            <w:vAlign w:val="bottom"/>
          </w:tcPr>
          <w:p w14:paraId="42A138E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8E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38E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38E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1,010</w:t>
            </w:r>
          </w:p>
        </w:tc>
        <w:tc>
          <w:tcPr>
            <w:tcW w:w="0" w:type="auto"/>
            <w:tcBorders>
              <w:top w:val="single" w:sz="8" w:space="0" w:color="000000"/>
              <w:bottom w:val="double" w:sz="6" w:space="0" w:color="000000"/>
            </w:tcBorders>
            <w:shd w:val="clear" w:color="auto" w:fill="CCEEFF"/>
            <w:vAlign w:val="bottom"/>
          </w:tcPr>
          <w:p w14:paraId="42A138EA" w14:textId="77777777" w:rsidR="00BB68E1" w:rsidRDefault="00BB68E1">
            <w:pPr>
              <w:textAlignment w:val="bottom"/>
              <w:rPr>
                <w:rFonts w:ascii="Times New Roman" w:hAnsi="Times New Roman"/>
                <w:sz w:val="20"/>
                <w:szCs w:val="20"/>
              </w:rPr>
            </w:pPr>
          </w:p>
        </w:tc>
      </w:tr>
    </w:tbl>
    <w:p w14:paraId="42A138EC" w14:textId="77777777" w:rsidR="00BB68E1" w:rsidRDefault="00BB68E1">
      <w:pPr>
        <w:spacing w:line="288" w:lineRule="auto"/>
        <w:rPr>
          <w:rFonts w:ascii="Times New Roman" w:hAnsi="Times New Roman"/>
          <w:sz w:val="20"/>
          <w:szCs w:val="20"/>
        </w:rPr>
      </w:pPr>
    </w:p>
    <w:p w14:paraId="42A138E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Company classifies interest and penalties related to uncertain tax benefits as interest expense and as operating, selling, general and administrative expenses, </w:t>
      </w:r>
      <w:r>
        <w:rPr>
          <w:rFonts w:ascii="Times New Roman" w:eastAsia="宋体" w:hAnsi="Times New Roman"/>
          <w:sz w:val="20"/>
          <w:szCs w:val="20"/>
        </w:rPr>
        <w:t>respectively. Interest expense and penalties related to these positions were immaterial for fiscal 2020, 2019 and 2018. During the next twelve months, it is reasonably possible that tax audit resolutions could reduce unrecognized tax benefits by an immater</w:t>
      </w:r>
      <w:r>
        <w:rPr>
          <w:rFonts w:ascii="Times New Roman" w:eastAsia="宋体" w:hAnsi="Times New Roman"/>
          <w:sz w:val="20"/>
          <w:szCs w:val="20"/>
        </w:rPr>
        <w:t>ial amount, either because the tax positions are sustained on audit or because the Company agrees to their disallowance. The Company is focused on resolving tax audits as expeditiously as possible. As a result of these efforts, unrecognized tax benefits co</w:t>
      </w:r>
      <w:r>
        <w:rPr>
          <w:rFonts w:ascii="Times New Roman" w:eastAsia="宋体" w:hAnsi="Times New Roman"/>
          <w:sz w:val="20"/>
          <w:szCs w:val="20"/>
        </w:rPr>
        <w:t>uld potentially be reduced beyond the provided range during the next twelve months. The Company does not expect any change to have a material impact to its Consolidated Financial Statements.</w:t>
      </w:r>
    </w:p>
    <w:p w14:paraId="42A138E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remains subject to income tax examinations for its U.</w:t>
      </w:r>
      <w:r>
        <w:rPr>
          <w:rFonts w:ascii="Times New Roman" w:eastAsia="宋体" w:hAnsi="Times New Roman"/>
          <w:sz w:val="20"/>
          <w:szCs w:val="20"/>
        </w:rPr>
        <w:t>S. federal income taxes generally for fiscal 2014, and 2017 through 2020. The Company also remains subject to income tax examinations for international income taxes for fiscal 2013 through 2020, and for U.S. state and local income taxes generally for the f</w:t>
      </w:r>
      <w:r>
        <w:rPr>
          <w:rFonts w:ascii="Times New Roman" w:eastAsia="宋体" w:hAnsi="Times New Roman"/>
          <w:sz w:val="20"/>
          <w:szCs w:val="20"/>
        </w:rPr>
        <w:t>iscal years ended 2013 through 2020. With few exceptions, the Company is no longer subject to U.S. federal, state, local, or foreign examinations by tax authorities for years before fiscal 2012.</w:t>
      </w:r>
    </w:p>
    <w:p w14:paraId="42A138EF" w14:textId="77777777" w:rsidR="00BB68E1" w:rsidRDefault="00BB68E1">
      <w:pPr>
        <w:rPr>
          <w:rFonts w:ascii="Times New Roman" w:hAnsi="Times New Roman"/>
          <w:sz w:val="20"/>
          <w:szCs w:val="20"/>
        </w:rPr>
      </w:pPr>
    </w:p>
    <w:p w14:paraId="42A138F0"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71</w:t>
      </w:r>
    </w:p>
    <w:p w14:paraId="42A138F1" w14:textId="77777777" w:rsidR="00BB68E1" w:rsidRDefault="00BB68E1">
      <w:pPr>
        <w:spacing w:line="288" w:lineRule="auto"/>
        <w:jc w:val="center"/>
        <w:rPr>
          <w:rFonts w:ascii="Times New Roman" w:hAnsi="Times New Roman"/>
          <w:sz w:val="20"/>
          <w:szCs w:val="20"/>
        </w:rPr>
      </w:pPr>
    </w:p>
    <w:p w14:paraId="42A138F2" w14:textId="77777777" w:rsidR="00BB68E1" w:rsidRDefault="005D2D5E">
      <w:r>
        <w:rPr>
          <w:rFonts w:ascii="Times New Roman" w:hAnsi="Times New Roman"/>
          <w:sz w:val="20"/>
          <w:szCs w:val="20"/>
        </w:rPr>
        <w:pict w14:anchorId="42A142BE">
          <v:rect id="_x0000_i1095" style="width:415.3pt;height:1.5pt" o:hralign="center" o:hrstd="t" o:hr="t" fillcolor="#a0a0a0" stroked="f"/>
        </w:pict>
      </w:r>
    </w:p>
    <w:p w14:paraId="42A138F3" w14:textId="77777777" w:rsidR="00BB68E1" w:rsidRDefault="00BB68E1">
      <w:pPr>
        <w:spacing w:line="288" w:lineRule="auto"/>
        <w:rPr>
          <w:rFonts w:ascii="Times New Roman" w:hAnsi="Times New Roman"/>
          <w:sz w:val="20"/>
          <w:szCs w:val="20"/>
        </w:rPr>
      </w:pPr>
    </w:p>
    <w:p w14:paraId="42A138F4" w14:textId="77777777" w:rsidR="00BB68E1" w:rsidRDefault="00BB68E1">
      <w:pPr>
        <w:rPr>
          <w:rFonts w:ascii="Times New Roman" w:hAnsi="Times New Roman"/>
          <w:sz w:val="20"/>
          <w:szCs w:val="20"/>
        </w:rPr>
      </w:pPr>
    </w:p>
    <w:p w14:paraId="42A138F5"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Other Taxes</w:t>
      </w:r>
    </w:p>
    <w:p w14:paraId="42A138F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is subject to tax examinatio</w:t>
      </w:r>
      <w:r>
        <w:rPr>
          <w:rFonts w:ascii="Times New Roman" w:eastAsia="宋体" w:hAnsi="Times New Roman"/>
          <w:sz w:val="20"/>
          <w:szCs w:val="20"/>
        </w:rPr>
        <w:t xml:space="preserve">ns for value added, sales-based, payroll and other non-income taxes. A number of these examinations are ongoing in various jurisdictions. In certain </w:t>
      </w:r>
      <w:r>
        <w:rPr>
          <w:rFonts w:ascii="Times New Roman" w:eastAsia="宋体" w:hAnsi="Times New Roman"/>
          <w:sz w:val="20"/>
          <w:szCs w:val="20"/>
        </w:rPr>
        <w:lastRenderedPageBreak/>
        <w:t>cases, the Company has received assessments from the respective taxing authorities in connection with these</w:t>
      </w:r>
      <w:r>
        <w:rPr>
          <w:rFonts w:ascii="Times New Roman" w:eastAsia="宋体" w:hAnsi="Times New Roman"/>
          <w:sz w:val="20"/>
          <w:szCs w:val="20"/>
        </w:rPr>
        <w:t xml:space="preserve"> examinations. Unless otherwise indicated, the possible losses or range of possible losses associated with these matters are individually immaterial, but a group of related matters, if decided adversely to the Company, could result in a liability material </w:t>
      </w:r>
      <w:r>
        <w:rPr>
          <w:rFonts w:ascii="Times New Roman" w:eastAsia="宋体" w:hAnsi="Times New Roman"/>
          <w:sz w:val="20"/>
          <w:szCs w:val="20"/>
        </w:rPr>
        <w:t>to the Company's Consolidated Financial Statements.</w:t>
      </w:r>
    </w:p>
    <w:p w14:paraId="42A138F7"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Note 10. Contingencies</w:t>
      </w:r>
    </w:p>
    <w:p w14:paraId="42A138F8" w14:textId="77777777" w:rsidR="00BB68E1" w:rsidRDefault="005D2D5E">
      <w:pPr>
        <w:spacing w:line="288" w:lineRule="auto"/>
        <w:rPr>
          <w:rFonts w:ascii="Times New Roman" w:hAnsi="Times New Roman"/>
          <w:sz w:val="20"/>
          <w:szCs w:val="20"/>
        </w:rPr>
      </w:pPr>
      <w:r>
        <w:rPr>
          <w:rFonts w:ascii="Times New Roman" w:eastAsia="宋体" w:hAnsi="Times New Roman"/>
          <w:b/>
          <w:bCs/>
          <w:i/>
          <w:iCs/>
          <w:sz w:val="20"/>
          <w:szCs w:val="20"/>
        </w:rPr>
        <w:t>Legal Proceedings</w:t>
      </w:r>
    </w:p>
    <w:p w14:paraId="42A138F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is involved in a number of legal proceedings. The Company has made accruals with respect to these matters, where appropriate, which are reflected in th</w:t>
      </w:r>
      <w:r>
        <w:rPr>
          <w:rFonts w:ascii="Times New Roman" w:eastAsia="宋体" w:hAnsi="Times New Roman"/>
          <w:sz w:val="20"/>
          <w:szCs w:val="20"/>
        </w:rPr>
        <w:t>e Company's Consolidated Financial Statements. For some matters, a liability is not probable or the amount cannot be reasonably estimated and therefore an accrual has not been made. However, where a liability is reasonably possible and may be material, suc</w:t>
      </w:r>
      <w:r>
        <w:rPr>
          <w:rFonts w:ascii="Times New Roman" w:eastAsia="宋体" w:hAnsi="Times New Roman"/>
          <w:sz w:val="20"/>
          <w:szCs w:val="20"/>
        </w:rPr>
        <w:t>h matters have been disclosed. The Company may enter into discussions regarding settlement of these matters, and may enter into settlement agreements, if it believes settlement is in the best interest of the Company and its shareholders.</w:t>
      </w:r>
    </w:p>
    <w:p w14:paraId="42A138F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Unless stated othe</w:t>
      </w:r>
      <w:r>
        <w:rPr>
          <w:rFonts w:ascii="Times New Roman" w:eastAsia="宋体" w:hAnsi="Times New Roman"/>
          <w:sz w:val="20"/>
          <w:szCs w:val="20"/>
        </w:rPr>
        <w:t>rwise, the matters discussed below, if decided adversely to or settled by the Company, individually or in the aggregate, may result in a liability material to the Company's financial condition, results of operations or cash flows.</w:t>
      </w:r>
    </w:p>
    <w:p w14:paraId="42A138FB"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Asda Equal Value Claims</w:t>
      </w:r>
    </w:p>
    <w:p w14:paraId="42A138F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w:t>
      </w:r>
      <w:r>
        <w:rPr>
          <w:rFonts w:ascii="Times New Roman" w:eastAsia="宋体" w:hAnsi="Times New Roman"/>
          <w:sz w:val="20"/>
          <w:szCs w:val="20"/>
        </w:rPr>
        <w:t>sda Stores, Ltd. ("Asda"), a wholly-owned subsidiary of the Company, is a defendant in over 35,000 "equal value" claims that began in 2008 and are proceeding before an Employment Tribunal in Manchester (the "Employment Tribunal") in the United Kingdom ("UK</w:t>
      </w:r>
      <w:r>
        <w:rPr>
          <w:rFonts w:ascii="Times New Roman" w:eastAsia="宋体" w:hAnsi="Times New Roman"/>
          <w:sz w:val="20"/>
          <w:szCs w:val="20"/>
        </w:rPr>
        <w:t>") on behalf of current and former Asda store employees, and further claims may be asserted in the future. The claimants allege that the work performed by employees in Asda's retail stores is of equal value in terms of, among other things, the demands of t</w:t>
      </w:r>
      <w:r>
        <w:rPr>
          <w:rFonts w:ascii="Times New Roman" w:eastAsia="宋体" w:hAnsi="Times New Roman"/>
          <w:sz w:val="20"/>
          <w:szCs w:val="20"/>
        </w:rPr>
        <w:t>heir jobs compared to that of employees working in Asda's warehouse and distribution facilities, and that the difference in pay between these job positions disparately impacts women because more women work in retail stores while more men work in warehouses</w:t>
      </w:r>
      <w:r>
        <w:rPr>
          <w:rFonts w:ascii="Times New Roman" w:eastAsia="宋体" w:hAnsi="Times New Roman"/>
          <w:sz w:val="20"/>
          <w:szCs w:val="20"/>
        </w:rPr>
        <w:t xml:space="preserve"> and distribution facilities, and that the pay difference is not objectively justified. The claimants are requesting differential back pay based on higher wage rates in the warehouse and distribution facilities and higher wage rates on a prospective basis.</w:t>
      </w:r>
    </w:p>
    <w:p w14:paraId="42A138F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In October 2016, following a preliminary hearing, the Employment Tribunal ruled that claimants could compare their positions in Asda's retail stores with those of employees in Asda's warehouse and distribution facilities. Asda appealed the ruling and the </w:t>
      </w:r>
      <w:r>
        <w:rPr>
          <w:rFonts w:ascii="Times New Roman" w:eastAsia="宋体" w:hAnsi="Times New Roman"/>
          <w:sz w:val="20"/>
          <w:szCs w:val="20"/>
        </w:rPr>
        <w:t xml:space="preserve">appeal is scheduled to be heard by the Supreme Court of the United Kingdom on July 14-15, 2020. </w:t>
      </w:r>
    </w:p>
    <w:p w14:paraId="42A138F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Notwithstanding the appeal, claimants are now proceeding in the next phase of their claims. That phase will determine whether the work performed by the claiman</w:t>
      </w:r>
      <w:r>
        <w:rPr>
          <w:rFonts w:ascii="Times New Roman" w:eastAsia="宋体" w:hAnsi="Times New Roman"/>
          <w:sz w:val="20"/>
          <w:szCs w:val="20"/>
        </w:rPr>
        <w:t>ts is of equal value to the work performed by employees in Asda's warehouse and distribution facilities.</w:t>
      </w:r>
    </w:p>
    <w:p w14:paraId="42A138F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At present, the Company cannot predict the number of such claims that may be filed, and cannot reasonably estimate any loss or range of loss that may a</w:t>
      </w:r>
      <w:r>
        <w:rPr>
          <w:rFonts w:ascii="Times New Roman" w:eastAsia="宋体" w:hAnsi="Times New Roman"/>
          <w:sz w:val="20"/>
          <w:szCs w:val="20"/>
        </w:rPr>
        <w:t>rise from these proceedings. Accordingly, the Company can provide no assurance as to the scope and outcomes of these matters and no assurance as to whether its business, financial position, results of operations or cash flows will not be materially adverse</w:t>
      </w:r>
      <w:r>
        <w:rPr>
          <w:rFonts w:ascii="Times New Roman" w:eastAsia="宋体" w:hAnsi="Times New Roman"/>
          <w:sz w:val="20"/>
          <w:szCs w:val="20"/>
        </w:rPr>
        <w:t>ly affected. The Company believes it has substantial factual and legal defenses to these claims, and intends to defend the claims vigorously.</w:t>
      </w:r>
    </w:p>
    <w:p w14:paraId="42A13900"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National Prescription Opiate Litigation and Related Matters</w:t>
      </w:r>
    </w:p>
    <w:p w14:paraId="42A13901"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In December 2017, the United States Judicial Panel on </w:t>
      </w:r>
      <w:r>
        <w:rPr>
          <w:rFonts w:ascii="Times New Roman" w:eastAsia="宋体" w:hAnsi="Times New Roman"/>
          <w:sz w:val="20"/>
          <w:szCs w:val="20"/>
        </w:rPr>
        <w:t>Multidistrict Litigation consolidated numerous lawsuits filed against a wide array of defendants by various plaintiffs, including counties, cities, healthcare providers, Native American tribes, individuals, and third-party payors, asserting claims generall</w:t>
      </w:r>
      <w:r>
        <w:rPr>
          <w:rFonts w:ascii="Times New Roman" w:eastAsia="宋体" w:hAnsi="Times New Roman"/>
          <w:sz w:val="20"/>
          <w:szCs w:val="20"/>
        </w:rPr>
        <w:t xml:space="preserve">y concerning the impacts of widespread opioid abuse. The consolidated multidistrict litigation is entitled </w:t>
      </w:r>
      <w:r>
        <w:rPr>
          <w:rFonts w:ascii="Times New Roman" w:eastAsia="宋体" w:hAnsi="Times New Roman"/>
          <w:i/>
          <w:iCs/>
          <w:sz w:val="20"/>
          <w:szCs w:val="20"/>
        </w:rPr>
        <w:t>In re National Prescription Opiate Litigation (MDL No. 2804)</w:t>
      </w:r>
      <w:r>
        <w:rPr>
          <w:rFonts w:ascii="Times New Roman" w:eastAsia="宋体" w:hAnsi="Times New Roman"/>
          <w:sz w:val="20"/>
          <w:szCs w:val="20"/>
        </w:rPr>
        <w:t>, and is pending in the U.S. District Court for the Northern District of Ohio. The Compan</w:t>
      </w:r>
      <w:r>
        <w:rPr>
          <w:rFonts w:ascii="Times New Roman" w:eastAsia="宋体" w:hAnsi="Times New Roman"/>
          <w:sz w:val="20"/>
          <w:szCs w:val="20"/>
        </w:rPr>
        <w:t xml:space="preserve">y is named as a defendant in some of the cases included in this multidistrict litigation. Similar cases that name the Company have also been filed </w:t>
      </w:r>
      <w:r>
        <w:rPr>
          <w:rFonts w:ascii="Times New Roman" w:eastAsia="宋体" w:hAnsi="Times New Roman"/>
          <w:sz w:val="20"/>
          <w:szCs w:val="20"/>
        </w:rPr>
        <w:lastRenderedPageBreak/>
        <w:t>in state courts by state, local and tribal governments, health care providers and other plaintiffs. Plaintiff</w:t>
      </w:r>
      <w:r>
        <w:rPr>
          <w:rFonts w:ascii="Times New Roman" w:eastAsia="宋体" w:hAnsi="Times New Roman"/>
          <w:sz w:val="20"/>
          <w:szCs w:val="20"/>
        </w:rPr>
        <w:t>s are seeking compensatory and punitive damages, as well as injunctive relief including abatement.  The Company cannot predict the number of such claims that may be filed, but believes it has substantial factual and legal defenses to these claims, and inte</w:t>
      </w:r>
      <w:r>
        <w:rPr>
          <w:rFonts w:ascii="Times New Roman" w:eastAsia="宋体" w:hAnsi="Times New Roman"/>
          <w:sz w:val="20"/>
          <w:szCs w:val="20"/>
        </w:rPr>
        <w:t>nds to defend the claims vigorously. The Company has also been responding to subpoenas, information requests and investigations from governmental entities related to nationwide controlled substance dispensing and distribution practices involving opioids. T</w:t>
      </w:r>
      <w:r>
        <w:rPr>
          <w:rFonts w:ascii="Times New Roman" w:eastAsia="宋体" w:hAnsi="Times New Roman"/>
          <w:sz w:val="20"/>
          <w:szCs w:val="20"/>
        </w:rPr>
        <w:t>he Company cannot reasonably estimate any loss or range of loss that may arise from these matters. Accordingly, the Company can provide no assurance as to the scope and outcome of these matters and no assurance as to whether its business, financial positio</w:t>
      </w:r>
      <w:r>
        <w:rPr>
          <w:rFonts w:ascii="Times New Roman" w:eastAsia="宋体" w:hAnsi="Times New Roman"/>
          <w:sz w:val="20"/>
          <w:szCs w:val="20"/>
        </w:rPr>
        <w:t>n, results of operations or cash flows will not be materially adversely affected.</w:t>
      </w:r>
    </w:p>
    <w:p w14:paraId="42A13902" w14:textId="77777777" w:rsidR="00BB68E1" w:rsidRDefault="00BB68E1">
      <w:pPr>
        <w:rPr>
          <w:rFonts w:ascii="Times New Roman" w:hAnsi="Times New Roman"/>
          <w:sz w:val="20"/>
          <w:szCs w:val="20"/>
        </w:rPr>
      </w:pPr>
    </w:p>
    <w:p w14:paraId="42A13903"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72</w:t>
      </w:r>
    </w:p>
    <w:p w14:paraId="42A13904" w14:textId="77777777" w:rsidR="00BB68E1" w:rsidRDefault="00BB68E1">
      <w:pPr>
        <w:spacing w:line="288" w:lineRule="auto"/>
        <w:jc w:val="center"/>
        <w:rPr>
          <w:rFonts w:ascii="Times New Roman" w:hAnsi="Times New Roman"/>
          <w:sz w:val="20"/>
          <w:szCs w:val="20"/>
        </w:rPr>
      </w:pPr>
    </w:p>
    <w:p w14:paraId="42A13905" w14:textId="77777777" w:rsidR="00BB68E1" w:rsidRDefault="005D2D5E">
      <w:r>
        <w:rPr>
          <w:rFonts w:ascii="Times New Roman" w:hAnsi="Times New Roman"/>
          <w:sz w:val="20"/>
          <w:szCs w:val="20"/>
        </w:rPr>
        <w:pict w14:anchorId="42A142BF">
          <v:rect id="_x0000_i1096" style="width:415.3pt;height:1.5pt" o:hralign="center" o:hrstd="t" o:hr="t" fillcolor="#a0a0a0" stroked="f"/>
        </w:pict>
      </w:r>
    </w:p>
    <w:p w14:paraId="42A13906" w14:textId="77777777" w:rsidR="00BB68E1" w:rsidRDefault="00BB68E1">
      <w:pPr>
        <w:spacing w:line="288" w:lineRule="auto"/>
        <w:rPr>
          <w:rFonts w:ascii="Times New Roman" w:hAnsi="Times New Roman"/>
          <w:sz w:val="20"/>
          <w:szCs w:val="20"/>
        </w:rPr>
      </w:pPr>
    </w:p>
    <w:p w14:paraId="42A13907" w14:textId="77777777" w:rsidR="00BB68E1" w:rsidRDefault="00BB68E1">
      <w:pPr>
        <w:rPr>
          <w:rFonts w:ascii="Times New Roman" w:hAnsi="Times New Roman"/>
          <w:sz w:val="20"/>
          <w:szCs w:val="20"/>
        </w:rPr>
      </w:pPr>
    </w:p>
    <w:p w14:paraId="42A13908"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FCPA Investigation and Related Matters</w:t>
      </w:r>
    </w:p>
    <w:p w14:paraId="42A1390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As previously disclosed, the Company was under investigation by the U.S. Department of Justice (the "DOJ") and the </w:t>
      </w:r>
      <w:r>
        <w:rPr>
          <w:rFonts w:ascii="Times New Roman" w:eastAsia="宋体" w:hAnsi="Times New Roman"/>
          <w:sz w:val="20"/>
          <w:szCs w:val="20"/>
        </w:rPr>
        <w:t>Securities and Exchange Commission (the "SEC") regarding possible violations of the U.S. Foreign Corrupt Practices Act (the "FCPA"). Throughout the investigative process, the Company cooperated with the DOJ and the SEC, and on June 20, 2019, the Company an</w:t>
      </w:r>
      <w:r>
        <w:rPr>
          <w:rFonts w:ascii="Times New Roman" w:eastAsia="宋体" w:hAnsi="Times New Roman"/>
          <w:sz w:val="20"/>
          <w:szCs w:val="20"/>
        </w:rPr>
        <w:t>nounced the resolution of the investigations with the DOJ and the SEC and paid $283 million in June 2019 consisting of a combination of penalties, disgorgement and interest as further described below (the "Settlement Amount"). The Company previously record</w:t>
      </w:r>
      <w:r>
        <w:rPr>
          <w:rFonts w:ascii="Times New Roman" w:eastAsia="宋体" w:hAnsi="Times New Roman"/>
          <w:sz w:val="20"/>
          <w:szCs w:val="20"/>
        </w:rPr>
        <w:t>ed the Settlement Amount in the Company's fiscal 2018 consolidated financial statements in anticipated settlement of these matters.</w:t>
      </w:r>
    </w:p>
    <w:p w14:paraId="42A1390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resolution of the investigations with the DOJ and SEC included: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390D" w14:textId="77777777">
        <w:trPr>
          <w:tblCellSpacing w:w="0" w:type="dxa"/>
        </w:trPr>
        <w:tc>
          <w:tcPr>
            <w:tcW w:w="960" w:type="dxa"/>
            <w:shd w:val="clear" w:color="auto" w:fill="auto"/>
            <w:vAlign w:val="center"/>
          </w:tcPr>
          <w:p w14:paraId="42A1390B" w14:textId="77777777" w:rsidR="00BB68E1" w:rsidRDefault="00BB68E1">
            <w:pPr>
              <w:rPr>
                <w:rFonts w:ascii="Times New Roman" w:hAnsi="Times New Roman"/>
                <w:sz w:val="20"/>
                <w:szCs w:val="20"/>
              </w:rPr>
            </w:pPr>
          </w:p>
        </w:tc>
        <w:tc>
          <w:tcPr>
            <w:tcW w:w="0" w:type="auto"/>
            <w:shd w:val="clear" w:color="auto" w:fill="auto"/>
            <w:vAlign w:val="center"/>
          </w:tcPr>
          <w:p w14:paraId="42A1390C" w14:textId="77777777" w:rsidR="00BB68E1" w:rsidRDefault="00BB68E1">
            <w:pPr>
              <w:rPr>
                <w:rFonts w:ascii="Times New Roman" w:hAnsi="Times New Roman"/>
                <w:sz w:val="20"/>
                <w:szCs w:val="20"/>
              </w:rPr>
            </w:pPr>
          </w:p>
        </w:tc>
      </w:tr>
      <w:tr w:rsidR="00BB68E1" w14:paraId="42A13910" w14:textId="77777777">
        <w:trPr>
          <w:tblCellSpacing w:w="0" w:type="dxa"/>
        </w:trPr>
        <w:tc>
          <w:tcPr>
            <w:tcW w:w="0" w:type="auto"/>
            <w:shd w:val="clear" w:color="auto" w:fill="auto"/>
          </w:tcPr>
          <w:p w14:paraId="42A1390E"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Pr>
          <w:p w14:paraId="42A1390F"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A non-prosecution agreement (the "NPA") between t</w:t>
            </w:r>
            <w:r>
              <w:rPr>
                <w:rFonts w:ascii="Times New Roman" w:eastAsia="宋体" w:hAnsi="Times New Roman"/>
                <w:sz w:val="20"/>
                <w:szCs w:val="20"/>
              </w:rPr>
              <w:t>he DOJ and the Company for a three-year term. Pursuant to the NPA, the Company paid a $138 million penalty and agreed to maintain the Company's anti-corruption compliance program for three years, certain reporting obligations for three years, and a limited</w:t>
            </w:r>
            <w:r>
              <w:rPr>
                <w:rFonts w:ascii="Times New Roman" w:eastAsia="宋体" w:hAnsi="Times New Roman"/>
                <w:sz w:val="20"/>
                <w:szCs w:val="20"/>
              </w:rPr>
              <w:t xml:space="preserve"> monitorship with a third-party for two years regarding the Company's anti-corruption compliance program, with the possibility of a third year pending the results of the monitorship during the initial two-year period. The DOJ agreed that it will not prosec</w:t>
            </w:r>
            <w:r>
              <w:rPr>
                <w:rFonts w:ascii="Times New Roman" w:eastAsia="宋体" w:hAnsi="Times New Roman"/>
                <w:sz w:val="20"/>
                <w:szCs w:val="20"/>
              </w:rPr>
              <w:t xml:space="preserve">ute the Company for any conduct described in the NPA provided that the Company performs its obligations under the NPA for the three-year term. </w:t>
            </w:r>
          </w:p>
        </w:tc>
      </w:tr>
    </w:tbl>
    <w:p w14:paraId="42A13911"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3914" w14:textId="77777777">
        <w:trPr>
          <w:tblCellSpacing w:w="0" w:type="dxa"/>
        </w:trPr>
        <w:tc>
          <w:tcPr>
            <w:tcW w:w="960" w:type="dxa"/>
            <w:shd w:val="clear" w:color="auto" w:fill="auto"/>
            <w:vAlign w:val="center"/>
          </w:tcPr>
          <w:p w14:paraId="42A13912" w14:textId="77777777" w:rsidR="00BB68E1" w:rsidRDefault="00BB68E1">
            <w:pPr>
              <w:rPr>
                <w:rFonts w:ascii="Times New Roman" w:hAnsi="Times New Roman"/>
                <w:sz w:val="20"/>
                <w:szCs w:val="20"/>
              </w:rPr>
            </w:pPr>
          </w:p>
        </w:tc>
        <w:tc>
          <w:tcPr>
            <w:tcW w:w="0" w:type="auto"/>
            <w:shd w:val="clear" w:color="auto" w:fill="auto"/>
            <w:vAlign w:val="center"/>
          </w:tcPr>
          <w:p w14:paraId="42A13913" w14:textId="77777777" w:rsidR="00BB68E1" w:rsidRDefault="00BB68E1">
            <w:pPr>
              <w:rPr>
                <w:rFonts w:ascii="Times New Roman" w:hAnsi="Times New Roman"/>
                <w:sz w:val="20"/>
                <w:szCs w:val="20"/>
              </w:rPr>
            </w:pPr>
          </w:p>
        </w:tc>
      </w:tr>
      <w:tr w:rsidR="00BB68E1" w14:paraId="42A13917" w14:textId="77777777">
        <w:trPr>
          <w:tblCellSpacing w:w="0" w:type="dxa"/>
        </w:trPr>
        <w:tc>
          <w:tcPr>
            <w:tcW w:w="0" w:type="auto"/>
            <w:shd w:val="clear" w:color="auto" w:fill="auto"/>
          </w:tcPr>
          <w:p w14:paraId="42A13915"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2.</w:t>
            </w:r>
          </w:p>
        </w:tc>
        <w:tc>
          <w:tcPr>
            <w:tcW w:w="0" w:type="auto"/>
            <w:shd w:val="clear" w:color="auto" w:fill="auto"/>
          </w:tcPr>
          <w:p w14:paraId="42A13916"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A plea agreement (the "Plea Agreement") entered into for a three-year term by the DOJ and WMT Brasilia S.a.r.l., an indirect wholly-owned foreign subsidiary of the Company ("WMT Brasilia") that previously owned a majority stake of the Company's Brazilian b</w:t>
            </w:r>
            <w:r>
              <w:rPr>
                <w:rFonts w:ascii="Times New Roman" w:eastAsia="宋体" w:hAnsi="Times New Roman"/>
                <w:sz w:val="20"/>
                <w:szCs w:val="20"/>
              </w:rPr>
              <w:t>usiness. Through the Plea Agreement, entered in the United States District Court for the Eastern District of Virginia, WMT Brasilia pled guilty to one count of causing a books and records violation of the FCPA. The Company on behalf of WMT Brasilia was ass</w:t>
            </w:r>
            <w:r>
              <w:rPr>
                <w:rFonts w:ascii="Times New Roman" w:eastAsia="宋体" w:hAnsi="Times New Roman"/>
                <w:sz w:val="20"/>
                <w:szCs w:val="20"/>
              </w:rPr>
              <w:t xml:space="preserve">essed a $4 million penalty, including forfeiture, that was deducted from the amount paid by the Company under the NPA. </w:t>
            </w:r>
          </w:p>
        </w:tc>
      </w:tr>
    </w:tbl>
    <w:p w14:paraId="42A13918"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391B" w14:textId="77777777">
        <w:trPr>
          <w:tblCellSpacing w:w="0" w:type="dxa"/>
        </w:trPr>
        <w:tc>
          <w:tcPr>
            <w:tcW w:w="960" w:type="dxa"/>
            <w:shd w:val="clear" w:color="auto" w:fill="auto"/>
            <w:vAlign w:val="center"/>
          </w:tcPr>
          <w:p w14:paraId="42A13919" w14:textId="77777777" w:rsidR="00BB68E1" w:rsidRDefault="00BB68E1">
            <w:pPr>
              <w:rPr>
                <w:rFonts w:ascii="Times New Roman" w:hAnsi="Times New Roman"/>
                <w:sz w:val="20"/>
                <w:szCs w:val="20"/>
              </w:rPr>
            </w:pPr>
          </w:p>
        </w:tc>
        <w:tc>
          <w:tcPr>
            <w:tcW w:w="0" w:type="auto"/>
            <w:shd w:val="clear" w:color="auto" w:fill="auto"/>
            <w:vAlign w:val="center"/>
          </w:tcPr>
          <w:p w14:paraId="42A1391A" w14:textId="77777777" w:rsidR="00BB68E1" w:rsidRDefault="00BB68E1">
            <w:pPr>
              <w:rPr>
                <w:rFonts w:ascii="Times New Roman" w:hAnsi="Times New Roman"/>
                <w:sz w:val="20"/>
                <w:szCs w:val="20"/>
              </w:rPr>
            </w:pPr>
          </w:p>
        </w:tc>
      </w:tr>
      <w:tr w:rsidR="00BB68E1" w14:paraId="42A1391E" w14:textId="77777777">
        <w:trPr>
          <w:tblCellSpacing w:w="0" w:type="dxa"/>
        </w:trPr>
        <w:tc>
          <w:tcPr>
            <w:tcW w:w="0" w:type="auto"/>
            <w:shd w:val="clear" w:color="auto" w:fill="auto"/>
          </w:tcPr>
          <w:p w14:paraId="42A1391C"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Pr>
          <w:p w14:paraId="42A1391D"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A Cease-and-Desist Order entered into by the SEC in a civil administrative proceeding (the "SEC Order"), the entry of which the </w:t>
            </w:r>
            <w:r>
              <w:rPr>
                <w:rFonts w:ascii="Times New Roman" w:eastAsia="宋体" w:hAnsi="Times New Roman"/>
                <w:sz w:val="20"/>
                <w:szCs w:val="20"/>
              </w:rPr>
              <w:t xml:space="preserve">Company consented to with respect to certain violations of the books and records and internal controls provisions of the FCPA. The Company paid $145 million in disgorgement and interest, and agreed to make certain reports to the SEC on its anti-corruption </w:t>
            </w:r>
            <w:r>
              <w:rPr>
                <w:rFonts w:ascii="Times New Roman" w:eastAsia="宋体" w:hAnsi="Times New Roman"/>
                <w:sz w:val="20"/>
                <w:szCs w:val="20"/>
              </w:rPr>
              <w:t xml:space="preserve">compliance and remediation efforts for two years, and cease and desist any violations of the books and records and internal controls </w:t>
            </w:r>
            <w:r>
              <w:rPr>
                <w:rFonts w:ascii="Times New Roman" w:eastAsia="宋体" w:hAnsi="Times New Roman"/>
                <w:sz w:val="20"/>
                <w:szCs w:val="20"/>
              </w:rPr>
              <w:lastRenderedPageBreak/>
              <w:t xml:space="preserve">provisions of the FCPA. </w:t>
            </w:r>
          </w:p>
        </w:tc>
      </w:tr>
    </w:tbl>
    <w:p w14:paraId="42A1391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On June 20, 2019, the Company also entered into an Administrative Agreement with the U.S. Environ</w:t>
      </w:r>
      <w:r>
        <w:rPr>
          <w:rFonts w:ascii="Times New Roman" w:eastAsia="宋体" w:hAnsi="Times New Roman"/>
          <w:sz w:val="20"/>
          <w:szCs w:val="20"/>
        </w:rPr>
        <w:t>mental Protection Agency (the "EPA") for a three-year term, which replaces the interim administrative agreement between the Company and the EPA dated May 28, 2013. The May 28, 2013 agreement arose as part of a settlement by the Company regarding certain ha</w:t>
      </w:r>
      <w:r>
        <w:rPr>
          <w:rFonts w:ascii="Times New Roman" w:eastAsia="宋体" w:hAnsi="Times New Roman"/>
          <w:sz w:val="20"/>
          <w:szCs w:val="20"/>
        </w:rPr>
        <w:t>zardous waste materials matters with several governmental authorities. The new EPA agreement, among other things, resolved any debarment or suspension as to participation in federal government programs by the Company due to the NPA, the Plea Agreement, and</w:t>
      </w:r>
      <w:r>
        <w:rPr>
          <w:rFonts w:ascii="Times New Roman" w:eastAsia="宋体" w:hAnsi="Times New Roman"/>
          <w:sz w:val="20"/>
          <w:szCs w:val="20"/>
        </w:rPr>
        <w:t xml:space="preserve"> the SEC Order, provided that the Company fulfills the terms and conditions of the new EPA agreement, which requires reporting by the Company to the EPA periodically during the three-year term, and requires a new, limited two-year monitorship. The monitor </w:t>
      </w:r>
      <w:r>
        <w:rPr>
          <w:rFonts w:ascii="Times New Roman" w:eastAsia="宋体" w:hAnsi="Times New Roman"/>
          <w:sz w:val="20"/>
          <w:szCs w:val="20"/>
        </w:rPr>
        <w:t xml:space="preserve">referenced above that has been engaged by the Company under the NPA will also monitor compliance with the new EPA agreement. If the DOJ monitorship is extended as referenced above, the EPA monitorship may also be extended for an additional year. </w:t>
      </w:r>
    </w:p>
    <w:p w14:paraId="42A1392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additi</w:t>
      </w:r>
      <w:r>
        <w:rPr>
          <w:rFonts w:ascii="Times New Roman" w:eastAsia="宋体" w:hAnsi="Times New Roman"/>
          <w:sz w:val="20"/>
          <w:szCs w:val="20"/>
        </w:rPr>
        <w:t>on, the Company expects to incur costs in implementing the settlement and may incur costs in responding to any new civil or regulatory actions. The Company does not presently believe that these matters will have a material adverse effect on its business, f</w:t>
      </w:r>
      <w:r>
        <w:rPr>
          <w:rFonts w:ascii="Times New Roman" w:eastAsia="宋体" w:hAnsi="Times New Roman"/>
          <w:sz w:val="20"/>
          <w:szCs w:val="20"/>
        </w:rPr>
        <w:t xml:space="preserve">inancial position, results of operations, or cash flows. </w:t>
      </w:r>
    </w:p>
    <w:p w14:paraId="42A13921"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Note 11. Retirement-Related Benefits</w:t>
      </w:r>
    </w:p>
    <w:p w14:paraId="42A1392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Company offers a 401(k) plan for associates in the U.S. under which eligible associates can begin contributing to the plan immediately upon hire. The </w:t>
      </w:r>
      <w:r>
        <w:rPr>
          <w:rFonts w:ascii="Times New Roman" w:eastAsia="宋体" w:hAnsi="Times New Roman"/>
          <w:sz w:val="20"/>
          <w:szCs w:val="20"/>
        </w:rPr>
        <w:t>Company also offers a 401(k) type plan for associates in Puerto Rico under which associates can begin to contribute generally after one year of employment. Under these plans, after one year of employment, the Company matches 100% of participant contributio</w:t>
      </w:r>
      <w:r>
        <w:rPr>
          <w:rFonts w:ascii="Times New Roman" w:eastAsia="宋体" w:hAnsi="Times New Roman"/>
          <w:sz w:val="20"/>
          <w:szCs w:val="20"/>
        </w:rPr>
        <w:t>ns up to 6% of annual eligible earnings. The matching contributions immediately vest at 100% for each associate. Participants can contribute up to 50% of their pretax earnings, but not more than the statutory limits.</w:t>
      </w:r>
    </w:p>
    <w:p w14:paraId="42A1392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Associates in international countries w</w:t>
      </w:r>
      <w:r>
        <w:rPr>
          <w:rFonts w:ascii="Times New Roman" w:eastAsia="宋体" w:hAnsi="Times New Roman"/>
          <w:sz w:val="20"/>
          <w:szCs w:val="20"/>
        </w:rPr>
        <w:t>ho are not U.S. citizens are covered by various defined contribution post-employment benefit arrangements. These plans are administered based upon the legislative and tax requirements in the countries in which they are established.</w:t>
      </w:r>
    </w:p>
    <w:p w14:paraId="42A13924" w14:textId="77777777" w:rsidR="00BB68E1" w:rsidRDefault="00BB68E1">
      <w:pPr>
        <w:rPr>
          <w:rFonts w:ascii="Times New Roman" w:hAnsi="Times New Roman"/>
          <w:sz w:val="20"/>
          <w:szCs w:val="20"/>
        </w:rPr>
      </w:pPr>
    </w:p>
    <w:p w14:paraId="42A13925"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73</w:t>
      </w:r>
    </w:p>
    <w:p w14:paraId="42A13926" w14:textId="77777777" w:rsidR="00BB68E1" w:rsidRDefault="00BB68E1">
      <w:pPr>
        <w:spacing w:line="288" w:lineRule="auto"/>
        <w:jc w:val="center"/>
        <w:rPr>
          <w:rFonts w:ascii="Times New Roman" w:hAnsi="Times New Roman"/>
          <w:sz w:val="20"/>
          <w:szCs w:val="20"/>
        </w:rPr>
      </w:pPr>
    </w:p>
    <w:p w14:paraId="42A13927" w14:textId="77777777" w:rsidR="00BB68E1" w:rsidRDefault="005D2D5E">
      <w:r>
        <w:rPr>
          <w:rFonts w:ascii="Times New Roman" w:hAnsi="Times New Roman"/>
          <w:sz w:val="20"/>
          <w:szCs w:val="20"/>
        </w:rPr>
        <w:pict w14:anchorId="42A142C0">
          <v:rect id="_x0000_i1097" style="width:415.3pt;height:1.5pt" o:hralign="center" o:hrstd="t" o:hr="t" fillcolor="#a0a0a0" stroked="f"/>
        </w:pict>
      </w:r>
    </w:p>
    <w:p w14:paraId="42A13928" w14:textId="77777777" w:rsidR="00BB68E1" w:rsidRDefault="00BB68E1">
      <w:pPr>
        <w:spacing w:line="288" w:lineRule="auto"/>
        <w:rPr>
          <w:rFonts w:ascii="Times New Roman" w:hAnsi="Times New Roman"/>
          <w:sz w:val="20"/>
          <w:szCs w:val="20"/>
        </w:rPr>
      </w:pPr>
    </w:p>
    <w:p w14:paraId="42A13929" w14:textId="77777777" w:rsidR="00BB68E1" w:rsidRDefault="00BB68E1">
      <w:pPr>
        <w:rPr>
          <w:rFonts w:ascii="Times New Roman" w:hAnsi="Times New Roman"/>
          <w:sz w:val="20"/>
          <w:szCs w:val="20"/>
        </w:rPr>
      </w:pPr>
    </w:p>
    <w:p w14:paraId="42A1392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following t</w:t>
      </w:r>
      <w:r>
        <w:rPr>
          <w:rFonts w:ascii="Times New Roman" w:eastAsia="宋体" w:hAnsi="Times New Roman"/>
          <w:sz w:val="20"/>
          <w:szCs w:val="20"/>
        </w:rPr>
        <w:t>able summarizes the contribution expense related to the Company's defined contribution plans for fiscal 2020, 2019 and 2018:</w:t>
      </w:r>
    </w:p>
    <w:tbl>
      <w:tblPr>
        <w:tblW w:w="5000" w:type="pct"/>
        <w:jc w:val="center"/>
        <w:tblCellMar>
          <w:left w:w="0" w:type="dxa"/>
          <w:right w:w="0" w:type="dxa"/>
        </w:tblCellMar>
        <w:tblLook w:val="04A0" w:firstRow="1" w:lastRow="0" w:firstColumn="1" w:lastColumn="0" w:noHBand="0" w:noVBand="1"/>
      </w:tblPr>
      <w:tblGrid>
        <w:gridCol w:w="5279"/>
        <w:gridCol w:w="130"/>
        <w:gridCol w:w="120"/>
        <w:gridCol w:w="712"/>
        <w:gridCol w:w="47"/>
        <w:gridCol w:w="130"/>
        <w:gridCol w:w="120"/>
        <w:gridCol w:w="712"/>
        <w:gridCol w:w="47"/>
        <w:gridCol w:w="130"/>
        <w:gridCol w:w="120"/>
        <w:gridCol w:w="712"/>
        <w:gridCol w:w="47"/>
      </w:tblGrid>
      <w:tr w:rsidR="00BB68E1" w14:paraId="42A1392C" w14:textId="77777777">
        <w:trPr>
          <w:jc w:val="center"/>
        </w:trPr>
        <w:tc>
          <w:tcPr>
            <w:tcW w:w="0" w:type="auto"/>
            <w:gridSpan w:val="13"/>
            <w:shd w:val="clear" w:color="auto" w:fill="auto"/>
            <w:vAlign w:val="center"/>
          </w:tcPr>
          <w:p w14:paraId="42A1392B" w14:textId="77777777" w:rsidR="00BB68E1" w:rsidRDefault="00BB68E1">
            <w:pPr>
              <w:rPr>
                <w:rFonts w:ascii="Times New Roman" w:hAnsi="Times New Roman"/>
                <w:sz w:val="20"/>
                <w:szCs w:val="20"/>
              </w:rPr>
            </w:pPr>
          </w:p>
        </w:tc>
      </w:tr>
      <w:tr w:rsidR="00BB68E1" w14:paraId="42A1393A" w14:textId="77777777">
        <w:trPr>
          <w:jc w:val="center"/>
        </w:trPr>
        <w:tc>
          <w:tcPr>
            <w:tcW w:w="3200" w:type="pct"/>
            <w:shd w:val="clear" w:color="auto" w:fill="auto"/>
            <w:vAlign w:val="center"/>
          </w:tcPr>
          <w:p w14:paraId="42A1392D" w14:textId="77777777" w:rsidR="00BB68E1" w:rsidRDefault="00BB68E1">
            <w:pPr>
              <w:rPr>
                <w:rFonts w:ascii="Times New Roman" w:hAnsi="Times New Roman"/>
                <w:sz w:val="20"/>
                <w:szCs w:val="20"/>
              </w:rPr>
            </w:pPr>
          </w:p>
        </w:tc>
        <w:tc>
          <w:tcPr>
            <w:tcW w:w="50" w:type="pct"/>
            <w:shd w:val="clear" w:color="auto" w:fill="auto"/>
            <w:vAlign w:val="center"/>
          </w:tcPr>
          <w:p w14:paraId="42A1392E" w14:textId="77777777" w:rsidR="00BB68E1" w:rsidRDefault="00BB68E1">
            <w:pPr>
              <w:rPr>
                <w:rFonts w:ascii="Times New Roman" w:hAnsi="Times New Roman"/>
                <w:sz w:val="20"/>
                <w:szCs w:val="20"/>
              </w:rPr>
            </w:pPr>
          </w:p>
        </w:tc>
        <w:tc>
          <w:tcPr>
            <w:tcW w:w="50" w:type="pct"/>
            <w:shd w:val="clear" w:color="auto" w:fill="auto"/>
            <w:vAlign w:val="center"/>
          </w:tcPr>
          <w:p w14:paraId="42A1392F" w14:textId="77777777" w:rsidR="00BB68E1" w:rsidRDefault="00BB68E1">
            <w:pPr>
              <w:rPr>
                <w:rFonts w:ascii="Times New Roman" w:hAnsi="Times New Roman"/>
                <w:sz w:val="20"/>
                <w:szCs w:val="20"/>
              </w:rPr>
            </w:pPr>
          </w:p>
        </w:tc>
        <w:tc>
          <w:tcPr>
            <w:tcW w:w="450" w:type="pct"/>
            <w:shd w:val="clear" w:color="auto" w:fill="auto"/>
            <w:vAlign w:val="center"/>
          </w:tcPr>
          <w:p w14:paraId="42A13930" w14:textId="77777777" w:rsidR="00BB68E1" w:rsidRDefault="00BB68E1">
            <w:pPr>
              <w:rPr>
                <w:rFonts w:ascii="Times New Roman" w:hAnsi="Times New Roman"/>
                <w:sz w:val="20"/>
                <w:szCs w:val="20"/>
              </w:rPr>
            </w:pPr>
          </w:p>
        </w:tc>
        <w:tc>
          <w:tcPr>
            <w:tcW w:w="50" w:type="pct"/>
            <w:shd w:val="clear" w:color="auto" w:fill="auto"/>
            <w:vAlign w:val="center"/>
          </w:tcPr>
          <w:p w14:paraId="42A13931" w14:textId="77777777" w:rsidR="00BB68E1" w:rsidRDefault="00BB68E1">
            <w:pPr>
              <w:rPr>
                <w:rFonts w:ascii="Times New Roman" w:hAnsi="Times New Roman"/>
                <w:sz w:val="20"/>
                <w:szCs w:val="20"/>
              </w:rPr>
            </w:pPr>
          </w:p>
        </w:tc>
        <w:tc>
          <w:tcPr>
            <w:tcW w:w="50" w:type="pct"/>
            <w:shd w:val="clear" w:color="auto" w:fill="auto"/>
            <w:vAlign w:val="center"/>
          </w:tcPr>
          <w:p w14:paraId="42A13932" w14:textId="77777777" w:rsidR="00BB68E1" w:rsidRDefault="00BB68E1">
            <w:pPr>
              <w:rPr>
                <w:rFonts w:ascii="Times New Roman" w:hAnsi="Times New Roman"/>
                <w:sz w:val="20"/>
                <w:szCs w:val="20"/>
              </w:rPr>
            </w:pPr>
          </w:p>
        </w:tc>
        <w:tc>
          <w:tcPr>
            <w:tcW w:w="50" w:type="pct"/>
            <w:shd w:val="clear" w:color="auto" w:fill="auto"/>
            <w:vAlign w:val="center"/>
          </w:tcPr>
          <w:p w14:paraId="42A13933" w14:textId="77777777" w:rsidR="00BB68E1" w:rsidRDefault="00BB68E1">
            <w:pPr>
              <w:rPr>
                <w:rFonts w:ascii="Times New Roman" w:hAnsi="Times New Roman"/>
                <w:sz w:val="20"/>
                <w:szCs w:val="20"/>
              </w:rPr>
            </w:pPr>
          </w:p>
        </w:tc>
        <w:tc>
          <w:tcPr>
            <w:tcW w:w="450" w:type="pct"/>
            <w:shd w:val="clear" w:color="auto" w:fill="auto"/>
            <w:vAlign w:val="center"/>
          </w:tcPr>
          <w:p w14:paraId="42A13934" w14:textId="77777777" w:rsidR="00BB68E1" w:rsidRDefault="00BB68E1">
            <w:pPr>
              <w:rPr>
                <w:rFonts w:ascii="Times New Roman" w:hAnsi="Times New Roman"/>
                <w:sz w:val="20"/>
                <w:szCs w:val="20"/>
              </w:rPr>
            </w:pPr>
          </w:p>
        </w:tc>
        <w:tc>
          <w:tcPr>
            <w:tcW w:w="50" w:type="pct"/>
            <w:shd w:val="clear" w:color="auto" w:fill="auto"/>
            <w:vAlign w:val="center"/>
          </w:tcPr>
          <w:p w14:paraId="42A13935" w14:textId="77777777" w:rsidR="00BB68E1" w:rsidRDefault="00BB68E1">
            <w:pPr>
              <w:rPr>
                <w:rFonts w:ascii="Times New Roman" w:hAnsi="Times New Roman"/>
                <w:sz w:val="20"/>
                <w:szCs w:val="20"/>
              </w:rPr>
            </w:pPr>
          </w:p>
        </w:tc>
        <w:tc>
          <w:tcPr>
            <w:tcW w:w="50" w:type="pct"/>
            <w:shd w:val="clear" w:color="auto" w:fill="auto"/>
            <w:vAlign w:val="center"/>
          </w:tcPr>
          <w:p w14:paraId="42A13936" w14:textId="77777777" w:rsidR="00BB68E1" w:rsidRDefault="00BB68E1">
            <w:pPr>
              <w:rPr>
                <w:rFonts w:ascii="Times New Roman" w:hAnsi="Times New Roman"/>
                <w:sz w:val="20"/>
                <w:szCs w:val="20"/>
              </w:rPr>
            </w:pPr>
          </w:p>
        </w:tc>
        <w:tc>
          <w:tcPr>
            <w:tcW w:w="50" w:type="pct"/>
            <w:shd w:val="clear" w:color="auto" w:fill="auto"/>
            <w:vAlign w:val="center"/>
          </w:tcPr>
          <w:p w14:paraId="42A13937" w14:textId="77777777" w:rsidR="00BB68E1" w:rsidRDefault="00BB68E1">
            <w:pPr>
              <w:rPr>
                <w:rFonts w:ascii="Times New Roman" w:hAnsi="Times New Roman"/>
                <w:sz w:val="20"/>
                <w:szCs w:val="20"/>
              </w:rPr>
            </w:pPr>
          </w:p>
        </w:tc>
        <w:tc>
          <w:tcPr>
            <w:tcW w:w="450" w:type="pct"/>
            <w:shd w:val="clear" w:color="auto" w:fill="auto"/>
            <w:vAlign w:val="center"/>
          </w:tcPr>
          <w:p w14:paraId="42A13938" w14:textId="77777777" w:rsidR="00BB68E1" w:rsidRDefault="00BB68E1">
            <w:pPr>
              <w:rPr>
                <w:rFonts w:ascii="Times New Roman" w:hAnsi="Times New Roman"/>
                <w:sz w:val="20"/>
                <w:szCs w:val="20"/>
              </w:rPr>
            </w:pPr>
          </w:p>
        </w:tc>
        <w:tc>
          <w:tcPr>
            <w:tcW w:w="50" w:type="pct"/>
            <w:shd w:val="clear" w:color="auto" w:fill="auto"/>
            <w:vAlign w:val="center"/>
          </w:tcPr>
          <w:p w14:paraId="42A13939" w14:textId="77777777" w:rsidR="00BB68E1" w:rsidRDefault="00BB68E1">
            <w:pPr>
              <w:rPr>
                <w:rFonts w:ascii="Times New Roman" w:hAnsi="Times New Roman"/>
                <w:sz w:val="20"/>
                <w:szCs w:val="20"/>
              </w:rPr>
            </w:pPr>
          </w:p>
        </w:tc>
      </w:tr>
      <w:tr w:rsidR="00BB68E1" w14:paraId="42A1393E" w14:textId="77777777">
        <w:trPr>
          <w:jc w:val="center"/>
        </w:trPr>
        <w:tc>
          <w:tcPr>
            <w:tcW w:w="0" w:type="auto"/>
            <w:shd w:val="clear" w:color="auto" w:fill="auto"/>
            <w:tcMar>
              <w:top w:w="40" w:type="dxa"/>
              <w:left w:w="40" w:type="dxa"/>
              <w:bottom w:w="40" w:type="dxa"/>
              <w:right w:w="40" w:type="dxa"/>
            </w:tcMar>
            <w:vAlign w:val="bottom"/>
          </w:tcPr>
          <w:p w14:paraId="42A139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9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393D"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3946" w14:textId="77777777">
        <w:trPr>
          <w:jc w:val="center"/>
        </w:trPr>
        <w:tc>
          <w:tcPr>
            <w:tcW w:w="0" w:type="auto"/>
            <w:shd w:val="clear" w:color="auto" w:fill="auto"/>
            <w:tcMar>
              <w:top w:w="40" w:type="dxa"/>
              <w:left w:w="40" w:type="dxa"/>
              <w:bottom w:w="40" w:type="dxa"/>
              <w:right w:w="40" w:type="dxa"/>
            </w:tcMar>
            <w:vAlign w:val="bottom"/>
          </w:tcPr>
          <w:p w14:paraId="42A1393F"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394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941"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394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94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394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945"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394E" w14:textId="77777777">
        <w:trPr>
          <w:jc w:val="center"/>
        </w:trPr>
        <w:tc>
          <w:tcPr>
            <w:tcW w:w="0" w:type="auto"/>
            <w:shd w:val="clear" w:color="auto" w:fill="CCEEFF"/>
            <w:tcMar>
              <w:top w:w="40" w:type="dxa"/>
              <w:left w:w="40" w:type="dxa"/>
              <w:bottom w:w="40" w:type="dxa"/>
              <w:right w:w="40" w:type="dxa"/>
            </w:tcMar>
            <w:vAlign w:val="center"/>
          </w:tcPr>
          <w:p w14:paraId="42A13947"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Defined contribution plans:</w:t>
            </w:r>
          </w:p>
        </w:tc>
        <w:tc>
          <w:tcPr>
            <w:tcW w:w="0" w:type="auto"/>
            <w:shd w:val="clear" w:color="auto" w:fill="CCEEFF"/>
            <w:tcMar>
              <w:top w:w="40" w:type="dxa"/>
              <w:left w:w="40" w:type="dxa"/>
              <w:bottom w:w="40" w:type="dxa"/>
              <w:right w:w="40" w:type="dxa"/>
            </w:tcMar>
            <w:vAlign w:val="bottom"/>
          </w:tcPr>
          <w:p w14:paraId="42A1394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42A1394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94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42A1394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94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9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95C" w14:textId="77777777">
        <w:trPr>
          <w:jc w:val="center"/>
        </w:trPr>
        <w:tc>
          <w:tcPr>
            <w:tcW w:w="0" w:type="auto"/>
            <w:shd w:val="clear" w:color="auto" w:fill="auto"/>
            <w:tcMar>
              <w:top w:w="40" w:type="dxa"/>
              <w:left w:w="400" w:type="dxa"/>
              <w:bottom w:w="40" w:type="dxa"/>
              <w:right w:w="40" w:type="dxa"/>
            </w:tcMar>
            <w:vAlign w:val="center"/>
          </w:tcPr>
          <w:p w14:paraId="42A1394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U.S.</w:t>
            </w:r>
          </w:p>
        </w:tc>
        <w:tc>
          <w:tcPr>
            <w:tcW w:w="0" w:type="auto"/>
            <w:shd w:val="clear" w:color="auto" w:fill="auto"/>
            <w:tcMar>
              <w:top w:w="40" w:type="dxa"/>
              <w:left w:w="40" w:type="dxa"/>
              <w:bottom w:w="40" w:type="dxa"/>
              <w:right w:w="40" w:type="dxa"/>
            </w:tcMar>
            <w:vAlign w:val="bottom"/>
          </w:tcPr>
          <w:p w14:paraId="42A1395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95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95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1,184</w:t>
            </w:r>
          </w:p>
        </w:tc>
        <w:tc>
          <w:tcPr>
            <w:tcW w:w="0" w:type="auto"/>
            <w:shd w:val="clear" w:color="auto" w:fill="auto"/>
            <w:vAlign w:val="bottom"/>
          </w:tcPr>
          <w:p w14:paraId="42A1395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9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95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95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1,165</w:t>
            </w:r>
          </w:p>
        </w:tc>
        <w:tc>
          <w:tcPr>
            <w:tcW w:w="0" w:type="auto"/>
            <w:shd w:val="clear" w:color="auto" w:fill="auto"/>
            <w:vAlign w:val="bottom"/>
          </w:tcPr>
          <w:p w14:paraId="42A1395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95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95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95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1,124</w:t>
            </w:r>
          </w:p>
        </w:tc>
        <w:tc>
          <w:tcPr>
            <w:tcW w:w="0" w:type="auto"/>
            <w:shd w:val="clear" w:color="auto" w:fill="auto"/>
            <w:vAlign w:val="bottom"/>
          </w:tcPr>
          <w:p w14:paraId="42A1395B" w14:textId="77777777" w:rsidR="00BB68E1" w:rsidRDefault="00BB68E1">
            <w:pPr>
              <w:textAlignment w:val="bottom"/>
              <w:rPr>
                <w:rFonts w:ascii="Times New Roman" w:hAnsi="Times New Roman"/>
                <w:sz w:val="20"/>
                <w:szCs w:val="20"/>
              </w:rPr>
            </w:pPr>
          </w:p>
        </w:tc>
      </w:tr>
      <w:tr w:rsidR="00BB68E1" w14:paraId="42A13967" w14:textId="77777777">
        <w:trPr>
          <w:jc w:val="center"/>
        </w:trPr>
        <w:tc>
          <w:tcPr>
            <w:tcW w:w="0" w:type="auto"/>
            <w:shd w:val="clear" w:color="auto" w:fill="CCEEFF"/>
            <w:tcMar>
              <w:top w:w="40" w:type="dxa"/>
              <w:left w:w="400" w:type="dxa"/>
              <w:bottom w:w="40" w:type="dxa"/>
              <w:right w:w="40" w:type="dxa"/>
            </w:tcMar>
            <w:vAlign w:val="center"/>
          </w:tcPr>
          <w:p w14:paraId="42A1395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International</w:t>
            </w:r>
          </w:p>
        </w:tc>
        <w:tc>
          <w:tcPr>
            <w:tcW w:w="0" w:type="auto"/>
            <w:shd w:val="clear" w:color="auto" w:fill="CCEEFF"/>
            <w:tcMar>
              <w:top w:w="40" w:type="dxa"/>
              <w:left w:w="40" w:type="dxa"/>
              <w:bottom w:w="40" w:type="dxa"/>
              <w:right w:w="40" w:type="dxa"/>
            </w:tcMar>
            <w:vAlign w:val="bottom"/>
          </w:tcPr>
          <w:p w14:paraId="42A1395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95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177</w:t>
            </w:r>
          </w:p>
        </w:tc>
        <w:tc>
          <w:tcPr>
            <w:tcW w:w="0" w:type="auto"/>
            <w:tcBorders>
              <w:bottom w:val="single" w:sz="8" w:space="0" w:color="000000"/>
            </w:tcBorders>
            <w:shd w:val="clear" w:color="auto" w:fill="CCEEFF"/>
            <w:vAlign w:val="bottom"/>
          </w:tcPr>
          <w:p w14:paraId="42A1396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96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96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126</w:t>
            </w:r>
          </w:p>
        </w:tc>
        <w:tc>
          <w:tcPr>
            <w:tcW w:w="0" w:type="auto"/>
            <w:shd w:val="clear" w:color="auto" w:fill="CCEEFF"/>
            <w:vAlign w:val="bottom"/>
          </w:tcPr>
          <w:p w14:paraId="42A1396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96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96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126</w:t>
            </w:r>
          </w:p>
        </w:tc>
        <w:tc>
          <w:tcPr>
            <w:tcW w:w="0" w:type="auto"/>
            <w:shd w:val="clear" w:color="auto" w:fill="CCEEFF"/>
            <w:vAlign w:val="bottom"/>
          </w:tcPr>
          <w:p w14:paraId="42A13966" w14:textId="77777777" w:rsidR="00BB68E1" w:rsidRDefault="00BB68E1">
            <w:pPr>
              <w:textAlignment w:val="bottom"/>
              <w:rPr>
                <w:rFonts w:ascii="Times New Roman" w:hAnsi="Times New Roman"/>
                <w:sz w:val="20"/>
                <w:szCs w:val="20"/>
              </w:rPr>
            </w:pPr>
          </w:p>
        </w:tc>
      </w:tr>
      <w:tr w:rsidR="00BB68E1" w14:paraId="42A13975" w14:textId="77777777">
        <w:trPr>
          <w:jc w:val="center"/>
        </w:trPr>
        <w:tc>
          <w:tcPr>
            <w:tcW w:w="0" w:type="auto"/>
            <w:shd w:val="clear" w:color="auto" w:fill="auto"/>
            <w:tcMar>
              <w:top w:w="40" w:type="dxa"/>
              <w:left w:w="40" w:type="dxa"/>
              <w:bottom w:w="40" w:type="dxa"/>
              <w:right w:w="40" w:type="dxa"/>
            </w:tcMar>
            <w:vAlign w:val="center"/>
          </w:tcPr>
          <w:p w14:paraId="42A13968"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contribution expense for defined contribution plans</w:t>
            </w:r>
          </w:p>
        </w:tc>
        <w:tc>
          <w:tcPr>
            <w:tcW w:w="0" w:type="auto"/>
            <w:shd w:val="clear" w:color="auto" w:fill="auto"/>
            <w:tcMar>
              <w:top w:w="40" w:type="dxa"/>
              <w:left w:w="40" w:type="dxa"/>
              <w:bottom w:w="40" w:type="dxa"/>
              <w:right w:w="40" w:type="dxa"/>
            </w:tcMar>
            <w:vAlign w:val="bottom"/>
          </w:tcPr>
          <w:p w14:paraId="42A1396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396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396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1,361</w:t>
            </w:r>
          </w:p>
        </w:tc>
        <w:tc>
          <w:tcPr>
            <w:tcW w:w="0" w:type="auto"/>
            <w:tcBorders>
              <w:top w:val="single" w:sz="8" w:space="0" w:color="000000"/>
              <w:bottom w:val="double" w:sz="6" w:space="0" w:color="000000"/>
            </w:tcBorders>
            <w:shd w:val="clear" w:color="auto" w:fill="auto"/>
            <w:vAlign w:val="bottom"/>
          </w:tcPr>
          <w:p w14:paraId="42A1396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96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396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396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1,291</w:t>
            </w:r>
          </w:p>
        </w:tc>
        <w:tc>
          <w:tcPr>
            <w:tcW w:w="0" w:type="auto"/>
            <w:tcBorders>
              <w:top w:val="single" w:sz="8" w:space="0" w:color="000000"/>
              <w:bottom w:val="double" w:sz="6" w:space="0" w:color="000000"/>
            </w:tcBorders>
            <w:shd w:val="clear" w:color="auto" w:fill="auto"/>
            <w:vAlign w:val="bottom"/>
          </w:tcPr>
          <w:p w14:paraId="42A1397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97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397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397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1,250</w:t>
            </w:r>
          </w:p>
        </w:tc>
        <w:tc>
          <w:tcPr>
            <w:tcW w:w="0" w:type="auto"/>
            <w:tcBorders>
              <w:top w:val="single" w:sz="8" w:space="0" w:color="000000"/>
              <w:bottom w:val="double" w:sz="6" w:space="0" w:color="000000"/>
            </w:tcBorders>
            <w:shd w:val="clear" w:color="auto" w:fill="auto"/>
            <w:vAlign w:val="bottom"/>
          </w:tcPr>
          <w:p w14:paraId="42A13974" w14:textId="77777777" w:rsidR="00BB68E1" w:rsidRDefault="00BB68E1">
            <w:pPr>
              <w:textAlignment w:val="bottom"/>
              <w:rPr>
                <w:rFonts w:ascii="Times New Roman" w:hAnsi="Times New Roman"/>
                <w:sz w:val="20"/>
                <w:szCs w:val="20"/>
              </w:rPr>
            </w:pPr>
          </w:p>
        </w:tc>
      </w:tr>
    </w:tbl>
    <w:p w14:paraId="42A13976" w14:textId="77777777" w:rsidR="00BB68E1" w:rsidRDefault="00BB68E1">
      <w:pPr>
        <w:spacing w:line="288" w:lineRule="auto"/>
        <w:jc w:val="center"/>
        <w:rPr>
          <w:rFonts w:ascii="Times New Roman" w:hAnsi="Times New Roman"/>
          <w:sz w:val="20"/>
          <w:szCs w:val="20"/>
        </w:rPr>
      </w:pPr>
    </w:p>
    <w:p w14:paraId="42A1397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Additionally, the Company's subsidiaries in the United Kingdom and Japan have sponsored defined benefit pension plans. In October 2019, Asda, Walmart and the Trustee of the Asda Group Pension Scheme (the "Plan") entered into an agreement pursuant to which </w:t>
      </w:r>
      <w:r>
        <w:rPr>
          <w:rFonts w:ascii="Times New Roman" w:eastAsia="宋体" w:hAnsi="Times New Roman"/>
          <w:sz w:val="20"/>
          <w:szCs w:val="20"/>
        </w:rPr>
        <w:t xml:space="preserve">Asda made a cash contribution of $1.0 billion to the Plan (the "Asda Pension Contribution") which enabled the Plan to purchase a bulk annuity insurance contract for the benefit of Plan participants. The agreement between Asda, Walmart </w:t>
      </w:r>
      <w:r>
        <w:rPr>
          <w:rFonts w:ascii="Times New Roman" w:eastAsia="宋体" w:hAnsi="Times New Roman"/>
          <w:sz w:val="20"/>
          <w:szCs w:val="20"/>
        </w:rPr>
        <w:lastRenderedPageBreak/>
        <w:t>and the Trustee of th</w:t>
      </w:r>
      <w:r>
        <w:rPr>
          <w:rFonts w:ascii="Times New Roman" w:eastAsia="宋体" w:hAnsi="Times New Roman"/>
          <w:sz w:val="20"/>
          <w:szCs w:val="20"/>
        </w:rPr>
        <w:t>e Plan contemplates that subsequent to the purchase of the bulk annuity insurance contract by the Plan, each of the Plan participants will be issued an individual annuity contract. The issuer of the individual annuity insurance contracts will be solely res</w:t>
      </w:r>
      <w:r>
        <w:rPr>
          <w:rFonts w:ascii="Times New Roman" w:eastAsia="宋体" w:hAnsi="Times New Roman"/>
          <w:sz w:val="20"/>
          <w:szCs w:val="20"/>
        </w:rPr>
        <w:t>ponsible for paying each participant’s benefits in full and will release the Plan and Asda from any future obligations. The Company expects the issuance of individual annuity contracts to the Plan participants to take place in late fiscal 2021 or early fis</w:t>
      </w:r>
      <w:r>
        <w:rPr>
          <w:rFonts w:ascii="Times New Roman" w:eastAsia="宋体" w:hAnsi="Times New Roman"/>
          <w:sz w:val="20"/>
          <w:szCs w:val="20"/>
        </w:rPr>
        <w:t xml:space="preserve">cal 2022, which will trigger a pension settlement that will result in all Plan balances, including accumulated pension components within other comprehensive income, being charged to expense. </w:t>
      </w:r>
    </w:p>
    <w:p w14:paraId="42A13978"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defined benefit pension plan in Japan was underfunded by $14</w:t>
      </w:r>
      <w:r>
        <w:rPr>
          <w:rFonts w:ascii="Times New Roman" w:eastAsia="宋体" w:hAnsi="Times New Roman"/>
          <w:sz w:val="20"/>
          <w:szCs w:val="20"/>
        </w:rPr>
        <w:t>0 million and $175 million as of January 31, 2020 and 2019, respectively and recorded as a liability in the Company's Consolidated Balance Sheets in deferred income taxes and other. Certain other international operations also have defined benefit arrangeme</w:t>
      </w:r>
      <w:r>
        <w:rPr>
          <w:rFonts w:ascii="Times New Roman" w:eastAsia="宋体" w:hAnsi="Times New Roman"/>
          <w:sz w:val="20"/>
          <w:szCs w:val="20"/>
        </w:rPr>
        <w:t>nts that are not significant.</w:t>
      </w:r>
    </w:p>
    <w:p w14:paraId="42A13979"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Note 12. Disposals, Acquisitions and Related Items</w:t>
      </w:r>
    </w:p>
    <w:p w14:paraId="42A1397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following material disposals, acquisitions and other items impact the Company's Walmart International segment. Other immaterial transactions have also occurred or been ann</w:t>
      </w:r>
      <w:r>
        <w:rPr>
          <w:rFonts w:ascii="Times New Roman" w:eastAsia="宋体" w:hAnsi="Times New Roman"/>
          <w:sz w:val="20"/>
          <w:szCs w:val="20"/>
        </w:rPr>
        <w:t xml:space="preserve">ounced. </w:t>
      </w:r>
    </w:p>
    <w:p w14:paraId="42A1397B"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Walmart Brazil</w:t>
      </w:r>
    </w:p>
    <w:p w14:paraId="42A1397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August 2018, the Company sold an 80 percent stake of Walmart Brazil to Advent International ("Advent"). Under the terms of the sale, Advent agreed to contribute additional capital to the business over a three-year period and Walm</w:t>
      </w:r>
      <w:r>
        <w:rPr>
          <w:rFonts w:ascii="Times New Roman" w:eastAsia="宋体" w:hAnsi="Times New Roman"/>
          <w:sz w:val="20"/>
          <w:szCs w:val="20"/>
        </w:rPr>
        <w:t xml:space="preserve">art agreed to indemnify Advent for certain matters. </w:t>
      </w:r>
    </w:p>
    <w:p w14:paraId="42A1397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As a result, the Company recorded a pre-tax net loss of $4.8 billion during fiscal 2019 in other gains and losses in the Company's Consolidated Statement of Income. Substantially all of this charge was r</w:t>
      </w:r>
      <w:r>
        <w:rPr>
          <w:rFonts w:ascii="Times New Roman" w:eastAsia="宋体" w:hAnsi="Times New Roman"/>
          <w:sz w:val="20"/>
          <w:szCs w:val="20"/>
        </w:rPr>
        <w:t>ecorded during the second quarter of fiscal 2019 upon meeting the held for sale criteria. In calculating the loss, the fair value of the disposal group was reduced by $0.8 billion related to an indemnity, for which a liability was recognized upon closing a</w:t>
      </w:r>
      <w:r>
        <w:rPr>
          <w:rFonts w:ascii="Times New Roman" w:eastAsia="宋体" w:hAnsi="Times New Roman"/>
          <w:sz w:val="20"/>
          <w:szCs w:val="20"/>
        </w:rPr>
        <w:t>nd is recorded in deferred income taxes and other in the Company's Consolidated Balance Sheets. Under the indemnity, the Company will indemnify Advent for certain pre-closing tax and legal contingencies and other matters for up to R$2.3 billion, adjusted f</w:t>
      </w:r>
      <w:r>
        <w:rPr>
          <w:rFonts w:ascii="Times New Roman" w:eastAsia="宋体" w:hAnsi="Times New Roman"/>
          <w:sz w:val="20"/>
          <w:szCs w:val="20"/>
        </w:rPr>
        <w:t>or interest based on the Brazilian interbank deposit rate.</w:t>
      </w:r>
    </w:p>
    <w:p w14:paraId="42A1397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deconsolidated the financial statements of Walmart Brazil during the third quarter of fiscal 2019 and began accounting for its remaining 20 percent ownership interest using the equity m</w:t>
      </w:r>
      <w:r>
        <w:rPr>
          <w:rFonts w:ascii="Times New Roman" w:eastAsia="宋体" w:hAnsi="Times New Roman"/>
          <w:sz w:val="20"/>
          <w:szCs w:val="20"/>
        </w:rPr>
        <w:t>ethod of accounting. This equity method investment was determined to have no fair value and continues to have no carrying value.</w:t>
      </w:r>
    </w:p>
    <w:p w14:paraId="42A1397F"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Flipkart</w:t>
      </w:r>
    </w:p>
    <w:p w14:paraId="42A1398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August 2018, the Company acquired 81 percent of the outstanding shares, or 77 percent of the diluted shares, of Fli</w:t>
      </w:r>
      <w:r>
        <w:rPr>
          <w:rFonts w:ascii="Times New Roman" w:eastAsia="宋体" w:hAnsi="Times New Roman"/>
          <w:sz w:val="20"/>
          <w:szCs w:val="20"/>
        </w:rPr>
        <w:t>pkart, an Indian-based eCommerce marketplace, for cash consideration of approximately $16 billion. The acquisition increases the Company's investment in India, a large, growing economy. In the second quarter of fiscal 2020, the Company finalized the valuat</w:t>
      </w:r>
      <w:r>
        <w:rPr>
          <w:rFonts w:ascii="Times New Roman" w:eastAsia="宋体" w:hAnsi="Times New Roman"/>
          <w:sz w:val="20"/>
          <w:szCs w:val="20"/>
        </w:rPr>
        <w:t>ion of assets acquired and liabilities assumed for the Flipkart acquisition as follows: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3983" w14:textId="77777777">
        <w:trPr>
          <w:tblCellSpacing w:w="0" w:type="dxa"/>
        </w:trPr>
        <w:tc>
          <w:tcPr>
            <w:tcW w:w="960" w:type="dxa"/>
            <w:shd w:val="clear" w:color="auto" w:fill="auto"/>
            <w:vAlign w:val="center"/>
          </w:tcPr>
          <w:p w14:paraId="42A13981" w14:textId="77777777" w:rsidR="00BB68E1" w:rsidRDefault="00BB68E1">
            <w:pPr>
              <w:rPr>
                <w:rFonts w:ascii="Times New Roman" w:hAnsi="Times New Roman"/>
                <w:sz w:val="20"/>
                <w:szCs w:val="20"/>
              </w:rPr>
            </w:pPr>
          </w:p>
        </w:tc>
        <w:tc>
          <w:tcPr>
            <w:tcW w:w="0" w:type="auto"/>
            <w:shd w:val="clear" w:color="auto" w:fill="auto"/>
            <w:vAlign w:val="center"/>
          </w:tcPr>
          <w:p w14:paraId="42A13982" w14:textId="77777777" w:rsidR="00BB68E1" w:rsidRDefault="00BB68E1">
            <w:pPr>
              <w:rPr>
                <w:rFonts w:ascii="Times New Roman" w:hAnsi="Times New Roman"/>
                <w:sz w:val="20"/>
                <w:szCs w:val="20"/>
              </w:rPr>
            </w:pPr>
          </w:p>
        </w:tc>
      </w:tr>
      <w:tr w:rsidR="00BB68E1" w14:paraId="42A13986" w14:textId="77777777">
        <w:trPr>
          <w:tblCellSpacing w:w="0" w:type="dxa"/>
        </w:trPr>
        <w:tc>
          <w:tcPr>
            <w:tcW w:w="0" w:type="auto"/>
            <w:shd w:val="clear" w:color="auto" w:fill="auto"/>
          </w:tcPr>
          <w:p w14:paraId="42A13984"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3985"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Assets of $24.1 billion, which comprise primarily of $2.2 billion in cash and cash equivalents, $2.8 billion in other current assets, $5.0 billion in intangible as</w:t>
            </w:r>
            <w:r>
              <w:rPr>
                <w:rFonts w:ascii="Times New Roman" w:eastAsia="宋体" w:hAnsi="Times New Roman"/>
                <w:sz w:val="20"/>
                <w:szCs w:val="20"/>
              </w:rPr>
              <w:t>sets and $13.5 billion in goodwill. Of the intangible assets, $4.7 billion represents the fair value of trade names, each with an indefinite life, which were estimated using the income approach based on Level 3 unobservable inputs. The remaining $0.3 billi</w:t>
            </w:r>
            <w:r>
              <w:rPr>
                <w:rFonts w:ascii="Times New Roman" w:eastAsia="宋体" w:hAnsi="Times New Roman"/>
                <w:sz w:val="20"/>
                <w:szCs w:val="20"/>
              </w:rPr>
              <w:t>on of intangible assets primarily relate to acquired technology with a life of 3 years. The goodwill arising from the acquisition consists largely of anticipated synergies and economies of scale primarily related to procurement and logistics and is not exp</w:t>
            </w:r>
            <w:r>
              <w:rPr>
                <w:rFonts w:ascii="Times New Roman" w:eastAsia="宋体" w:hAnsi="Times New Roman"/>
                <w:sz w:val="20"/>
                <w:szCs w:val="20"/>
              </w:rPr>
              <w:t>ected to be deductible for tax purposes;</w:t>
            </w:r>
          </w:p>
        </w:tc>
      </w:tr>
    </w:tbl>
    <w:p w14:paraId="42A13987" w14:textId="77777777" w:rsidR="00BB68E1" w:rsidRDefault="00BB68E1">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398A" w14:textId="77777777">
        <w:trPr>
          <w:tblCellSpacing w:w="0" w:type="dxa"/>
        </w:trPr>
        <w:tc>
          <w:tcPr>
            <w:tcW w:w="960" w:type="dxa"/>
            <w:shd w:val="clear" w:color="auto" w:fill="auto"/>
            <w:vAlign w:val="center"/>
          </w:tcPr>
          <w:p w14:paraId="42A13988" w14:textId="77777777" w:rsidR="00BB68E1" w:rsidRDefault="00BB68E1">
            <w:pPr>
              <w:rPr>
                <w:rFonts w:ascii="Times New Roman" w:hAnsi="Times New Roman"/>
                <w:sz w:val="20"/>
                <w:szCs w:val="20"/>
              </w:rPr>
            </w:pPr>
          </w:p>
        </w:tc>
        <w:tc>
          <w:tcPr>
            <w:tcW w:w="0" w:type="auto"/>
            <w:shd w:val="clear" w:color="auto" w:fill="auto"/>
            <w:vAlign w:val="center"/>
          </w:tcPr>
          <w:p w14:paraId="42A13989" w14:textId="77777777" w:rsidR="00BB68E1" w:rsidRDefault="00BB68E1">
            <w:pPr>
              <w:rPr>
                <w:rFonts w:ascii="Times New Roman" w:hAnsi="Times New Roman"/>
                <w:sz w:val="20"/>
                <w:szCs w:val="20"/>
              </w:rPr>
            </w:pPr>
          </w:p>
        </w:tc>
      </w:tr>
      <w:tr w:rsidR="00BB68E1" w14:paraId="42A1398D" w14:textId="77777777">
        <w:trPr>
          <w:tblCellSpacing w:w="0" w:type="dxa"/>
        </w:trPr>
        <w:tc>
          <w:tcPr>
            <w:tcW w:w="0" w:type="auto"/>
            <w:shd w:val="clear" w:color="auto" w:fill="auto"/>
          </w:tcPr>
          <w:p w14:paraId="42A1398B"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398C"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Liabilities of $3.7 billion, which comprise primarily of $1.8 billion of current liabilities and $1.7 billion of deferred income taxes; and</w:t>
            </w:r>
          </w:p>
        </w:tc>
      </w:tr>
    </w:tbl>
    <w:p w14:paraId="42A1398E" w14:textId="77777777" w:rsidR="00BB68E1" w:rsidRDefault="00BB68E1">
      <w:pPr>
        <w:rPr>
          <w:rFonts w:ascii="Times New Roman" w:hAnsi="Times New Roman"/>
          <w:sz w:val="20"/>
          <w:szCs w:val="20"/>
        </w:rPr>
      </w:pPr>
    </w:p>
    <w:p w14:paraId="42A1398F"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74</w:t>
      </w:r>
    </w:p>
    <w:p w14:paraId="42A13990" w14:textId="77777777" w:rsidR="00BB68E1" w:rsidRDefault="00BB68E1">
      <w:pPr>
        <w:spacing w:line="288" w:lineRule="auto"/>
        <w:jc w:val="center"/>
        <w:rPr>
          <w:rFonts w:ascii="Times New Roman" w:hAnsi="Times New Roman"/>
          <w:sz w:val="20"/>
          <w:szCs w:val="20"/>
        </w:rPr>
      </w:pPr>
    </w:p>
    <w:p w14:paraId="42A13991" w14:textId="77777777" w:rsidR="00BB68E1" w:rsidRDefault="005D2D5E">
      <w:r>
        <w:rPr>
          <w:rFonts w:ascii="Times New Roman" w:hAnsi="Times New Roman"/>
          <w:sz w:val="20"/>
          <w:szCs w:val="20"/>
        </w:rPr>
        <w:pict w14:anchorId="42A142C1">
          <v:rect id="_x0000_i1098" style="width:415.3pt;height:1.5pt" o:hralign="center" o:hrstd="t" o:hr="t" fillcolor="#a0a0a0" stroked="f"/>
        </w:pict>
      </w:r>
    </w:p>
    <w:p w14:paraId="42A13992" w14:textId="77777777" w:rsidR="00BB68E1" w:rsidRDefault="00BB68E1">
      <w:pPr>
        <w:spacing w:line="288" w:lineRule="auto"/>
        <w:rPr>
          <w:rFonts w:ascii="Times New Roman" w:hAnsi="Times New Roman"/>
          <w:sz w:val="20"/>
          <w:szCs w:val="20"/>
        </w:rPr>
      </w:pPr>
    </w:p>
    <w:p w14:paraId="42A13993" w14:textId="77777777" w:rsidR="00BB68E1" w:rsidRDefault="00BB68E1">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3996" w14:textId="77777777">
        <w:trPr>
          <w:tblCellSpacing w:w="0" w:type="dxa"/>
        </w:trPr>
        <w:tc>
          <w:tcPr>
            <w:tcW w:w="960" w:type="dxa"/>
            <w:shd w:val="clear" w:color="auto" w:fill="auto"/>
            <w:vAlign w:val="center"/>
          </w:tcPr>
          <w:p w14:paraId="42A13994" w14:textId="77777777" w:rsidR="00BB68E1" w:rsidRDefault="00BB68E1">
            <w:pPr>
              <w:rPr>
                <w:rFonts w:ascii="Times New Roman" w:hAnsi="Times New Roman"/>
                <w:sz w:val="20"/>
                <w:szCs w:val="20"/>
              </w:rPr>
            </w:pPr>
          </w:p>
        </w:tc>
        <w:tc>
          <w:tcPr>
            <w:tcW w:w="0" w:type="auto"/>
            <w:shd w:val="clear" w:color="auto" w:fill="auto"/>
            <w:vAlign w:val="center"/>
          </w:tcPr>
          <w:p w14:paraId="42A13995" w14:textId="77777777" w:rsidR="00BB68E1" w:rsidRDefault="00BB68E1">
            <w:pPr>
              <w:rPr>
                <w:rFonts w:ascii="Times New Roman" w:hAnsi="Times New Roman"/>
                <w:sz w:val="20"/>
                <w:szCs w:val="20"/>
              </w:rPr>
            </w:pPr>
          </w:p>
        </w:tc>
      </w:tr>
      <w:tr w:rsidR="00BB68E1" w14:paraId="42A13999" w14:textId="77777777">
        <w:trPr>
          <w:tblCellSpacing w:w="0" w:type="dxa"/>
        </w:trPr>
        <w:tc>
          <w:tcPr>
            <w:tcW w:w="0" w:type="auto"/>
            <w:shd w:val="clear" w:color="auto" w:fill="auto"/>
          </w:tcPr>
          <w:p w14:paraId="42A13997"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2A13998"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 xml:space="preserve">Noncontrolling interest of $4.3 billion, for which the fair value was estimated using the income approach based on Level 3 unobservable inputs.  </w:t>
            </w:r>
          </w:p>
        </w:tc>
      </w:tr>
    </w:tbl>
    <w:p w14:paraId="42A1399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began consolidating the financial statements of Flipkart in the third quarter of fiscal 2019, usi</w:t>
      </w:r>
      <w:r>
        <w:rPr>
          <w:rFonts w:ascii="Times New Roman" w:eastAsia="宋体" w:hAnsi="Times New Roman"/>
          <w:sz w:val="20"/>
          <w:szCs w:val="20"/>
        </w:rPr>
        <w:t xml:space="preserve">ng a one-month lag. To finance the acquisition, the Company used a combination of cash provided by long-term debt as discussed in </w:t>
      </w:r>
      <w:hyperlink r:id="rId134" w:anchor="s64E2F877D8D85264BD3E92297916D05B" w:history="1">
        <w:r>
          <w:rPr>
            <w:rStyle w:val="a5"/>
            <w:rFonts w:ascii="Times New Roman" w:eastAsia="宋体" w:hAnsi="Times New Roman"/>
            <w:sz w:val="20"/>
            <w:szCs w:val="20"/>
          </w:rPr>
          <w:t>Note 6</w:t>
        </w:r>
      </w:hyperlink>
      <w:r>
        <w:rPr>
          <w:rFonts w:ascii="Times New Roman" w:eastAsia="宋体" w:hAnsi="Times New Roman"/>
          <w:sz w:val="20"/>
          <w:szCs w:val="20"/>
        </w:rPr>
        <w:t xml:space="preserve"> and cash on hand. The Flipkart results of operations since acquisition and the pro forma financial information are immaterial.</w:t>
      </w:r>
    </w:p>
    <w:p w14:paraId="42A1399B"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Note 13. Segments and Disaggregated Revenue</w:t>
      </w:r>
    </w:p>
    <w:p w14:paraId="42A1399C"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Segments</w:t>
      </w:r>
    </w:p>
    <w:p w14:paraId="42A1399D"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Company is engaged in the operatio</w:t>
      </w:r>
      <w:r>
        <w:rPr>
          <w:rFonts w:ascii="Times New Roman" w:eastAsia="宋体" w:hAnsi="Times New Roman"/>
          <w:sz w:val="20"/>
          <w:szCs w:val="20"/>
        </w:rPr>
        <w:t>n of retail, wholesale and other units, as well as eCommerce websites, located throughout the U.S., Africa, Argentina, Canada, Central America, Chile, China, India, Japan, Mexico and the United Kingdom. The Company previously operated in Brazil prior to th</w:t>
      </w:r>
      <w:r>
        <w:rPr>
          <w:rFonts w:ascii="Times New Roman" w:eastAsia="宋体" w:hAnsi="Times New Roman"/>
          <w:sz w:val="20"/>
          <w:szCs w:val="20"/>
        </w:rPr>
        <w:t xml:space="preserve">e sale of the majority stake of Walmart Brazil in fiscal 2019 discussed in </w:t>
      </w:r>
      <w:hyperlink r:id="rId135" w:anchor="sF3EC33622B9D5E9FA81B9AF6D8900DC8" w:history="1">
        <w:r>
          <w:rPr>
            <w:rStyle w:val="a5"/>
            <w:rFonts w:ascii="Times New Roman" w:eastAsia="宋体" w:hAnsi="Times New Roman"/>
            <w:sz w:val="20"/>
            <w:szCs w:val="20"/>
          </w:rPr>
          <w:t>Note 12</w:t>
        </w:r>
      </w:hyperlink>
      <w:r>
        <w:rPr>
          <w:rFonts w:ascii="Times New Roman" w:eastAsia="宋体" w:hAnsi="Times New Roman"/>
          <w:sz w:val="20"/>
          <w:szCs w:val="20"/>
        </w:rPr>
        <w:t>. The Company's o</w:t>
      </w:r>
      <w:r>
        <w:rPr>
          <w:rFonts w:ascii="Times New Roman" w:eastAsia="宋体" w:hAnsi="Times New Roman"/>
          <w:sz w:val="20"/>
          <w:szCs w:val="20"/>
        </w:rPr>
        <w:t>perations are conducted in three reportable segments: Walmart U.S., Walmart International and Sam's Club. The Company defines its segments as those operations whose results the chief operating decision maker ("CODM") regularly reviews to analyze performanc</w:t>
      </w:r>
      <w:r>
        <w:rPr>
          <w:rFonts w:ascii="Times New Roman" w:eastAsia="宋体" w:hAnsi="Times New Roman"/>
          <w:sz w:val="20"/>
          <w:szCs w:val="20"/>
        </w:rPr>
        <w:t>e and allocate resources. The Company sells similar individual products and services in each of its segments. It is impracticable to segregate and identify revenues for each of these individual products and services.</w:t>
      </w:r>
    </w:p>
    <w:p w14:paraId="42A1399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Walmart U.S. segment includes the C</w:t>
      </w:r>
      <w:r>
        <w:rPr>
          <w:rFonts w:ascii="Times New Roman" w:eastAsia="宋体" w:hAnsi="Times New Roman"/>
          <w:sz w:val="20"/>
          <w:szCs w:val="20"/>
        </w:rPr>
        <w:t>ompany's mass merchant concept in the U.S., as well as eCommerce and omni-channel initiatives. The Walmart International segment consists of the Company's operations outside of the U.S., as well as eCommerce and omni-channel initiatives. The Sam's Club seg</w:t>
      </w:r>
      <w:r>
        <w:rPr>
          <w:rFonts w:ascii="Times New Roman" w:eastAsia="宋体" w:hAnsi="Times New Roman"/>
          <w:sz w:val="20"/>
          <w:szCs w:val="20"/>
        </w:rPr>
        <w:t>ment includes the warehouse membership clubs in the U.S., as well as samsclub.com and omni-channel initiatives. Corporate and support consists of corporate overhead and other items not allocated to any of the Company's segments.</w:t>
      </w:r>
    </w:p>
    <w:p w14:paraId="42A1399F"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Company </w:t>
      </w:r>
      <w:r>
        <w:rPr>
          <w:rFonts w:ascii="Times New Roman" w:eastAsia="宋体" w:hAnsi="Times New Roman"/>
          <w:sz w:val="20"/>
          <w:szCs w:val="20"/>
        </w:rPr>
        <w:t>measures the results of its segments using, among other measures, each segment's net sales and operating income, which includes certain corporate overhead allocations. From time to time, the Company revises the measurement of each segment's operating incom</w:t>
      </w:r>
      <w:r>
        <w:rPr>
          <w:rFonts w:ascii="Times New Roman" w:eastAsia="宋体" w:hAnsi="Times New Roman"/>
          <w:sz w:val="20"/>
          <w:szCs w:val="20"/>
        </w:rPr>
        <w:t>e, including any corporate overhead allocations, as determined by the information regularly reviewed by its CODM. Information for the Company's segments, as well as for Corporate and support, including the reconciliation to income before income taxes, is p</w:t>
      </w:r>
      <w:r>
        <w:rPr>
          <w:rFonts w:ascii="Times New Roman" w:eastAsia="宋体" w:hAnsi="Times New Roman"/>
          <w:sz w:val="20"/>
          <w:szCs w:val="20"/>
        </w:rPr>
        <w:t>rovided in the following table:</w:t>
      </w:r>
    </w:p>
    <w:tbl>
      <w:tblPr>
        <w:tblW w:w="5000" w:type="pct"/>
        <w:jc w:val="center"/>
        <w:tblCellMar>
          <w:left w:w="0" w:type="dxa"/>
          <w:right w:w="0" w:type="dxa"/>
        </w:tblCellMar>
        <w:tblLook w:val="04A0" w:firstRow="1" w:lastRow="0" w:firstColumn="1" w:lastColumn="0" w:noHBand="0" w:noVBand="1"/>
      </w:tblPr>
      <w:tblGrid>
        <w:gridCol w:w="3223"/>
        <w:gridCol w:w="130"/>
        <w:gridCol w:w="121"/>
        <w:gridCol w:w="649"/>
        <w:gridCol w:w="63"/>
        <w:gridCol w:w="130"/>
        <w:gridCol w:w="121"/>
        <w:gridCol w:w="808"/>
        <w:gridCol w:w="89"/>
        <w:gridCol w:w="130"/>
        <w:gridCol w:w="120"/>
        <w:gridCol w:w="577"/>
        <w:gridCol w:w="6"/>
        <w:gridCol w:w="130"/>
        <w:gridCol w:w="121"/>
        <w:gridCol w:w="648"/>
        <w:gridCol w:w="94"/>
        <w:gridCol w:w="130"/>
        <w:gridCol w:w="121"/>
        <w:gridCol w:w="801"/>
        <w:gridCol w:w="94"/>
      </w:tblGrid>
      <w:tr w:rsidR="00BB68E1" w14:paraId="42A139A1" w14:textId="77777777">
        <w:trPr>
          <w:jc w:val="center"/>
        </w:trPr>
        <w:tc>
          <w:tcPr>
            <w:tcW w:w="0" w:type="auto"/>
            <w:gridSpan w:val="21"/>
            <w:shd w:val="clear" w:color="auto" w:fill="auto"/>
            <w:vAlign w:val="center"/>
          </w:tcPr>
          <w:p w14:paraId="42A139A0" w14:textId="77777777" w:rsidR="00BB68E1" w:rsidRDefault="00BB68E1">
            <w:pPr>
              <w:rPr>
                <w:rFonts w:ascii="Times New Roman" w:hAnsi="Times New Roman"/>
                <w:sz w:val="20"/>
                <w:szCs w:val="20"/>
              </w:rPr>
            </w:pPr>
          </w:p>
        </w:tc>
      </w:tr>
      <w:tr w:rsidR="00BB68E1" w14:paraId="42A139B7" w14:textId="77777777">
        <w:trPr>
          <w:jc w:val="center"/>
        </w:trPr>
        <w:tc>
          <w:tcPr>
            <w:tcW w:w="2000" w:type="pct"/>
            <w:shd w:val="clear" w:color="auto" w:fill="auto"/>
            <w:vAlign w:val="center"/>
          </w:tcPr>
          <w:p w14:paraId="42A139A2" w14:textId="77777777" w:rsidR="00BB68E1" w:rsidRDefault="00BB68E1">
            <w:pPr>
              <w:rPr>
                <w:rFonts w:ascii="Times New Roman" w:hAnsi="Times New Roman"/>
                <w:sz w:val="20"/>
                <w:szCs w:val="20"/>
              </w:rPr>
            </w:pPr>
          </w:p>
        </w:tc>
        <w:tc>
          <w:tcPr>
            <w:tcW w:w="50" w:type="pct"/>
            <w:shd w:val="clear" w:color="auto" w:fill="auto"/>
            <w:vAlign w:val="center"/>
          </w:tcPr>
          <w:p w14:paraId="42A139A3" w14:textId="77777777" w:rsidR="00BB68E1" w:rsidRDefault="00BB68E1">
            <w:pPr>
              <w:rPr>
                <w:rFonts w:ascii="Times New Roman" w:hAnsi="Times New Roman"/>
                <w:sz w:val="20"/>
                <w:szCs w:val="20"/>
              </w:rPr>
            </w:pPr>
          </w:p>
        </w:tc>
        <w:tc>
          <w:tcPr>
            <w:tcW w:w="50" w:type="pct"/>
            <w:shd w:val="clear" w:color="auto" w:fill="auto"/>
            <w:vAlign w:val="center"/>
          </w:tcPr>
          <w:p w14:paraId="42A139A4" w14:textId="77777777" w:rsidR="00BB68E1" w:rsidRDefault="00BB68E1">
            <w:pPr>
              <w:rPr>
                <w:rFonts w:ascii="Times New Roman" w:hAnsi="Times New Roman"/>
                <w:sz w:val="20"/>
                <w:szCs w:val="20"/>
              </w:rPr>
            </w:pPr>
          </w:p>
        </w:tc>
        <w:tc>
          <w:tcPr>
            <w:tcW w:w="450" w:type="pct"/>
            <w:shd w:val="clear" w:color="auto" w:fill="auto"/>
            <w:vAlign w:val="center"/>
          </w:tcPr>
          <w:p w14:paraId="42A139A5" w14:textId="77777777" w:rsidR="00BB68E1" w:rsidRDefault="00BB68E1">
            <w:pPr>
              <w:rPr>
                <w:rFonts w:ascii="Times New Roman" w:hAnsi="Times New Roman"/>
                <w:sz w:val="20"/>
                <w:szCs w:val="20"/>
              </w:rPr>
            </w:pPr>
          </w:p>
        </w:tc>
        <w:tc>
          <w:tcPr>
            <w:tcW w:w="50" w:type="pct"/>
            <w:shd w:val="clear" w:color="auto" w:fill="auto"/>
            <w:vAlign w:val="center"/>
          </w:tcPr>
          <w:p w14:paraId="42A139A6" w14:textId="77777777" w:rsidR="00BB68E1" w:rsidRDefault="00BB68E1">
            <w:pPr>
              <w:rPr>
                <w:rFonts w:ascii="Times New Roman" w:hAnsi="Times New Roman"/>
                <w:sz w:val="20"/>
                <w:szCs w:val="20"/>
              </w:rPr>
            </w:pPr>
          </w:p>
        </w:tc>
        <w:tc>
          <w:tcPr>
            <w:tcW w:w="50" w:type="pct"/>
            <w:shd w:val="clear" w:color="auto" w:fill="auto"/>
            <w:vAlign w:val="center"/>
          </w:tcPr>
          <w:p w14:paraId="42A139A7" w14:textId="77777777" w:rsidR="00BB68E1" w:rsidRDefault="00BB68E1">
            <w:pPr>
              <w:rPr>
                <w:rFonts w:ascii="Times New Roman" w:hAnsi="Times New Roman"/>
                <w:sz w:val="20"/>
                <w:szCs w:val="20"/>
              </w:rPr>
            </w:pPr>
          </w:p>
        </w:tc>
        <w:tc>
          <w:tcPr>
            <w:tcW w:w="50" w:type="pct"/>
            <w:shd w:val="clear" w:color="auto" w:fill="auto"/>
            <w:vAlign w:val="center"/>
          </w:tcPr>
          <w:p w14:paraId="42A139A8" w14:textId="77777777" w:rsidR="00BB68E1" w:rsidRDefault="00BB68E1">
            <w:pPr>
              <w:rPr>
                <w:rFonts w:ascii="Times New Roman" w:hAnsi="Times New Roman"/>
                <w:sz w:val="20"/>
                <w:szCs w:val="20"/>
              </w:rPr>
            </w:pPr>
          </w:p>
        </w:tc>
        <w:tc>
          <w:tcPr>
            <w:tcW w:w="450" w:type="pct"/>
            <w:shd w:val="clear" w:color="auto" w:fill="auto"/>
            <w:vAlign w:val="center"/>
          </w:tcPr>
          <w:p w14:paraId="42A139A9" w14:textId="77777777" w:rsidR="00BB68E1" w:rsidRDefault="00BB68E1">
            <w:pPr>
              <w:rPr>
                <w:rFonts w:ascii="Times New Roman" w:hAnsi="Times New Roman"/>
                <w:sz w:val="20"/>
                <w:szCs w:val="20"/>
              </w:rPr>
            </w:pPr>
          </w:p>
        </w:tc>
        <w:tc>
          <w:tcPr>
            <w:tcW w:w="50" w:type="pct"/>
            <w:shd w:val="clear" w:color="auto" w:fill="auto"/>
            <w:vAlign w:val="center"/>
          </w:tcPr>
          <w:p w14:paraId="42A139AA" w14:textId="77777777" w:rsidR="00BB68E1" w:rsidRDefault="00BB68E1">
            <w:pPr>
              <w:rPr>
                <w:rFonts w:ascii="Times New Roman" w:hAnsi="Times New Roman"/>
                <w:sz w:val="20"/>
                <w:szCs w:val="20"/>
              </w:rPr>
            </w:pPr>
          </w:p>
        </w:tc>
        <w:tc>
          <w:tcPr>
            <w:tcW w:w="50" w:type="pct"/>
            <w:shd w:val="clear" w:color="auto" w:fill="auto"/>
            <w:vAlign w:val="center"/>
          </w:tcPr>
          <w:p w14:paraId="42A139AB" w14:textId="77777777" w:rsidR="00BB68E1" w:rsidRDefault="00BB68E1">
            <w:pPr>
              <w:rPr>
                <w:rFonts w:ascii="Times New Roman" w:hAnsi="Times New Roman"/>
                <w:sz w:val="20"/>
                <w:szCs w:val="20"/>
              </w:rPr>
            </w:pPr>
          </w:p>
        </w:tc>
        <w:tc>
          <w:tcPr>
            <w:tcW w:w="50" w:type="pct"/>
            <w:shd w:val="clear" w:color="auto" w:fill="auto"/>
            <w:vAlign w:val="center"/>
          </w:tcPr>
          <w:p w14:paraId="42A139AC" w14:textId="77777777" w:rsidR="00BB68E1" w:rsidRDefault="00BB68E1">
            <w:pPr>
              <w:rPr>
                <w:rFonts w:ascii="Times New Roman" w:hAnsi="Times New Roman"/>
                <w:sz w:val="20"/>
                <w:szCs w:val="20"/>
              </w:rPr>
            </w:pPr>
          </w:p>
        </w:tc>
        <w:tc>
          <w:tcPr>
            <w:tcW w:w="450" w:type="pct"/>
            <w:shd w:val="clear" w:color="auto" w:fill="auto"/>
            <w:vAlign w:val="center"/>
          </w:tcPr>
          <w:p w14:paraId="42A139AD" w14:textId="77777777" w:rsidR="00BB68E1" w:rsidRDefault="00BB68E1">
            <w:pPr>
              <w:rPr>
                <w:rFonts w:ascii="Times New Roman" w:hAnsi="Times New Roman"/>
                <w:sz w:val="20"/>
                <w:szCs w:val="20"/>
              </w:rPr>
            </w:pPr>
          </w:p>
        </w:tc>
        <w:tc>
          <w:tcPr>
            <w:tcW w:w="50" w:type="pct"/>
            <w:shd w:val="clear" w:color="auto" w:fill="auto"/>
            <w:vAlign w:val="center"/>
          </w:tcPr>
          <w:p w14:paraId="42A139AE" w14:textId="77777777" w:rsidR="00BB68E1" w:rsidRDefault="00BB68E1">
            <w:pPr>
              <w:rPr>
                <w:rFonts w:ascii="Times New Roman" w:hAnsi="Times New Roman"/>
                <w:sz w:val="20"/>
                <w:szCs w:val="20"/>
              </w:rPr>
            </w:pPr>
          </w:p>
        </w:tc>
        <w:tc>
          <w:tcPr>
            <w:tcW w:w="50" w:type="pct"/>
            <w:shd w:val="clear" w:color="auto" w:fill="auto"/>
            <w:vAlign w:val="center"/>
          </w:tcPr>
          <w:p w14:paraId="42A139AF" w14:textId="77777777" w:rsidR="00BB68E1" w:rsidRDefault="00BB68E1">
            <w:pPr>
              <w:rPr>
                <w:rFonts w:ascii="Times New Roman" w:hAnsi="Times New Roman"/>
                <w:sz w:val="20"/>
                <w:szCs w:val="20"/>
              </w:rPr>
            </w:pPr>
          </w:p>
        </w:tc>
        <w:tc>
          <w:tcPr>
            <w:tcW w:w="50" w:type="pct"/>
            <w:shd w:val="clear" w:color="auto" w:fill="auto"/>
            <w:vAlign w:val="center"/>
          </w:tcPr>
          <w:p w14:paraId="42A139B0" w14:textId="77777777" w:rsidR="00BB68E1" w:rsidRDefault="00BB68E1">
            <w:pPr>
              <w:rPr>
                <w:rFonts w:ascii="Times New Roman" w:hAnsi="Times New Roman"/>
                <w:sz w:val="20"/>
                <w:szCs w:val="20"/>
              </w:rPr>
            </w:pPr>
          </w:p>
        </w:tc>
        <w:tc>
          <w:tcPr>
            <w:tcW w:w="450" w:type="pct"/>
            <w:shd w:val="clear" w:color="auto" w:fill="auto"/>
            <w:vAlign w:val="center"/>
          </w:tcPr>
          <w:p w14:paraId="42A139B1" w14:textId="77777777" w:rsidR="00BB68E1" w:rsidRDefault="00BB68E1">
            <w:pPr>
              <w:rPr>
                <w:rFonts w:ascii="Times New Roman" w:hAnsi="Times New Roman"/>
                <w:sz w:val="20"/>
                <w:szCs w:val="20"/>
              </w:rPr>
            </w:pPr>
          </w:p>
        </w:tc>
        <w:tc>
          <w:tcPr>
            <w:tcW w:w="50" w:type="pct"/>
            <w:shd w:val="clear" w:color="auto" w:fill="auto"/>
            <w:vAlign w:val="center"/>
          </w:tcPr>
          <w:p w14:paraId="42A139B2" w14:textId="77777777" w:rsidR="00BB68E1" w:rsidRDefault="00BB68E1">
            <w:pPr>
              <w:rPr>
                <w:rFonts w:ascii="Times New Roman" w:hAnsi="Times New Roman"/>
                <w:sz w:val="20"/>
                <w:szCs w:val="20"/>
              </w:rPr>
            </w:pPr>
          </w:p>
        </w:tc>
        <w:tc>
          <w:tcPr>
            <w:tcW w:w="50" w:type="pct"/>
            <w:shd w:val="clear" w:color="auto" w:fill="auto"/>
            <w:vAlign w:val="center"/>
          </w:tcPr>
          <w:p w14:paraId="42A139B3" w14:textId="77777777" w:rsidR="00BB68E1" w:rsidRDefault="00BB68E1">
            <w:pPr>
              <w:rPr>
                <w:rFonts w:ascii="Times New Roman" w:hAnsi="Times New Roman"/>
                <w:sz w:val="20"/>
                <w:szCs w:val="20"/>
              </w:rPr>
            </w:pPr>
          </w:p>
        </w:tc>
        <w:tc>
          <w:tcPr>
            <w:tcW w:w="50" w:type="pct"/>
            <w:shd w:val="clear" w:color="auto" w:fill="auto"/>
            <w:vAlign w:val="center"/>
          </w:tcPr>
          <w:p w14:paraId="42A139B4" w14:textId="77777777" w:rsidR="00BB68E1" w:rsidRDefault="00BB68E1">
            <w:pPr>
              <w:rPr>
                <w:rFonts w:ascii="Times New Roman" w:hAnsi="Times New Roman"/>
                <w:sz w:val="20"/>
                <w:szCs w:val="20"/>
              </w:rPr>
            </w:pPr>
          </w:p>
        </w:tc>
        <w:tc>
          <w:tcPr>
            <w:tcW w:w="450" w:type="pct"/>
            <w:shd w:val="clear" w:color="auto" w:fill="auto"/>
            <w:vAlign w:val="center"/>
          </w:tcPr>
          <w:p w14:paraId="42A139B5" w14:textId="77777777" w:rsidR="00BB68E1" w:rsidRDefault="00BB68E1">
            <w:pPr>
              <w:rPr>
                <w:rFonts w:ascii="Times New Roman" w:hAnsi="Times New Roman"/>
                <w:sz w:val="20"/>
                <w:szCs w:val="20"/>
              </w:rPr>
            </w:pPr>
          </w:p>
        </w:tc>
        <w:tc>
          <w:tcPr>
            <w:tcW w:w="50" w:type="pct"/>
            <w:shd w:val="clear" w:color="auto" w:fill="auto"/>
            <w:vAlign w:val="center"/>
          </w:tcPr>
          <w:p w14:paraId="42A139B6" w14:textId="77777777" w:rsidR="00BB68E1" w:rsidRDefault="00BB68E1">
            <w:pPr>
              <w:rPr>
                <w:rFonts w:ascii="Times New Roman" w:hAnsi="Times New Roman"/>
                <w:sz w:val="20"/>
                <w:szCs w:val="20"/>
              </w:rPr>
            </w:pPr>
          </w:p>
        </w:tc>
      </w:tr>
      <w:tr w:rsidR="00BB68E1" w14:paraId="42A139C3" w14:textId="77777777">
        <w:trPr>
          <w:jc w:val="center"/>
        </w:trPr>
        <w:tc>
          <w:tcPr>
            <w:tcW w:w="0" w:type="auto"/>
            <w:shd w:val="clear" w:color="auto" w:fill="auto"/>
            <w:tcMar>
              <w:top w:w="40" w:type="dxa"/>
              <w:left w:w="40" w:type="dxa"/>
              <w:bottom w:w="40" w:type="dxa"/>
              <w:right w:w="40" w:type="dxa"/>
            </w:tcMar>
            <w:vAlign w:val="bottom"/>
          </w:tcPr>
          <w:p w14:paraId="42A139B8"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 xml:space="preserve">(Amounts </w:t>
            </w:r>
            <w:r>
              <w:rPr>
                <w:rFonts w:ascii="Times New Roman" w:eastAsia="宋体" w:hAnsi="Times New Roman"/>
                <w:i/>
                <w:iCs/>
                <w:sz w:val="16"/>
                <w:szCs w:val="16"/>
              </w:rPr>
              <w:t>in millions)</w:t>
            </w:r>
          </w:p>
        </w:tc>
        <w:tc>
          <w:tcPr>
            <w:tcW w:w="0" w:type="auto"/>
            <w:shd w:val="clear" w:color="auto" w:fill="auto"/>
            <w:tcMar>
              <w:top w:w="40" w:type="dxa"/>
              <w:left w:w="40" w:type="dxa"/>
              <w:bottom w:w="40" w:type="dxa"/>
              <w:right w:w="40" w:type="dxa"/>
            </w:tcMar>
            <w:vAlign w:val="bottom"/>
          </w:tcPr>
          <w:p w14:paraId="42A139B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9BA"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Walmart U.S.</w:t>
            </w:r>
          </w:p>
        </w:tc>
        <w:tc>
          <w:tcPr>
            <w:tcW w:w="0" w:type="auto"/>
            <w:shd w:val="clear" w:color="auto" w:fill="auto"/>
            <w:tcMar>
              <w:top w:w="40" w:type="dxa"/>
              <w:left w:w="40" w:type="dxa"/>
              <w:bottom w:w="40" w:type="dxa"/>
              <w:right w:w="40" w:type="dxa"/>
            </w:tcMar>
            <w:vAlign w:val="bottom"/>
          </w:tcPr>
          <w:p w14:paraId="42A139B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9BC"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Walmart International</w:t>
            </w:r>
          </w:p>
        </w:tc>
        <w:tc>
          <w:tcPr>
            <w:tcW w:w="0" w:type="auto"/>
            <w:shd w:val="clear" w:color="auto" w:fill="auto"/>
            <w:tcMar>
              <w:top w:w="40" w:type="dxa"/>
              <w:left w:w="40" w:type="dxa"/>
              <w:bottom w:w="40" w:type="dxa"/>
              <w:right w:w="40" w:type="dxa"/>
            </w:tcMar>
            <w:vAlign w:val="bottom"/>
          </w:tcPr>
          <w:p w14:paraId="42A139B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9BE"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Sam's Club</w:t>
            </w:r>
          </w:p>
        </w:tc>
        <w:tc>
          <w:tcPr>
            <w:tcW w:w="0" w:type="auto"/>
            <w:shd w:val="clear" w:color="auto" w:fill="auto"/>
            <w:tcMar>
              <w:top w:w="40" w:type="dxa"/>
              <w:left w:w="40" w:type="dxa"/>
              <w:bottom w:w="40" w:type="dxa"/>
              <w:right w:w="40" w:type="dxa"/>
            </w:tcMar>
            <w:vAlign w:val="bottom"/>
          </w:tcPr>
          <w:p w14:paraId="42A139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9C0"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Corporate and support</w:t>
            </w:r>
          </w:p>
        </w:tc>
        <w:tc>
          <w:tcPr>
            <w:tcW w:w="0" w:type="auto"/>
            <w:shd w:val="clear" w:color="auto" w:fill="auto"/>
            <w:tcMar>
              <w:top w:w="40" w:type="dxa"/>
              <w:left w:w="40" w:type="dxa"/>
              <w:bottom w:w="40" w:type="dxa"/>
              <w:right w:w="40" w:type="dxa"/>
            </w:tcMar>
            <w:vAlign w:val="bottom"/>
          </w:tcPr>
          <w:p w14:paraId="42A139C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9C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Consolidated</w:t>
            </w:r>
          </w:p>
        </w:tc>
      </w:tr>
      <w:tr w:rsidR="00BB68E1" w14:paraId="42A139CF" w14:textId="77777777">
        <w:trPr>
          <w:jc w:val="center"/>
        </w:trPr>
        <w:tc>
          <w:tcPr>
            <w:tcW w:w="0" w:type="auto"/>
            <w:shd w:val="clear" w:color="auto" w:fill="CCEEFF"/>
            <w:tcMar>
              <w:top w:w="40" w:type="dxa"/>
              <w:left w:w="40" w:type="dxa"/>
              <w:bottom w:w="40" w:type="dxa"/>
              <w:right w:w="40" w:type="dxa"/>
            </w:tcMar>
            <w:vAlign w:val="center"/>
          </w:tcPr>
          <w:p w14:paraId="42A139C4"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Fiscal Year Ended January 31, 2020</w:t>
            </w:r>
          </w:p>
        </w:tc>
        <w:tc>
          <w:tcPr>
            <w:tcW w:w="0" w:type="auto"/>
            <w:shd w:val="clear" w:color="auto" w:fill="CCEEFF"/>
            <w:tcMar>
              <w:top w:w="40" w:type="dxa"/>
              <w:left w:w="40" w:type="dxa"/>
              <w:bottom w:w="40" w:type="dxa"/>
              <w:right w:w="40" w:type="dxa"/>
            </w:tcMar>
            <w:vAlign w:val="bottom"/>
          </w:tcPr>
          <w:p w14:paraId="42A139C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9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9C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9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9C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9C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9C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9C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9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9C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9E5" w14:textId="77777777">
        <w:trPr>
          <w:jc w:val="center"/>
        </w:trPr>
        <w:tc>
          <w:tcPr>
            <w:tcW w:w="0" w:type="auto"/>
            <w:shd w:val="clear" w:color="auto" w:fill="auto"/>
            <w:tcMar>
              <w:top w:w="40" w:type="dxa"/>
              <w:left w:w="40" w:type="dxa"/>
              <w:bottom w:w="40" w:type="dxa"/>
              <w:right w:w="40" w:type="dxa"/>
            </w:tcMar>
            <w:vAlign w:val="center"/>
          </w:tcPr>
          <w:p w14:paraId="42A139D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auto"/>
            <w:tcMar>
              <w:top w:w="40" w:type="dxa"/>
              <w:left w:w="40" w:type="dxa"/>
              <w:bottom w:w="40" w:type="dxa"/>
              <w:right w:w="40" w:type="dxa"/>
            </w:tcMar>
            <w:vAlign w:val="bottom"/>
          </w:tcPr>
          <w:p w14:paraId="42A139D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9D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9D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341,004</w:t>
            </w:r>
          </w:p>
        </w:tc>
        <w:tc>
          <w:tcPr>
            <w:tcW w:w="0" w:type="auto"/>
            <w:shd w:val="clear" w:color="auto" w:fill="auto"/>
            <w:vAlign w:val="bottom"/>
          </w:tcPr>
          <w:p w14:paraId="42A139D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9D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9D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9D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120,130</w:t>
            </w:r>
          </w:p>
        </w:tc>
        <w:tc>
          <w:tcPr>
            <w:tcW w:w="0" w:type="auto"/>
            <w:shd w:val="clear" w:color="auto" w:fill="auto"/>
            <w:vAlign w:val="bottom"/>
          </w:tcPr>
          <w:p w14:paraId="42A139D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9D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9D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9D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58,792</w:t>
            </w:r>
          </w:p>
        </w:tc>
        <w:tc>
          <w:tcPr>
            <w:tcW w:w="0" w:type="auto"/>
            <w:shd w:val="clear" w:color="auto" w:fill="auto"/>
            <w:vAlign w:val="bottom"/>
          </w:tcPr>
          <w:p w14:paraId="42A139D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9D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9D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9D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39E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9E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9E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9E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519,926</w:t>
            </w:r>
          </w:p>
        </w:tc>
        <w:tc>
          <w:tcPr>
            <w:tcW w:w="0" w:type="auto"/>
            <w:shd w:val="clear" w:color="auto" w:fill="auto"/>
            <w:vAlign w:val="bottom"/>
          </w:tcPr>
          <w:p w14:paraId="42A139E4" w14:textId="77777777" w:rsidR="00BB68E1" w:rsidRDefault="00BB68E1">
            <w:pPr>
              <w:textAlignment w:val="bottom"/>
              <w:rPr>
                <w:rFonts w:ascii="Times New Roman" w:hAnsi="Times New Roman"/>
                <w:sz w:val="20"/>
                <w:szCs w:val="20"/>
              </w:rPr>
            </w:pPr>
          </w:p>
        </w:tc>
      </w:tr>
      <w:tr w:rsidR="00BB68E1" w14:paraId="42A139F6" w14:textId="77777777">
        <w:trPr>
          <w:jc w:val="center"/>
        </w:trPr>
        <w:tc>
          <w:tcPr>
            <w:tcW w:w="0" w:type="auto"/>
            <w:shd w:val="clear" w:color="auto" w:fill="CCEEFF"/>
            <w:tcMar>
              <w:top w:w="40" w:type="dxa"/>
              <w:left w:w="40" w:type="dxa"/>
              <w:bottom w:w="40" w:type="dxa"/>
              <w:right w:w="40" w:type="dxa"/>
            </w:tcMar>
            <w:vAlign w:val="center"/>
          </w:tcPr>
          <w:p w14:paraId="42A139E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income (loss)</w:t>
            </w:r>
          </w:p>
        </w:tc>
        <w:tc>
          <w:tcPr>
            <w:tcW w:w="0" w:type="auto"/>
            <w:shd w:val="clear" w:color="auto" w:fill="CCEEFF"/>
            <w:tcMar>
              <w:top w:w="40" w:type="dxa"/>
              <w:left w:w="40" w:type="dxa"/>
              <w:bottom w:w="40" w:type="dxa"/>
              <w:right w:w="40" w:type="dxa"/>
            </w:tcMar>
            <w:vAlign w:val="bottom"/>
          </w:tcPr>
          <w:p w14:paraId="42A139E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9E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17,380</w:t>
            </w:r>
          </w:p>
        </w:tc>
        <w:tc>
          <w:tcPr>
            <w:tcW w:w="0" w:type="auto"/>
            <w:shd w:val="clear" w:color="auto" w:fill="CCEEFF"/>
            <w:vAlign w:val="bottom"/>
          </w:tcPr>
          <w:p w14:paraId="42A139E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9E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9E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3,370</w:t>
            </w:r>
          </w:p>
        </w:tc>
        <w:tc>
          <w:tcPr>
            <w:tcW w:w="0" w:type="auto"/>
            <w:shd w:val="clear" w:color="auto" w:fill="CCEEFF"/>
            <w:vAlign w:val="bottom"/>
          </w:tcPr>
          <w:p w14:paraId="42A139E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9E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9E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1,642</w:t>
            </w:r>
          </w:p>
        </w:tc>
        <w:tc>
          <w:tcPr>
            <w:tcW w:w="0" w:type="auto"/>
            <w:shd w:val="clear" w:color="auto" w:fill="CCEEFF"/>
            <w:vAlign w:val="bottom"/>
          </w:tcPr>
          <w:p w14:paraId="42A139E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9F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9F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(1,824</w:t>
            </w:r>
          </w:p>
        </w:tc>
        <w:tc>
          <w:tcPr>
            <w:tcW w:w="0" w:type="auto"/>
            <w:shd w:val="clear" w:color="auto" w:fill="CCEEFF"/>
            <w:tcMar>
              <w:top w:w="40" w:type="dxa"/>
              <w:bottom w:w="40" w:type="dxa"/>
              <w:right w:w="40" w:type="dxa"/>
            </w:tcMar>
            <w:vAlign w:val="center"/>
          </w:tcPr>
          <w:p w14:paraId="42A139F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9F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9F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20,568</w:t>
            </w:r>
          </w:p>
        </w:tc>
        <w:tc>
          <w:tcPr>
            <w:tcW w:w="0" w:type="auto"/>
            <w:shd w:val="clear" w:color="auto" w:fill="CCEEFF"/>
            <w:vAlign w:val="bottom"/>
          </w:tcPr>
          <w:p w14:paraId="42A139F5" w14:textId="77777777" w:rsidR="00BB68E1" w:rsidRDefault="00BB68E1">
            <w:pPr>
              <w:textAlignment w:val="bottom"/>
              <w:rPr>
                <w:rFonts w:ascii="Times New Roman" w:hAnsi="Times New Roman"/>
                <w:sz w:val="20"/>
                <w:szCs w:val="20"/>
              </w:rPr>
            </w:pPr>
          </w:p>
        </w:tc>
      </w:tr>
      <w:tr w:rsidR="00BB68E1" w14:paraId="42A13A07" w14:textId="77777777">
        <w:trPr>
          <w:jc w:val="center"/>
        </w:trPr>
        <w:tc>
          <w:tcPr>
            <w:tcW w:w="0" w:type="auto"/>
            <w:shd w:val="clear" w:color="auto" w:fill="auto"/>
            <w:tcMar>
              <w:top w:w="40" w:type="dxa"/>
              <w:left w:w="40" w:type="dxa"/>
              <w:bottom w:w="40" w:type="dxa"/>
              <w:right w:w="40" w:type="dxa"/>
            </w:tcMar>
            <w:vAlign w:val="center"/>
          </w:tcPr>
          <w:p w14:paraId="42A139F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Interest, </w:t>
            </w:r>
            <w:r>
              <w:rPr>
                <w:rFonts w:ascii="Times New Roman" w:eastAsia="宋体" w:hAnsi="Times New Roman"/>
                <w:sz w:val="16"/>
                <w:szCs w:val="16"/>
              </w:rPr>
              <w:t>net</w:t>
            </w:r>
          </w:p>
        </w:tc>
        <w:tc>
          <w:tcPr>
            <w:tcW w:w="0" w:type="auto"/>
            <w:shd w:val="clear" w:color="auto" w:fill="auto"/>
            <w:tcMar>
              <w:top w:w="40" w:type="dxa"/>
              <w:left w:w="40" w:type="dxa"/>
              <w:bottom w:w="40" w:type="dxa"/>
              <w:right w:w="40" w:type="dxa"/>
            </w:tcMar>
            <w:vAlign w:val="bottom"/>
          </w:tcPr>
          <w:p w14:paraId="42A139F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9F9"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9F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9F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9FC"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9F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9F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9FF"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0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0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02"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0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0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0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(2,410</w:t>
            </w:r>
          </w:p>
        </w:tc>
        <w:tc>
          <w:tcPr>
            <w:tcW w:w="0" w:type="auto"/>
            <w:shd w:val="clear" w:color="auto" w:fill="auto"/>
            <w:tcMar>
              <w:top w:w="40" w:type="dxa"/>
              <w:bottom w:w="40" w:type="dxa"/>
              <w:right w:w="40" w:type="dxa"/>
            </w:tcMar>
            <w:vAlign w:val="center"/>
          </w:tcPr>
          <w:p w14:paraId="42A13A0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A18" w14:textId="77777777">
        <w:trPr>
          <w:jc w:val="center"/>
        </w:trPr>
        <w:tc>
          <w:tcPr>
            <w:tcW w:w="0" w:type="auto"/>
            <w:shd w:val="clear" w:color="auto" w:fill="CCEEFF"/>
            <w:tcMar>
              <w:top w:w="40" w:type="dxa"/>
              <w:left w:w="40" w:type="dxa"/>
              <w:bottom w:w="40" w:type="dxa"/>
              <w:right w:w="40" w:type="dxa"/>
            </w:tcMar>
            <w:vAlign w:val="center"/>
          </w:tcPr>
          <w:p w14:paraId="42A13A0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 gains and (losses)</w:t>
            </w:r>
          </w:p>
        </w:tc>
        <w:tc>
          <w:tcPr>
            <w:tcW w:w="0" w:type="auto"/>
            <w:shd w:val="clear" w:color="auto" w:fill="CCEEFF"/>
            <w:tcMar>
              <w:top w:w="40" w:type="dxa"/>
              <w:left w:w="40" w:type="dxa"/>
              <w:bottom w:w="40" w:type="dxa"/>
              <w:right w:w="40" w:type="dxa"/>
            </w:tcMar>
            <w:vAlign w:val="bottom"/>
          </w:tcPr>
          <w:p w14:paraId="42A13A0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0A"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A0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0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0D"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A0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0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10"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A1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13"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A1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1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A1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1,958</w:t>
            </w:r>
          </w:p>
        </w:tc>
        <w:tc>
          <w:tcPr>
            <w:tcW w:w="0" w:type="auto"/>
            <w:tcBorders>
              <w:bottom w:val="single" w:sz="8" w:space="0" w:color="000000"/>
            </w:tcBorders>
            <w:shd w:val="clear" w:color="auto" w:fill="CCEEFF"/>
            <w:vAlign w:val="bottom"/>
          </w:tcPr>
          <w:p w14:paraId="42A13A17" w14:textId="77777777" w:rsidR="00BB68E1" w:rsidRDefault="00BB68E1">
            <w:pPr>
              <w:textAlignment w:val="bottom"/>
              <w:rPr>
                <w:rFonts w:ascii="Times New Roman" w:hAnsi="Times New Roman"/>
                <w:sz w:val="20"/>
                <w:szCs w:val="20"/>
              </w:rPr>
            </w:pPr>
          </w:p>
        </w:tc>
      </w:tr>
      <w:tr w:rsidR="00BB68E1" w14:paraId="42A13A2A" w14:textId="77777777">
        <w:trPr>
          <w:jc w:val="center"/>
        </w:trPr>
        <w:tc>
          <w:tcPr>
            <w:tcW w:w="0" w:type="auto"/>
            <w:shd w:val="clear" w:color="auto" w:fill="auto"/>
            <w:tcMar>
              <w:top w:w="40" w:type="dxa"/>
              <w:left w:w="40" w:type="dxa"/>
              <w:bottom w:w="40" w:type="dxa"/>
              <w:right w:w="40" w:type="dxa"/>
            </w:tcMar>
            <w:vAlign w:val="center"/>
          </w:tcPr>
          <w:p w14:paraId="42A13A1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Income b</w:t>
            </w:r>
            <w:r>
              <w:rPr>
                <w:rFonts w:ascii="Times New Roman" w:eastAsia="宋体" w:hAnsi="Times New Roman"/>
                <w:sz w:val="16"/>
                <w:szCs w:val="16"/>
              </w:rPr>
              <w:t>efore income taxes</w:t>
            </w:r>
          </w:p>
        </w:tc>
        <w:tc>
          <w:tcPr>
            <w:tcW w:w="0" w:type="auto"/>
            <w:shd w:val="clear" w:color="auto" w:fill="auto"/>
            <w:tcMar>
              <w:top w:w="40" w:type="dxa"/>
              <w:left w:w="40" w:type="dxa"/>
              <w:bottom w:w="40" w:type="dxa"/>
              <w:right w:w="40" w:type="dxa"/>
            </w:tcMar>
            <w:vAlign w:val="bottom"/>
          </w:tcPr>
          <w:p w14:paraId="42A13A1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1B"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1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1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1E"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1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2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21"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2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2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24"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2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2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center"/>
          </w:tcPr>
          <w:p w14:paraId="42A13A2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auto"/>
            <w:tcMar>
              <w:top w:w="40" w:type="dxa"/>
              <w:bottom w:w="40" w:type="dxa"/>
            </w:tcMar>
            <w:vAlign w:val="center"/>
          </w:tcPr>
          <w:p w14:paraId="42A13A2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20,116</w:t>
            </w:r>
          </w:p>
        </w:tc>
        <w:tc>
          <w:tcPr>
            <w:tcW w:w="0" w:type="auto"/>
            <w:tcBorders>
              <w:top w:val="single" w:sz="8" w:space="0" w:color="000000"/>
            </w:tcBorders>
            <w:shd w:val="clear" w:color="auto" w:fill="auto"/>
            <w:vAlign w:val="bottom"/>
          </w:tcPr>
          <w:p w14:paraId="42A13A29" w14:textId="77777777" w:rsidR="00BB68E1" w:rsidRDefault="00BB68E1">
            <w:pPr>
              <w:textAlignment w:val="bottom"/>
              <w:rPr>
                <w:rFonts w:ascii="Times New Roman" w:hAnsi="Times New Roman"/>
                <w:sz w:val="20"/>
                <w:szCs w:val="20"/>
              </w:rPr>
            </w:pPr>
          </w:p>
        </w:tc>
      </w:tr>
      <w:tr w:rsidR="00BB68E1" w14:paraId="42A13A40" w14:textId="77777777">
        <w:trPr>
          <w:jc w:val="center"/>
        </w:trPr>
        <w:tc>
          <w:tcPr>
            <w:tcW w:w="0" w:type="auto"/>
            <w:shd w:val="clear" w:color="auto" w:fill="CCEEFF"/>
            <w:tcMar>
              <w:top w:w="40" w:type="dxa"/>
              <w:left w:w="40" w:type="dxa"/>
              <w:bottom w:w="40" w:type="dxa"/>
              <w:right w:w="40" w:type="dxa"/>
            </w:tcMar>
            <w:vAlign w:val="center"/>
          </w:tcPr>
          <w:p w14:paraId="42A13A2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assets</w:t>
            </w:r>
          </w:p>
        </w:tc>
        <w:tc>
          <w:tcPr>
            <w:tcW w:w="0" w:type="auto"/>
            <w:shd w:val="clear" w:color="auto" w:fill="CCEEFF"/>
            <w:tcMar>
              <w:top w:w="40" w:type="dxa"/>
              <w:left w:w="40" w:type="dxa"/>
              <w:bottom w:w="40" w:type="dxa"/>
              <w:right w:w="40" w:type="dxa"/>
            </w:tcMar>
            <w:vAlign w:val="bottom"/>
          </w:tcPr>
          <w:p w14:paraId="42A13A2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A2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A2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110,353</w:t>
            </w:r>
          </w:p>
        </w:tc>
        <w:tc>
          <w:tcPr>
            <w:tcW w:w="0" w:type="auto"/>
            <w:shd w:val="clear" w:color="auto" w:fill="CCEEFF"/>
            <w:vAlign w:val="bottom"/>
          </w:tcPr>
          <w:p w14:paraId="42A13A2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3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A3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A3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105,811</w:t>
            </w:r>
          </w:p>
        </w:tc>
        <w:tc>
          <w:tcPr>
            <w:tcW w:w="0" w:type="auto"/>
            <w:shd w:val="clear" w:color="auto" w:fill="CCEEFF"/>
            <w:vAlign w:val="bottom"/>
          </w:tcPr>
          <w:p w14:paraId="42A13A3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3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A3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A3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13,494</w:t>
            </w:r>
          </w:p>
        </w:tc>
        <w:tc>
          <w:tcPr>
            <w:tcW w:w="0" w:type="auto"/>
            <w:shd w:val="clear" w:color="auto" w:fill="CCEEFF"/>
            <w:vAlign w:val="bottom"/>
          </w:tcPr>
          <w:p w14:paraId="42A13A3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3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A3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A3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6,837</w:t>
            </w:r>
          </w:p>
        </w:tc>
        <w:tc>
          <w:tcPr>
            <w:tcW w:w="0" w:type="auto"/>
            <w:shd w:val="clear" w:color="auto" w:fill="CCEEFF"/>
            <w:vAlign w:val="bottom"/>
          </w:tcPr>
          <w:p w14:paraId="42A13A3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3A3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3A3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236,495</w:t>
            </w:r>
          </w:p>
        </w:tc>
        <w:tc>
          <w:tcPr>
            <w:tcW w:w="0" w:type="auto"/>
            <w:tcBorders>
              <w:top w:val="single" w:sz="8" w:space="0" w:color="000000"/>
            </w:tcBorders>
            <w:shd w:val="clear" w:color="auto" w:fill="CCEEFF"/>
            <w:vAlign w:val="bottom"/>
          </w:tcPr>
          <w:p w14:paraId="42A13A3F" w14:textId="77777777" w:rsidR="00BB68E1" w:rsidRDefault="00BB68E1">
            <w:pPr>
              <w:textAlignment w:val="bottom"/>
              <w:rPr>
                <w:rFonts w:ascii="Times New Roman" w:hAnsi="Times New Roman"/>
                <w:sz w:val="20"/>
                <w:szCs w:val="20"/>
              </w:rPr>
            </w:pPr>
          </w:p>
        </w:tc>
      </w:tr>
      <w:tr w:rsidR="00BB68E1" w14:paraId="42A13A51" w14:textId="77777777">
        <w:trPr>
          <w:jc w:val="center"/>
        </w:trPr>
        <w:tc>
          <w:tcPr>
            <w:tcW w:w="0" w:type="auto"/>
            <w:shd w:val="clear" w:color="auto" w:fill="auto"/>
            <w:tcMar>
              <w:top w:w="40" w:type="dxa"/>
              <w:left w:w="40" w:type="dxa"/>
              <w:bottom w:w="40" w:type="dxa"/>
              <w:right w:w="40" w:type="dxa"/>
            </w:tcMar>
            <w:vAlign w:val="center"/>
          </w:tcPr>
          <w:p w14:paraId="42A13A4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Depreciation and amortization</w:t>
            </w:r>
          </w:p>
        </w:tc>
        <w:tc>
          <w:tcPr>
            <w:tcW w:w="0" w:type="auto"/>
            <w:shd w:val="clear" w:color="auto" w:fill="auto"/>
            <w:tcMar>
              <w:top w:w="40" w:type="dxa"/>
              <w:left w:w="40" w:type="dxa"/>
              <w:bottom w:w="40" w:type="dxa"/>
              <w:right w:w="40" w:type="dxa"/>
            </w:tcMar>
            <w:vAlign w:val="bottom"/>
          </w:tcPr>
          <w:p w14:paraId="42A13A4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4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6,408</w:t>
            </w:r>
          </w:p>
        </w:tc>
        <w:tc>
          <w:tcPr>
            <w:tcW w:w="0" w:type="auto"/>
            <w:shd w:val="clear" w:color="auto" w:fill="auto"/>
            <w:vAlign w:val="bottom"/>
          </w:tcPr>
          <w:p w14:paraId="42A13A4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4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4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2,682</w:t>
            </w:r>
          </w:p>
        </w:tc>
        <w:tc>
          <w:tcPr>
            <w:tcW w:w="0" w:type="auto"/>
            <w:shd w:val="clear" w:color="auto" w:fill="auto"/>
            <w:vAlign w:val="bottom"/>
          </w:tcPr>
          <w:p w14:paraId="42A13A4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4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4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605</w:t>
            </w:r>
          </w:p>
        </w:tc>
        <w:tc>
          <w:tcPr>
            <w:tcW w:w="0" w:type="auto"/>
            <w:shd w:val="clear" w:color="auto" w:fill="auto"/>
            <w:vAlign w:val="bottom"/>
          </w:tcPr>
          <w:p w14:paraId="42A13A4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4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4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1,292</w:t>
            </w:r>
          </w:p>
        </w:tc>
        <w:tc>
          <w:tcPr>
            <w:tcW w:w="0" w:type="auto"/>
            <w:shd w:val="clear" w:color="auto" w:fill="auto"/>
            <w:vAlign w:val="bottom"/>
          </w:tcPr>
          <w:p w14:paraId="42A13A4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4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4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10,987</w:t>
            </w:r>
          </w:p>
        </w:tc>
        <w:tc>
          <w:tcPr>
            <w:tcW w:w="0" w:type="auto"/>
            <w:shd w:val="clear" w:color="auto" w:fill="auto"/>
            <w:vAlign w:val="bottom"/>
          </w:tcPr>
          <w:p w14:paraId="42A13A50" w14:textId="77777777" w:rsidR="00BB68E1" w:rsidRDefault="00BB68E1">
            <w:pPr>
              <w:textAlignment w:val="bottom"/>
              <w:rPr>
                <w:rFonts w:ascii="Times New Roman" w:hAnsi="Times New Roman"/>
                <w:sz w:val="20"/>
                <w:szCs w:val="20"/>
              </w:rPr>
            </w:pPr>
          </w:p>
        </w:tc>
      </w:tr>
      <w:tr w:rsidR="00BB68E1" w14:paraId="42A13A62" w14:textId="77777777">
        <w:trPr>
          <w:jc w:val="center"/>
        </w:trPr>
        <w:tc>
          <w:tcPr>
            <w:tcW w:w="0" w:type="auto"/>
            <w:shd w:val="clear" w:color="auto" w:fill="CCEEFF"/>
            <w:tcMar>
              <w:top w:w="40" w:type="dxa"/>
              <w:left w:w="40" w:type="dxa"/>
              <w:bottom w:w="40" w:type="dxa"/>
              <w:right w:w="40" w:type="dxa"/>
            </w:tcMar>
            <w:vAlign w:val="center"/>
          </w:tcPr>
          <w:p w14:paraId="42A13A5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Capital expenditures</w:t>
            </w:r>
          </w:p>
        </w:tc>
        <w:tc>
          <w:tcPr>
            <w:tcW w:w="0" w:type="auto"/>
            <w:shd w:val="clear" w:color="auto" w:fill="CCEEFF"/>
            <w:tcMar>
              <w:top w:w="40" w:type="dxa"/>
              <w:left w:w="40" w:type="dxa"/>
              <w:bottom w:w="40" w:type="dxa"/>
              <w:right w:w="40" w:type="dxa"/>
            </w:tcMar>
            <w:vAlign w:val="bottom"/>
          </w:tcPr>
          <w:p w14:paraId="42A13A5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5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6,315</w:t>
            </w:r>
          </w:p>
        </w:tc>
        <w:tc>
          <w:tcPr>
            <w:tcW w:w="0" w:type="auto"/>
            <w:shd w:val="clear" w:color="auto" w:fill="CCEEFF"/>
            <w:vAlign w:val="bottom"/>
          </w:tcPr>
          <w:p w14:paraId="42A13A5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5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5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2,801</w:t>
            </w:r>
          </w:p>
        </w:tc>
        <w:tc>
          <w:tcPr>
            <w:tcW w:w="0" w:type="auto"/>
            <w:shd w:val="clear" w:color="auto" w:fill="CCEEFF"/>
            <w:vAlign w:val="bottom"/>
          </w:tcPr>
          <w:p w14:paraId="42A13A5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5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5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525</w:t>
            </w:r>
          </w:p>
        </w:tc>
        <w:tc>
          <w:tcPr>
            <w:tcW w:w="0" w:type="auto"/>
            <w:shd w:val="clear" w:color="auto" w:fill="CCEEFF"/>
            <w:vAlign w:val="bottom"/>
          </w:tcPr>
          <w:p w14:paraId="42A13A5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5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5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1,064</w:t>
            </w:r>
          </w:p>
        </w:tc>
        <w:tc>
          <w:tcPr>
            <w:tcW w:w="0" w:type="auto"/>
            <w:shd w:val="clear" w:color="auto" w:fill="CCEEFF"/>
            <w:vAlign w:val="bottom"/>
          </w:tcPr>
          <w:p w14:paraId="42A13A5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5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6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10,705</w:t>
            </w:r>
          </w:p>
        </w:tc>
        <w:tc>
          <w:tcPr>
            <w:tcW w:w="0" w:type="auto"/>
            <w:shd w:val="clear" w:color="auto" w:fill="CCEEFF"/>
            <w:vAlign w:val="bottom"/>
          </w:tcPr>
          <w:p w14:paraId="42A13A61" w14:textId="77777777" w:rsidR="00BB68E1" w:rsidRDefault="00BB68E1">
            <w:pPr>
              <w:textAlignment w:val="bottom"/>
              <w:rPr>
                <w:rFonts w:ascii="Times New Roman" w:hAnsi="Times New Roman"/>
                <w:sz w:val="20"/>
                <w:szCs w:val="20"/>
              </w:rPr>
            </w:pPr>
          </w:p>
        </w:tc>
      </w:tr>
      <w:tr w:rsidR="00BB68E1" w14:paraId="42A13A73" w14:textId="77777777">
        <w:trPr>
          <w:jc w:val="center"/>
        </w:trPr>
        <w:tc>
          <w:tcPr>
            <w:tcW w:w="0" w:type="auto"/>
            <w:shd w:val="clear" w:color="auto" w:fill="auto"/>
            <w:tcMar>
              <w:top w:w="40" w:type="dxa"/>
              <w:left w:w="40" w:type="dxa"/>
              <w:bottom w:w="40" w:type="dxa"/>
              <w:right w:w="40" w:type="dxa"/>
            </w:tcMar>
            <w:vAlign w:val="bottom"/>
          </w:tcPr>
          <w:p w14:paraId="42A13A6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A6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65"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6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6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68"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6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6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6B"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6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6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6E"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6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7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71"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72" w14:textId="77777777" w:rsidR="00BB68E1" w:rsidRDefault="00BB68E1">
            <w:pPr>
              <w:textAlignment w:val="bottom"/>
              <w:rPr>
                <w:rFonts w:ascii="Times New Roman" w:hAnsi="Times New Roman"/>
                <w:sz w:val="20"/>
                <w:szCs w:val="20"/>
              </w:rPr>
            </w:pPr>
          </w:p>
        </w:tc>
      </w:tr>
      <w:tr w:rsidR="00BB68E1" w14:paraId="42A13A84" w14:textId="77777777">
        <w:trPr>
          <w:jc w:val="center"/>
        </w:trPr>
        <w:tc>
          <w:tcPr>
            <w:tcW w:w="0" w:type="auto"/>
            <w:shd w:val="clear" w:color="auto" w:fill="CCEEFF"/>
            <w:tcMar>
              <w:top w:w="40" w:type="dxa"/>
              <w:left w:w="40" w:type="dxa"/>
              <w:bottom w:w="40" w:type="dxa"/>
              <w:right w:w="40" w:type="dxa"/>
            </w:tcMar>
            <w:vAlign w:val="center"/>
          </w:tcPr>
          <w:p w14:paraId="42A13A74"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 xml:space="preserve">Fiscal Year Ended January 31, </w:t>
            </w:r>
            <w:r>
              <w:rPr>
                <w:rFonts w:ascii="Times New Roman" w:eastAsia="宋体" w:hAnsi="Times New Roman"/>
                <w:b/>
                <w:bCs/>
                <w:sz w:val="16"/>
                <w:szCs w:val="16"/>
              </w:rPr>
              <w:t>2019</w:t>
            </w:r>
          </w:p>
        </w:tc>
        <w:tc>
          <w:tcPr>
            <w:tcW w:w="0" w:type="auto"/>
            <w:shd w:val="clear" w:color="auto" w:fill="CCEEFF"/>
            <w:tcMar>
              <w:top w:w="40" w:type="dxa"/>
              <w:left w:w="40" w:type="dxa"/>
              <w:bottom w:w="40" w:type="dxa"/>
              <w:right w:w="40" w:type="dxa"/>
            </w:tcMar>
            <w:vAlign w:val="bottom"/>
          </w:tcPr>
          <w:p w14:paraId="42A13A7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76"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A7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7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79"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A7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7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7C"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A7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7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7F"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A8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82"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A83" w14:textId="77777777" w:rsidR="00BB68E1" w:rsidRDefault="00BB68E1">
            <w:pPr>
              <w:textAlignment w:val="bottom"/>
              <w:rPr>
                <w:rFonts w:ascii="Times New Roman" w:hAnsi="Times New Roman"/>
                <w:sz w:val="20"/>
                <w:szCs w:val="20"/>
              </w:rPr>
            </w:pPr>
          </w:p>
        </w:tc>
      </w:tr>
      <w:tr w:rsidR="00BB68E1" w14:paraId="42A13A9A" w14:textId="77777777">
        <w:trPr>
          <w:jc w:val="center"/>
        </w:trPr>
        <w:tc>
          <w:tcPr>
            <w:tcW w:w="0" w:type="auto"/>
            <w:shd w:val="clear" w:color="auto" w:fill="auto"/>
            <w:tcMar>
              <w:top w:w="40" w:type="dxa"/>
              <w:left w:w="40" w:type="dxa"/>
              <w:bottom w:w="40" w:type="dxa"/>
              <w:right w:w="40" w:type="dxa"/>
            </w:tcMar>
            <w:vAlign w:val="center"/>
          </w:tcPr>
          <w:p w14:paraId="42A13A8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lastRenderedPageBreak/>
              <w:t>Net sales</w:t>
            </w:r>
          </w:p>
        </w:tc>
        <w:tc>
          <w:tcPr>
            <w:tcW w:w="0" w:type="auto"/>
            <w:shd w:val="clear" w:color="auto" w:fill="auto"/>
            <w:tcMar>
              <w:top w:w="40" w:type="dxa"/>
              <w:left w:w="40" w:type="dxa"/>
              <w:bottom w:w="40" w:type="dxa"/>
              <w:right w:w="40" w:type="dxa"/>
            </w:tcMar>
            <w:vAlign w:val="bottom"/>
          </w:tcPr>
          <w:p w14:paraId="42A13A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A8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A8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331,666</w:t>
            </w:r>
          </w:p>
        </w:tc>
        <w:tc>
          <w:tcPr>
            <w:tcW w:w="0" w:type="auto"/>
            <w:shd w:val="clear" w:color="auto" w:fill="auto"/>
            <w:vAlign w:val="bottom"/>
          </w:tcPr>
          <w:p w14:paraId="42A13A8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8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A8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A8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120,824</w:t>
            </w:r>
          </w:p>
        </w:tc>
        <w:tc>
          <w:tcPr>
            <w:tcW w:w="0" w:type="auto"/>
            <w:shd w:val="clear" w:color="auto" w:fill="auto"/>
            <w:vAlign w:val="bottom"/>
          </w:tcPr>
          <w:p w14:paraId="42A13A8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8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A8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A9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57,839</w:t>
            </w:r>
          </w:p>
        </w:tc>
        <w:tc>
          <w:tcPr>
            <w:tcW w:w="0" w:type="auto"/>
            <w:shd w:val="clear" w:color="auto" w:fill="auto"/>
            <w:vAlign w:val="bottom"/>
          </w:tcPr>
          <w:p w14:paraId="42A13A9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9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A9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A9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3A9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9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A9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A9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510,329</w:t>
            </w:r>
          </w:p>
        </w:tc>
        <w:tc>
          <w:tcPr>
            <w:tcW w:w="0" w:type="auto"/>
            <w:shd w:val="clear" w:color="auto" w:fill="auto"/>
            <w:vAlign w:val="bottom"/>
          </w:tcPr>
          <w:p w14:paraId="42A13A99" w14:textId="77777777" w:rsidR="00BB68E1" w:rsidRDefault="00BB68E1">
            <w:pPr>
              <w:textAlignment w:val="bottom"/>
              <w:rPr>
                <w:rFonts w:ascii="Times New Roman" w:hAnsi="Times New Roman"/>
                <w:sz w:val="20"/>
                <w:szCs w:val="20"/>
              </w:rPr>
            </w:pPr>
          </w:p>
        </w:tc>
      </w:tr>
      <w:tr w:rsidR="00BB68E1" w14:paraId="42A13AAB" w14:textId="77777777">
        <w:trPr>
          <w:jc w:val="center"/>
        </w:trPr>
        <w:tc>
          <w:tcPr>
            <w:tcW w:w="0" w:type="auto"/>
            <w:shd w:val="clear" w:color="auto" w:fill="CCEEFF"/>
            <w:tcMar>
              <w:top w:w="40" w:type="dxa"/>
              <w:left w:w="40" w:type="dxa"/>
              <w:bottom w:w="40" w:type="dxa"/>
              <w:right w:w="40" w:type="dxa"/>
            </w:tcMar>
            <w:vAlign w:val="center"/>
          </w:tcPr>
          <w:p w14:paraId="42A13A9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income (loss)</w:t>
            </w:r>
          </w:p>
        </w:tc>
        <w:tc>
          <w:tcPr>
            <w:tcW w:w="0" w:type="auto"/>
            <w:shd w:val="clear" w:color="auto" w:fill="CCEEFF"/>
            <w:tcMar>
              <w:top w:w="40" w:type="dxa"/>
              <w:left w:w="40" w:type="dxa"/>
              <w:bottom w:w="40" w:type="dxa"/>
              <w:right w:w="40" w:type="dxa"/>
            </w:tcMar>
            <w:vAlign w:val="bottom"/>
          </w:tcPr>
          <w:p w14:paraId="42A13A9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9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17,386</w:t>
            </w:r>
          </w:p>
        </w:tc>
        <w:tc>
          <w:tcPr>
            <w:tcW w:w="0" w:type="auto"/>
            <w:shd w:val="clear" w:color="auto" w:fill="CCEEFF"/>
            <w:vAlign w:val="bottom"/>
          </w:tcPr>
          <w:p w14:paraId="42A13A9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9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A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4,883</w:t>
            </w:r>
          </w:p>
        </w:tc>
        <w:tc>
          <w:tcPr>
            <w:tcW w:w="0" w:type="auto"/>
            <w:shd w:val="clear" w:color="auto" w:fill="CCEEFF"/>
            <w:vAlign w:val="bottom"/>
          </w:tcPr>
          <w:p w14:paraId="42A13AA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A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A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1,520</w:t>
            </w:r>
          </w:p>
        </w:tc>
        <w:tc>
          <w:tcPr>
            <w:tcW w:w="0" w:type="auto"/>
            <w:shd w:val="clear" w:color="auto" w:fill="CCEEFF"/>
            <w:vAlign w:val="bottom"/>
          </w:tcPr>
          <w:p w14:paraId="42A13AA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A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A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(1,832</w:t>
            </w:r>
          </w:p>
        </w:tc>
        <w:tc>
          <w:tcPr>
            <w:tcW w:w="0" w:type="auto"/>
            <w:shd w:val="clear" w:color="auto" w:fill="CCEEFF"/>
            <w:tcMar>
              <w:top w:w="40" w:type="dxa"/>
              <w:bottom w:w="40" w:type="dxa"/>
              <w:right w:w="40" w:type="dxa"/>
            </w:tcMar>
            <w:vAlign w:val="center"/>
          </w:tcPr>
          <w:p w14:paraId="42A13AA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AA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A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21,957</w:t>
            </w:r>
          </w:p>
        </w:tc>
        <w:tc>
          <w:tcPr>
            <w:tcW w:w="0" w:type="auto"/>
            <w:shd w:val="clear" w:color="auto" w:fill="CCEEFF"/>
            <w:vAlign w:val="bottom"/>
          </w:tcPr>
          <w:p w14:paraId="42A13AAA" w14:textId="77777777" w:rsidR="00BB68E1" w:rsidRDefault="00BB68E1">
            <w:pPr>
              <w:textAlignment w:val="bottom"/>
              <w:rPr>
                <w:rFonts w:ascii="Times New Roman" w:hAnsi="Times New Roman"/>
                <w:sz w:val="20"/>
                <w:szCs w:val="20"/>
              </w:rPr>
            </w:pPr>
          </w:p>
        </w:tc>
      </w:tr>
      <w:tr w:rsidR="00BB68E1" w14:paraId="42A13ABC" w14:textId="77777777">
        <w:trPr>
          <w:jc w:val="center"/>
        </w:trPr>
        <w:tc>
          <w:tcPr>
            <w:tcW w:w="0" w:type="auto"/>
            <w:shd w:val="clear" w:color="auto" w:fill="auto"/>
            <w:tcMar>
              <w:top w:w="40" w:type="dxa"/>
              <w:left w:w="40" w:type="dxa"/>
              <w:bottom w:w="40" w:type="dxa"/>
              <w:right w:w="40" w:type="dxa"/>
            </w:tcMar>
            <w:vAlign w:val="center"/>
          </w:tcPr>
          <w:p w14:paraId="42A13AA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Interest, </w:t>
            </w:r>
            <w:r>
              <w:rPr>
                <w:rFonts w:ascii="Times New Roman" w:eastAsia="宋体" w:hAnsi="Times New Roman"/>
                <w:sz w:val="16"/>
                <w:szCs w:val="16"/>
              </w:rPr>
              <w:t>net</w:t>
            </w:r>
          </w:p>
        </w:tc>
        <w:tc>
          <w:tcPr>
            <w:tcW w:w="0" w:type="auto"/>
            <w:shd w:val="clear" w:color="auto" w:fill="auto"/>
            <w:tcMar>
              <w:top w:w="40" w:type="dxa"/>
              <w:left w:w="40" w:type="dxa"/>
              <w:bottom w:w="40" w:type="dxa"/>
              <w:right w:w="40" w:type="dxa"/>
            </w:tcMar>
            <w:vAlign w:val="bottom"/>
          </w:tcPr>
          <w:p w14:paraId="42A13AA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AE"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A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B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B1"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B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B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B4"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B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B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B7"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B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B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B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(2,129</w:t>
            </w:r>
          </w:p>
        </w:tc>
        <w:tc>
          <w:tcPr>
            <w:tcW w:w="0" w:type="auto"/>
            <w:shd w:val="clear" w:color="auto" w:fill="auto"/>
            <w:tcMar>
              <w:top w:w="40" w:type="dxa"/>
              <w:bottom w:w="40" w:type="dxa"/>
              <w:right w:w="40" w:type="dxa"/>
            </w:tcMar>
            <w:vAlign w:val="center"/>
          </w:tcPr>
          <w:p w14:paraId="42A13AB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ACD" w14:textId="77777777">
        <w:trPr>
          <w:jc w:val="center"/>
        </w:trPr>
        <w:tc>
          <w:tcPr>
            <w:tcW w:w="0" w:type="auto"/>
            <w:shd w:val="clear" w:color="auto" w:fill="CCEEFF"/>
            <w:tcMar>
              <w:top w:w="40" w:type="dxa"/>
              <w:left w:w="40" w:type="dxa"/>
              <w:bottom w:w="40" w:type="dxa"/>
              <w:right w:w="40" w:type="dxa"/>
            </w:tcMar>
            <w:vAlign w:val="center"/>
          </w:tcPr>
          <w:p w14:paraId="42A13AB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 gains and (losses)</w:t>
            </w:r>
          </w:p>
        </w:tc>
        <w:tc>
          <w:tcPr>
            <w:tcW w:w="0" w:type="auto"/>
            <w:shd w:val="clear" w:color="auto" w:fill="CCEEFF"/>
            <w:tcMar>
              <w:top w:w="40" w:type="dxa"/>
              <w:left w:w="40" w:type="dxa"/>
              <w:bottom w:w="40" w:type="dxa"/>
              <w:right w:w="40" w:type="dxa"/>
            </w:tcMar>
            <w:vAlign w:val="bottom"/>
          </w:tcPr>
          <w:p w14:paraId="42A13AB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BF"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AC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C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C2"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AC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C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C5"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AC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C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AC8"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AC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C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AC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(8,368</w:t>
            </w:r>
          </w:p>
        </w:tc>
        <w:tc>
          <w:tcPr>
            <w:tcW w:w="0" w:type="auto"/>
            <w:tcBorders>
              <w:bottom w:val="single" w:sz="8" w:space="0" w:color="000000"/>
            </w:tcBorders>
            <w:shd w:val="clear" w:color="auto" w:fill="CCEEFF"/>
            <w:tcMar>
              <w:top w:w="40" w:type="dxa"/>
              <w:bottom w:w="40" w:type="dxa"/>
              <w:right w:w="40" w:type="dxa"/>
            </w:tcMar>
            <w:vAlign w:val="center"/>
          </w:tcPr>
          <w:p w14:paraId="42A13AC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ADF" w14:textId="77777777">
        <w:trPr>
          <w:jc w:val="center"/>
        </w:trPr>
        <w:tc>
          <w:tcPr>
            <w:tcW w:w="0" w:type="auto"/>
            <w:shd w:val="clear" w:color="auto" w:fill="auto"/>
            <w:tcMar>
              <w:top w:w="40" w:type="dxa"/>
              <w:left w:w="40" w:type="dxa"/>
              <w:bottom w:w="40" w:type="dxa"/>
              <w:right w:w="40" w:type="dxa"/>
            </w:tcMar>
            <w:vAlign w:val="center"/>
          </w:tcPr>
          <w:p w14:paraId="42A13AC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Income</w:t>
            </w:r>
            <w:r>
              <w:rPr>
                <w:rFonts w:ascii="Times New Roman" w:eastAsia="宋体" w:hAnsi="Times New Roman"/>
                <w:sz w:val="16"/>
                <w:szCs w:val="16"/>
              </w:rPr>
              <w:t xml:space="preserve"> before income taxes</w:t>
            </w:r>
          </w:p>
        </w:tc>
        <w:tc>
          <w:tcPr>
            <w:tcW w:w="0" w:type="auto"/>
            <w:shd w:val="clear" w:color="auto" w:fill="auto"/>
            <w:tcMar>
              <w:top w:w="40" w:type="dxa"/>
              <w:left w:w="40" w:type="dxa"/>
              <w:bottom w:w="40" w:type="dxa"/>
              <w:right w:w="40" w:type="dxa"/>
            </w:tcMar>
            <w:vAlign w:val="bottom"/>
          </w:tcPr>
          <w:p w14:paraId="42A13AC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D0"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D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D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D3"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D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D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D6"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D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D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D9"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AD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D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center"/>
          </w:tcPr>
          <w:p w14:paraId="42A13AD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single" w:sz="8" w:space="0" w:color="000000"/>
            </w:tcBorders>
            <w:shd w:val="clear" w:color="auto" w:fill="auto"/>
            <w:tcMar>
              <w:top w:w="40" w:type="dxa"/>
              <w:bottom w:w="40" w:type="dxa"/>
            </w:tcMar>
            <w:vAlign w:val="center"/>
          </w:tcPr>
          <w:p w14:paraId="42A13AD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11,460</w:t>
            </w:r>
          </w:p>
        </w:tc>
        <w:tc>
          <w:tcPr>
            <w:tcW w:w="0" w:type="auto"/>
            <w:tcBorders>
              <w:top w:val="single" w:sz="8" w:space="0" w:color="000000"/>
              <w:bottom w:val="single" w:sz="8" w:space="0" w:color="000000"/>
            </w:tcBorders>
            <w:shd w:val="clear" w:color="auto" w:fill="auto"/>
            <w:vAlign w:val="bottom"/>
          </w:tcPr>
          <w:p w14:paraId="42A13ADE" w14:textId="77777777" w:rsidR="00BB68E1" w:rsidRDefault="00BB68E1">
            <w:pPr>
              <w:textAlignment w:val="bottom"/>
              <w:rPr>
                <w:rFonts w:ascii="Times New Roman" w:hAnsi="Times New Roman"/>
                <w:sz w:val="20"/>
                <w:szCs w:val="20"/>
              </w:rPr>
            </w:pPr>
          </w:p>
        </w:tc>
      </w:tr>
      <w:tr w:rsidR="00BB68E1" w14:paraId="42A13AF5" w14:textId="77777777">
        <w:trPr>
          <w:jc w:val="center"/>
        </w:trPr>
        <w:tc>
          <w:tcPr>
            <w:tcW w:w="0" w:type="auto"/>
            <w:shd w:val="clear" w:color="auto" w:fill="CCEEFF"/>
            <w:tcMar>
              <w:top w:w="40" w:type="dxa"/>
              <w:left w:w="40" w:type="dxa"/>
              <w:bottom w:w="40" w:type="dxa"/>
              <w:right w:w="40" w:type="dxa"/>
            </w:tcMar>
            <w:vAlign w:val="center"/>
          </w:tcPr>
          <w:p w14:paraId="42A13AE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assets</w:t>
            </w:r>
          </w:p>
        </w:tc>
        <w:tc>
          <w:tcPr>
            <w:tcW w:w="0" w:type="auto"/>
            <w:shd w:val="clear" w:color="auto" w:fill="CCEEFF"/>
            <w:tcMar>
              <w:top w:w="40" w:type="dxa"/>
              <w:left w:w="40" w:type="dxa"/>
              <w:bottom w:w="40" w:type="dxa"/>
              <w:right w:w="40" w:type="dxa"/>
            </w:tcMar>
            <w:vAlign w:val="bottom"/>
          </w:tcPr>
          <w:p w14:paraId="42A13AE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AE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AE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105,114</w:t>
            </w:r>
          </w:p>
        </w:tc>
        <w:tc>
          <w:tcPr>
            <w:tcW w:w="0" w:type="auto"/>
            <w:shd w:val="clear" w:color="auto" w:fill="CCEEFF"/>
            <w:vAlign w:val="bottom"/>
          </w:tcPr>
          <w:p w14:paraId="42A13AE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E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AE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AE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97,066</w:t>
            </w:r>
          </w:p>
        </w:tc>
        <w:tc>
          <w:tcPr>
            <w:tcW w:w="0" w:type="auto"/>
            <w:shd w:val="clear" w:color="auto" w:fill="CCEEFF"/>
            <w:vAlign w:val="bottom"/>
          </w:tcPr>
          <w:p w14:paraId="42A13AE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E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AE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AE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12,893</w:t>
            </w:r>
          </w:p>
        </w:tc>
        <w:tc>
          <w:tcPr>
            <w:tcW w:w="0" w:type="auto"/>
            <w:shd w:val="clear" w:color="auto" w:fill="CCEEFF"/>
            <w:vAlign w:val="bottom"/>
          </w:tcPr>
          <w:p w14:paraId="42A13AE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E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AE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AE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4,222</w:t>
            </w:r>
          </w:p>
        </w:tc>
        <w:tc>
          <w:tcPr>
            <w:tcW w:w="0" w:type="auto"/>
            <w:shd w:val="clear" w:color="auto" w:fill="CCEEFF"/>
            <w:vAlign w:val="bottom"/>
          </w:tcPr>
          <w:p w14:paraId="42A13AF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AF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AF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AF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219,295</w:t>
            </w:r>
          </w:p>
        </w:tc>
        <w:tc>
          <w:tcPr>
            <w:tcW w:w="0" w:type="auto"/>
            <w:shd w:val="clear" w:color="auto" w:fill="CCEEFF"/>
            <w:vAlign w:val="bottom"/>
          </w:tcPr>
          <w:p w14:paraId="42A13AF4" w14:textId="77777777" w:rsidR="00BB68E1" w:rsidRDefault="00BB68E1">
            <w:pPr>
              <w:textAlignment w:val="bottom"/>
              <w:rPr>
                <w:rFonts w:ascii="Times New Roman" w:hAnsi="Times New Roman"/>
                <w:sz w:val="20"/>
                <w:szCs w:val="20"/>
              </w:rPr>
            </w:pPr>
          </w:p>
        </w:tc>
      </w:tr>
      <w:tr w:rsidR="00BB68E1" w14:paraId="42A13B06" w14:textId="77777777">
        <w:trPr>
          <w:jc w:val="center"/>
        </w:trPr>
        <w:tc>
          <w:tcPr>
            <w:tcW w:w="0" w:type="auto"/>
            <w:shd w:val="clear" w:color="auto" w:fill="auto"/>
            <w:tcMar>
              <w:top w:w="40" w:type="dxa"/>
              <w:left w:w="40" w:type="dxa"/>
              <w:bottom w:w="40" w:type="dxa"/>
              <w:right w:w="40" w:type="dxa"/>
            </w:tcMar>
            <w:vAlign w:val="center"/>
          </w:tcPr>
          <w:p w14:paraId="42A13AF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Depreciation and amortization</w:t>
            </w:r>
          </w:p>
        </w:tc>
        <w:tc>
          <w:tcPr>
            <w:tcW w:w="0" w:type="auto"/>
            <w:shd w:val="clear" w:color="auto" w:fill="auto"/>
            <w:tcMar>
              <w:top w:w="40" w:type="dxa"/>
              <w:left w:w="40" w:type="dxa"/>
              <w:bottom w:w="40" w:type="dxa"/>
              <w:right w:w="40" w:type="dxa"/>
            </w:tcMar>
            <w:vAlign w:val="bottom"/>
          </w:tcPr>
          <w:p w14:paraId="42A13AF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F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6,201</w:t>
            </w:r>
          </w:p>
        </w:tc>
        <w:tc>
          <w:tcPr>
            <w:tcW w:w="0" w:type="auto"/>
            <w:shd w:val="clear" w:color="auto" w:fill="auto"/>
            <w:vAlign w:val="bottom"/>
          </w:tcPr>
          <w:p w14:paraId="42A13AF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F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F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2,590</w:t>
            </w:r>
          </w:p>
        </w:tc>
        <w:tc>
          <w:tcPr>
            <w:tcW w:w="0" w:type="auto"/>
            <w:shd w:val="clear" w:color="auto" w:fill="auto"/>
            <w:vAlign w:val="bottom"/>
          </w:tcPr>
          <w:p w14:paraId="42A13AF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AF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AF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639</w:t>
            </w:r>
          </w:p>
        </w:tc>
        <w:tc>
          <w:tcPr>
            <w:tcW w:w="0" w:type="auto"/>
            <w:shd w:val="clear" w:color="auto" w:fill="auto"/>
            <w:vAlign w:val="bottom"/>
          </w:tcPr>
          <w:p w14:paraId="42A13AF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0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0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1,248</w:t>
            </w:r>
          </w:p>
        </w:tc>
        <w:tc>
          <w:tcPr>
            <w:tcW w:w="0" w:type="auto"/>
            <w:shd w:val="clear" w:color="auto" w:fill="auto"/>
            <w:vAlign w:val="bottom"/>
          </w:tcPr>
          <w:p w14:paraId="42A13B0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0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0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10,678</w:t>
            </w:r>
          </w:p>
        </w:tc>
        <w:tc>
          <w:tcPr>
            <w:tcW w:w="0" w:type="auto"/>
            <w:shd w:val="clear" w:color="auto" w:fill="auto"/>
            <w:vAlign w:val="bottom"/>
          </w:tcPr>
          <w:p w14:paraId="42A13B05" w14:textId="77777777" w:rsidR="00BB68E1" w:rsidRDefault="00BB68E1">
            <w:pPr>
              <w:textAlignment w:val="bottom"/>
              <w:rPr>
                <w:rFonts w:ascii="Times New Roman" w:hAnsi="Times New Roman"/>
                <w:sz w:val="20"/>
                <w:szCs w:val="20"/>
              </w:rPr>
            </w:pPr>
          </w:p>
        </w:tc>
      </w:tr>
      <w:tr w:rsidR="00BB68E1" w14:paraId="42A13B17" w14:textId="77777777">
        <w:trPr>
          <w:jc w:val="center"/>
        </w:trPr>
        <w:tc>
          <w:tcPr>
            <w:tcW w:w="0" w:type="auto"/>
            <w:shd w:val="clear" w:color="auto" w:fill="CCEEFF"/>
            <w:tcMar>
              <w:top w:w="40" w:type="dxa"/>
              <w:left w:w="40" w:type="dxa"/>
              <w:bottom w:w="40" w:type="dxa"/>
              <w:right w:w="40" w:type="dxa"/>
            </w:tcMar>
            <w:vAlign w:val="center"/>
          </w:tcPr>
          <w:p w14:paraId="42A13B0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Capital expenditures</w:t>
            </w:r>
          </w:p>
        </w:tc>
        <w:tc>
          <w:tcPr>
            <w:tcW w:w="0" w:type="auto"/>
            <w:shd w:val="clear" w:color="auto" w:fill="CCEEFF"/>
            <w:tcMar>
              <w:top w:w="40" w:type="dxa"/>
              <w:left w:w="40" w:type="dxa"/>
              <w:bottom w:w="40" w:type="dxa"/>
              <w:right w:w="40" w:type="dxa"/>
            </w:tcMar>
            <w:vAlign w:val="bottom"/>
          </w:tcPr>
          <w:p w14:paraId="42A13B0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0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6,034</w:t>
            </w:r>
          </w:p>
        </w:tc>
        <w:tc>
          <w:tcPr>
            <w:tcW w:w="0" w:type="auto"/>
            <w:shd w:val="clear" w:color="auto" w:fill="CCEEFF"/>
            <w:vAlign w:val="bottom"/>
          </w:tcPr>
          <w:p w14:paraId="42A13B0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0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0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2,661</w:t>
            </w:r>
          </w:p>
        </w:tc>
        <w:tc>
          <w:tcPr>
            <w:tcW w:w="0" w:type="auto"/>
            <w:shd w:val="clear" w:color="auto" w:fill="CCEEFF"/>
            <w:vAlign w:val="bottom"/>
          </w:tcPr>
          <w:p w14:paraId="42A13B0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0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450</w:t>
            </w:r>
          </w:p>
        </w:tc>
        <w:tc>
          <w:tcPr>
            <w:tcW w:w="0" w:type="auto"/>
            <w:shd w:val="clear" w:color="auto" w:fill="CCEEFF"/>
            <w:vAlign w:val="bottom"/>
          </w:tcPr>
          <w:p w14:paraId="42A13B1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1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1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1,199</w:t>
            </w:r>
          </w:p>
        </w:tc>
        <w:tc>
          <w:tcPr>
            <w:tcW w:w="0" w:type="auto"/>
            <w:shd w:val="clear" w:color="auto" w:fill="CCEEFF"/>
            <w:vAlign w:val="bottom"/>
          </w:tcPr>
          <w:p w14:paraId="42A13B1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1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1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10,344</w:t>
            </w:r>
          </w:p>
        </w:tc>
        <w:tc>
          <w:tcPr>
            <w:tcW w:w="0" w:type="auto"/>
            <w:shd w:val="clear" w:color="auto" w:fill="CCEEFF"/>
            <w:vAlign w:val="bottom"/>
          </w:tcPr>
          <w:p w14:paraId="42A13B16" w14:textId="77777777" w:rsidR="00BB68E1" w:rsidRDefault="00BB68E1">
            <w:pPr>
              <w:textAlignment w:val="bottom"/>
              <w:rPr>
                <w:rFonts w:ascii="Times New Roman" w:hAnsi="Times New Roman"/>
                <w:sz w:val="20"/>
                <w:szCs w:val="20"/>
              </w:rPr>
            </w:pPr>
          </w:p>
        </w:tc>
      </w:tr>
      <w:tr w:rsidR="00BB68E1" w14:paraId="42A13B28" w14:textId="77777777">
        <w:trPr>
          <w:jc w:val="center"/>
        </w:trPr>
        <w:tc>
          <w:tcPr>
            <w:tcW w:w="0" w:type="auto"/>
            <w:shd w:val="clear" w:color="auto" w:fill="auto"/>
            <w:tcMar>
              <w:top w:w="40" w:type="dxa"/>
              <w:left w:w="40" w:type="dxa"/>
              <w:bottom w:w="40" w:type="dxa"/>
              <w:right w:w="40" w:type="dxa"/>
            </w:tcMar>
            <w:vAlign w:val="bottom"/>
          </w:tcPr>
          <w:p w14:paraId="42A13B1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B1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1A"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B1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1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1D"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B1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1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20"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B2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2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23"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B2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2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26"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B27" w14:textId="77777777" w:rsidR="00BB68E1" w:rsidRDefault="00BB68E1">
            <w:pPr>
              <w:textAlignment w:val="bottom"/>
              <w:rPr>
                <w:rFonts w:ascii="Times New Roman" w:hAnsi="Times New Roman"/>
                <w:sz w:val="20"/>
                <w:szCs w:val="20"/>
              </w:rPr>
            </w:pPr>
          </w:p>
        </w:tc>
      </w:tr>
      <w:tr w:rsidR="00BB68E1" w14:paraId="42A13B39" w14:textId="77777777">
        <w:trPr>
          <w:jc w:val="center"/>
        </w:trPr>
        <w:tc>
          <w:tcPr>
            <w:tcW w:w="0" w:type="auto"/>
            <w:shd w:val="clear" w:color="auto" w:fill="CCEEFF"/>
            <w:tcMar>
              <w:top w:w="40" w:type="dxa"/>
              <w:left w:w="40" w:type="dxa"/>
              <w:bottom w:w="40" w:type="dxa"/>
              <w:right w:w="40" w:type="dxa"/>
            </w:tcMar>
            <w:vAlign w:val="center"/>
          </w:tcPr>
          <w:p w14:paraId="42A13B29"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Fiscal Year Ended January 31, 2018</w:t>
            </w:r>
          </w:p>
        </w:tc>
        <w:tc>
          <w:tcPr>
            <w:tcW w:w="0" w:type="auto"/>
            <w:shd w:val="clear" w:color="auto" w:fill="CCEEFF"/>
            <w:tcMar>
              <w:top w:w="40" w:type="dxa"/>
              <w:left w:w="40" w:type="dxa"/>
              <w:bottom w:w="40" w:type="dxa"/>
              <w:right w:w="40" w:type="dxa"/>
            </w:tcMar>
            <w:vAlign w:val="bottom"/>
          </w:tcPr>
          <w:p w14:paraId="42A13B2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2B"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B2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2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2E"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B2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3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31"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B3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3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34"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B3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3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37" w14:textId="77777777" w:rsidR="00BB68E1" w:rsidRDefault="00BB68E1">
            <w:pPr>
              <w:jc w:val="right"/>
              <w:textAlignment w:val="center"/>
              <w:rPr>
                <w:rFonts w:ascii="Times New Roman" w:hAnsi="Times New Roman"/>
                <w:sz w:val="16"/>
                <w:szCs w:val="16"/>
              </w:rPr>
            </w:pPr>
          </w:p>
        </w:tc>
        <w:tc>
          <w:tcPr>
            <w:tcW w:w="0" w:type="auto"/>
            <w:shd w:val="clear" w:color="auto" w:fill="CCEEFF"/>
            <w:vAlign w:val="bottom"/>
          </w:tcPr>
          <w:p w14:paraId="42A13B38" w14:textId="77777777" w:rsidR="00BB68E1" w:rsidRDefault="00BB68E1">
            <w:pPr>
              <w:textAlignment w:val="bottom"/>
              <w:rPr>
                <w:rFonts w:ascii="Times New Roman" w:hAnsi="Times New Roman"/>
                <w:sz w:val="20"/>
                <w:szCs w:val="20"/>
              </w:rPr>
            </w:pPr>
          </w:p>
        </w:tc>
      </w:tr>
      <w:tr w:rsidR="00BB68E1" w14:paraId="42A13B4F" w14:textId="77777777">
        <w:trPr>
          <w:jc w:val="center"/>
        </w:trPr>
        <w:tc>
          <w:tcPr>
            <w:tcW w:w="0" w:type="auto"/>
            <w:shd w:val="clear" w:color="auto" w:fill="auto"/>
            <w:tcMar>
              <w:top w:w="40" w:type="dxa"/>
              <w:left w:w="40" w:type="dxa"/>
              <w:bottom w:w="40" w:type="dxa"/>
              <w:right w:w="40" w:type="dxa"/>
            </w:tcMar>
            <w:vAlign w:val="center"/>
          </w:tcPr>
          <w:p w14:paraId="42A13B3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auto"/>
            <w:tcMar>
              <w:top w:w="40" w:type="dxa"/>
              <w:left w:w="40" w:type="dxa"/>
              <w:bottom w:w="40" w:type="dxa"/>
              <w:right w:w="40" w:type="dxa"/>
            </w:tcMar>
            <w:vAlign w:val="bottom"/>
          </w:tcPr>
          <w:p w14:paraId="42A13B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B3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B3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318,477</w:t>
            </w:r>
          </w:p>
        </w:tc>
        <w:tc>
          <w:tcPr>
            <w:tcW w:w="0" w:type="auto"/>
            <w:shd w:val="clear" w:color="auto" w:fill="auto"/>
            <w:vAlign w:val="bottom"/>
          </w:tcPr>
          <w:p w14:paraId="42A13B3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3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B4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B4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118,068</w:t>
            </w:r>
          </w:p>
        </w:tc>
        <w:tc>
          <w:tcPr>
            <w:tcW w:w="0" w:type="auto"/>
            <w:shd w:val="clear" w:color="auto" w:fill="auto"/>
            <w:vAlign w:val="bottom"/>
          </w:tcPr>
          <w:p w14:paraId="42A13B4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4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B4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B4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59,216</w:t>
            </w:r>
          </w:p>
        </w:tc>
        <w:tc>
          <w:tcPr>
            <w:tcW w:w="0" w:type="auto"/>
            <w:shd w:val="clear" w:color="auto" w:fill="auto"/>
            <w:vAlign w:val="bottom"/>
          </w:tcPr>
          <w:p w14:paraId="42A13B4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4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B4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B4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2A13B4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4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B4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B4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495,761</w:t>
            </w:r>
          </w:p>
        </w:tc>
        <w:tc>
          <w:tcPr>
            <w:tcW w:w="0" w:type="auto"/>
            <w:shd w:val="clear" w:color="auto" w:fill="auto"/>
            <w:vAlign w:val="bottom"/>
          </w:tcPr>
          <w:p w14:paraId="42A13B4E" w14:textId="77777777" w:rsidR="00BB68E1" w:rsidRDefault="00BB68E1">
            <w:pPr>
              <w:textAlignment w:val="bottom"/>
              <w:rPr>
                <w:rFonts w:ascii="Times New Roman" w:hAnsi="Times New Roman"/>
                <w:sz w:val="20"/>
                <w:szCs w:val="20"/>
              </w:rPr>
            </w:pPr>
          </w:p>
        </w:tc>
      </w:tr>
      <w:tr w:rsidR="00BB68E1" w14:paraId="42A13B60" w14:textId="77777777">
        <w:trPr>
          <w:jc w:val="center"/>
        </w:trPr>
        <w:tc>
          <w:tcPr>
            <w:tcW w:w="0" w:type="auto"/>
            <w:shd w:val="clear" w:color="auto" w:fill="CCEEFF"/>
            <w:tcMar>
              <w:top w:w="40" w:type="dxa"/>
              <w:left w:w="40" w:type="dxa"/>
              <w:bottom w:w="40" w:type="dxa"/>
              <w:right w:w="40" w:type="dxa"/>
            </w:tcMar>
            <w:vAlign w:val="center"/>
          </w:tcPr>
          <w:p w14:paraId="42A13B5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Operating income (loss)</w:t>
            </w:r>
          </w:p>
        </w:tc>
        <w:tc>
          <w:tcPr>
            <w:tcW w:w="0" w:type="auto"/>
            <w:shd w:val="clear" w:color="auto" w:fill="CCEEFF"/>
            <w:tcMar>
              <w:top w:w="40" w:type="dxa"/>
              <w:left w:w="40" w:type="dxa"/>
              <w:bottom w:w="40" w:type="dxa"/>
              <w:right w:w="40" w:type="dxa"/>
            </w:tcMar>
            <w:vAlign w:val="bottom"/>
          </w:tcPr>
          <w:p w14:paraId="42A13B5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5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16,995</w:t>
            </w:r>
          </w:p>
        </w:tc>
        <w:tc>
          <w:tcPr>
            <w:tcW w:w="0" w:type="auto"/>
            <w:shd w:val="clear" w:color="auto" w:fill="CCEEFF"/>
            <w:vAlign w:val="bottom"/>
          </w:tcPr>
          <w:p w14:paraId="42A13B5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5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5,229</w:t>
            </w:r>
          </w:p>
        </w:tc>
        <w:tc>
          <w:tcPr>
            <w:tcW w:w="0" w:type="auto"/>
            <w:shd w:val="clear" w:color="auto" w:fill="CCEEFF"/>
            <w:vAlign w:val="bottom"/>
          </w:tcPr>
          <w:p w14:paraId="42A13B5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5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5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915</w:t>
            </w:r>
          </w:p>
        </w:tc>
        <w:tc>
          <w:tcPr>
            <w:tcW w:w="0" w:type="auto"/>
            <w:shd w:val="clear" w:color="auto" w:fill="CCEEFF"/>
            <w:vAlign w:val="bottom"/>
          </w:tcPr>
          <w:p w14:paraId="42A13B5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5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5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(2,702</w:t>
            </w:r>
          </w:p>
        </w:tc>
        <w:tc>
          <w:tcPr>
            <w:tcW w:w="0" w:type="auto"/>
            <w:shd w:val="clear" w:color="auto" w:fill="CCEEFF"/>
            <w:tcMar>
              <w:top w:w="40" w:type="dxa"/>
              <w:bottom w:w="40" w:type="dxa"/>
              <w:right w:w="40" w:type="dxa"/>
            </w:tcMar>
            <w:vAlign w:val="center"/>
          </w:tcPr>
          <w:p w14:paraId="42A13B5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B5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5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20,437</w:t>
            </w:r>
          </w:p>
        </w:tc>
        <w:tc>
          <w:tcPr>
            <w:tcW w:w="0" w:type="auto"/>
            <w:shd w:val="clear" w:color="auto" w:fill="CCEEFF"/>
            <w:vAlign w:val="bottom"/>
          </w:tcPr>
          <w:p w14:paraId="42A13B5F" w14:textId="77777777" w:rsidR="00BB68E1" w:rsidRDefault="00BB68E1">
            <w:pPr>
              <w:textAlignment w:val="bottom"/>
              <w:rPr>
                <w:rFonts w:ascii="Times New Roman" w:hAnsi="Times New Roman"/>
                <w:sz w:val="20"/>
                <w:szCs w:val="20"/>
              </w:rPr>
            </w:pPr>
          </w:p>
        </w:tc>
      </w:tr>
      <w:tr w:rsidR="00BB68E1" w14:paraId="42A13B71" w14:textId="77777777">
        <w:trPr>
          <w:jc w:val="center"/>
        </w:trPr>
        <w:tc>
          <w:tcPr>
            <w:tcW w:w="0" w:type="auto"/>
            <w:shd w:val="clear" w:color="auto" w:fill="auto"/>
            <w:tcMar>
              <w:top w:w="40" w:type="dxa"/>
              <w:left w:w="40" w:type="dxa"/>
              <w:bottom w:w="40" w:type="dxa"/>
              <w:right w:w="40" w:type="dxa"/>
            </w:tcMar>
            <w:vAlign w:val="center"/>
          </w:tcPr>
          <w:p w14:paraId="42A13B6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Interest, </w:t>
            </w:r>
            <w:r>
              <w:rPr>
                <w:rFonts w:ascii="Times New Roman" w:eastAsia="宋体" w:hAnsi="Times New Roman"/>
                <w:sz w:val="16"/>
                <w:szCs w:val="16"/>
              </w:rPr>
              <w:t>net</w:t>
            </w:r>
          </w:p>
        </w:tc>
        <w:tc>
          <w:tcPr>
            <w:tcW w:w="0" w:type="auto"/>
            <w:shd w:val="clear" w:color="auto" w:fill="auto"/>
            <w:tcMar>
              <w:top w:w="40" w:type="dxa"/>
              <w:left w:w="40" w:type="dxa"/>
              <w:bottom w:w="40" w:type="dxa"/>
              <w:right w:w="40" w:type="dxa"/>
            </w:tcMar>
            <w:vAlign w:val="bottom"/>
          </w:tcPr>
          <w:p w14:paraId="42A13B6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63"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B6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6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66"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B6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6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69"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B6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6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6C"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B6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6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(2,178</w:t>
            </w:r>
          </w:p>
        </w:tc>
        <w:tc>
          <w:tcPr>
            <w:tcW w:w="0" w:type="auto"/>
            <w:shd w:val="clear" w:color="auto" w:fill="auto"/>
            <w:tcMar>
              <w:top w:w="40" w:type="dxa"/>
              <w:bottom w:w="40" w:type="dxa"/>
              <w:right w:w="40" w:type="dxa"/>
            </w:tcMar>
            <w:vAlign w:val="center"/>
          </w:tcPr>
          <w:p w14:paraId="42A13B7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B7E" w14:textId="77777777">
        <w:trPr>
          <w:jc w:val="center"/>
        </w:trPr>
        <w:tc>
          <w:tcPr>
            <w:tcW w:w="0" w:type="auto"/>
            <w:shd w:val="clear" w:color="auto" w:fill="CCEEFF"/>
            <w:tcMar>
              <w:top w:w="40" w:type="dxa"/>
              <w:left w:w="40" w:type="dxa"/>
              <w:bottom w:w="40" w:type="dxa"/>
              <w:right w:w="40" w:type="dxa"/>
            </w:tcMar>
            <w:vAlign w:val="center"/>
          </w:tcPr>
          <w:p w14:paraId="42A13B7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Loss on extinguishment of debt</w:t>
            </w:r>
          </w:p>
        </w:tc>
        <w:tc>
          <w:tcPr>
            <w:tcW w:w="0" w:type="auto"/>
            <w:shd w:val="clear" w:color="auto" w:fill="CCEEFF"/>
            <w:tcMar>
              <w:top w:w="40" w:type="dxa"/>
              <w:left w:w="40" w:type="dxa"/>
              <w:bottom w:w="40" w:type="dxa"/>
              <w:right w:w="40" w:type="dxa"/>
            </w:tcMar>
            <w:vAlign w:val="bottom"/>
          </w:tcPr>
          <w:p w14:paraId="42A13B7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B7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B7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B7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B7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B7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B7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B7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B7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B7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(3,136</w:t>
            </w:r>
          </w:p>
        </w:tc>
        <w:tc>
          <w:tcPr>
            <w:tcW w:w="0" w:type="auto"/>
            <w:tcBorders>
              <w:bottom w:val="single" w:sz="8" w:space="0" w:color="000000"/>
            </w:tcBorders>
            <w:shd w:val="clear" w:color="auto" w:fill="CCEEFF"/>
            <w:tcMar>
              <w:top w:w="40" w:type="dxa"/>
              <w:bottom w:w="40" w:type="dxa"/>
              <w:right w:w="40" w:type="dxa"/>
            </w:tcMar>
            <w:vAlign w:val="center"/>
          </w:tcPr>
          <w:p w14:paraId="42A13B7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r>
      <w:tr w:rsidR="00BB68E1" w14:paraId="42A13B90" w14:textId="77777777">
        <w:trPr>
          <w:jc w:val="center"/>
        </w:trPr>
        <w:tc>
          <w:tcPr>
            <w:tcW w:w="0" w:type="auto"/>
            <w:shd w:val="clear" w:color="auto" w:fill="auto"/>
            <w:tcMar>
              <w:top w:w="40" w:type="dxa"/>
              <w:left w:w="40" w:type="dxa"/>
              <w:bottom w:w="40" w:type="dxa"/>
              <w:right w:w="40" w:type="dxa"/>
            </w:tcMar>
            <w:vAlign w:val="center"/>
          </w:tcPr>
          <w:p w14:paraId="42A13B7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Income before income taxes</w:t>
            </w:r>
          </w:p>
        </w:tc>
        <w:tc>
          <w:tcPr>
            <w:tcW w:w="0" w:type="auto"/>
            <w:shd w:val="clear" w:color="auto" w:fill="auto"/>
            <w:tcMar>
              <w:top w:w="40" w:type="dxa"/>
              <w:left w:w="40" w:type="dxa"/>
              <w:bottom w:w="40" w:type="dxa"/>
              <w:right w:w="40" w:type="dxa"/>
            </w:tcMar>
            <w:vAlign w:val="bottom"/>
          </w:tcPr>
          <w:p w14:paraId="42A13B8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81"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B8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8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84"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B8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87"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B88"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8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8A" w14:textId="77777777" w:rsidR="00BB68E1" w:rsidRDefault="00BB68E1">
            <w:pPr>
              <w:jc w:val="right"/>
              <w:textAlignment w:val="center"/>
              <w:rPr>
                <w:rFonts w:ascii="Times New Roman" w:hAnsi="Times New Roman"/>
                <w:sz w:val="16"/>
                <w:szCs w:val="16"/>
              </w:rPr>
            </w:pPr>
          </w:p>
        </w:tc>
        <w:tc>
          <w:tcPr>
            <w:tcW w:w="0" w:type="auto"/>
            <w:shd w:val="clear" w:color="auto" w:fill="auto"/>
            <w:vAlign w:val="bottom"/>
          </w:tcPr>
          <w:p w14:paraId="42A13B8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8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center"/>
          </w:tcPr>
          <w:p w14:paraId="42A13B8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auto"/>
            <w:tcMar>
              <w:top w:w="40" w:type="dxa"/>
              <w:bottom w:w="40" w:type="dxa"/>
            </w:tcMar>
            <w:vAlign w:val="center"/>
          </w:tcPr>
          <w:p w14:paraId="42A13B8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15,123</w:t>
            </w:r>
          </w:p>
        </w:tc>
        <w:tc>
          <w:tcPr>
            <w:tcW w:w="0" w:type="auto"/>
            <w:tcBorders>
              <w:top w:val="single" w:sz="8" w:space="0" w:color="000000"/>
            </w:tcBorders>
            <w:shd w:val="clear" w:color="auto" w:fill="auto"/>
            <w:vAlign w:val="bottom"/>
          </w:tcPr>
          <w:p w14:paraId="42A13B8F" w14:textId="77777777" w:rsidR="00BB68E1" w:rsidRDefault="00BB68E1">
            <w:pPr>
              <w:textAlignment w:val="bottom"/>
              <w:rPr>
                <w:rFonts w:ascii="Times New Roman" w:hAnsi="Times New Roman"/>
                <w:sz w:val="20"/>
                <w:szCs w:val="20"/>
              </w:rPr>
            </w:pPr>
          </w:p>
        </w:tc>
      </w:tr>
      <w:tr w:rsidR="00BB68E1" w14:paraId="42A13BA6" w14:textId="77777777">
        <w:trPr>
          <w:jc w:val="center"/>
        </w:trPr>
        <w:tc>
          <w:tcPr>
            <w:tcW w:w="0" w:type="auto"/>
            <w:shd w:val="clear" w:color="auto" w:fill="CCEEFF"/>
            <w:tcMar>
              <w:top w:w="40" w:type="dxa"/>
              <w:left w:w="40" w:type="dxa"/>
              <w:bottom w:w="40" w:type="dxa"/>
              <w:right w:w="40" w:type="dxa"/>
            </w:tcMar>
            <w:vAlign w:val="center"/>
          </w:tcPr>
          <w:p w14:paraId="42A13B9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assets</w:t>
            </w:r>
          </w:p>
        </w:tc>
        <w:tc>
          <w:tcPr>
            <w:tcW w:w="0" w:type="auto"/>
            <w:shd w:val="clear" w:color="auto" w:fill="CCEEFF"/>
            <w:tcMar>
              <w:top w:w="40" w:type="dxa"/>
              <w:left w:w="40" w:type="dxa"/>
              <w:bottom w:w="40" w:type="dxa"/>
              <w:right w:w="40" w:type="dxa"/>
            </w:tcMar>
            <w:vAlign w:val="bottom"/>
          </w:tcPr>
          <w:p w14:paraId="42A13B9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B9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B9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104,347</w:t>
            </w:r>
          </w:p>
        </w:tc>
        <w:tc>
          <w:tcPr>
            <w:tcW w:w="0" w:type="auto"/>
            <w:shd w:val="clear" w:color="auto" w:fill="CCEEFF"/>
            <w:vAlign w:val="bottom"/>
          </w:tcPr>
          <w:p w14:paraId="42A13B9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9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B9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B9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81,549</w:t>
            </w:r>
          </w:p>
        </w:tc>
        <w:tc>
          <w:tcPr>
            <w:tcW w:w="0" w:type="auto"/>
            <w:shd w:val="clear" w:color="auto" w:fill="CCEEFF"/>
            <w:vAlign w:val="bottom"/>
          </w:tcPr>
          <w:p w14:paraId="42A13B9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9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B9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B9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13,418</w:t>
            </w:r>
          </w:p>
        </w:tc>
        <w:tc>
          <w:tcPr>
            <w:tcW w:w="0" w:type="auto"/>
            <w:shd w:val="clear" w:color="auto" w:fill="CCEEFF"/>
            <w:vAlign w:val="bottom"/>
          </w:tcPr>
          <w:p w14:paraId="42A13B9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9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B9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BA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5,208</w:t>
            </w:r>
          </w:p>
        </w:tc>
        <w:tc>
          <w:tcPr>
            <w:tcW w:w="0" w:type="auto"/>
            <w:shd w:val="clear" w:color="auto" w:fill="CCEEFF"/>
            <w:vAlign w:val="bottom"/>
          </w:tcPr>
          <w:p w14:paraId="42A13BA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A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3BA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3BA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204,522</w:t>
            </w:r>
          </w:p>
        </w:tc>
        <w:tc>
          <w:tcPr>
            <w:tcW w:w="0" w:type="auto"/>
            <w:tcBorders>
              <w:top w:val="single" w:sz="8" w:space="0" w:color="000000"/>
            </w:tcBorders>
            <w:shd w:val="clear" w:color="auto" w:fill="CCEEFF"/>
            <w:vAlign w:val="bottom"/>
          </w:tcPr>
          <w:p w14:paraId="42A13BA5" w14:textId="77777777" w:rsidR="00BB68E1" w:rsidRDefault="00BB68E1">
            <w:pPr>
              <w:textAlignment w:val="bottom"/>
              <w:rPr>
                <w:rFonts w:ascii="Times New Roman" w:hAnsi="Times New Roman"/>
                <w:sz w:val="20"/>
                <w:szCs w:val="20"/>
              </w:rPr>
            </w:pPr>
          </w:p>
        </w:tc>
      </w:tr>
      <w:tr w:rsidR="00BB68E1" w14:paraId="42A13BB7" w14:textId="77777777">
        <w:trPr>
          <w:jc w:val="center"/>
        </w:trPr>
        <w:tc>
          <w:tcPr>
            <w:tcW w:w="0" w:type="auto"/>
            <w:shd w:val="clear" w:color="auto" w:fill="auto"/>
            <w:tcMar>
              <w:top w:w="40" w:type="dxa"/>
              <w:left w:w="40" w:type="dxa"/>
              <w:bottom w:w="40" w:type="dxa"/>
              <w:right w:w="40" w:type="dxa"/>
            </w:tcMar>
            <w:vAlign w:val="center"/>
          </w:tcPr>
          <w:p w14:paraId="42A13BA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Depreciation and amortization</w:t>
            </w:r>
          </w:p>
        </w:tc>
        <w:tc>
          <w:tcPr>
            <w:tcW w:w="0" w:type="auto"/>
            <w:shd w:val="clear" w:color="auto" w:fill="auto"/>
            <w:tcMar>
              <w:top w:w="40" w:type="dxa"/>
              <w:left w:w="40" w:type="dxa"/>
              <w:bottom w:w="40" w:type="dxa"/>
              <w:right w:w="40" w:type="dxa"/>
            </w:tcMar>
            <w:vAlign w:val="bottom"/>
          </w:tcPr>
          <w:p w14:paraId="42A13BA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A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6,005</w:t>
            </w:r>
          </w:p>
        </w:tc>
        <w:tc>
          <w:tcPr>
            <w:tcW w:w="0" w:type="auto"/>
            <w:shd w:val="clear" w:color="auto" w:fill="auto"/>
            <w:vAlign w:val="bottom"/>
          </w:tcPr>
          <w:p w14:paraId="42A13BA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A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A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2,601</w:t>
            </w:r>
          </w:p>
        </w:tc>
        <w:tc>
          <w:tcPr>
            <w:tcW w:w="0" w:type="auto"/>
            <w:shd w:val="clear" w:color="auto" w:fill="auto"/>
            <w:vAlign w:val="bottom"/>
          </w:tcPr>
          <w:p w14:paraId="42A13BA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A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A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698</w:t>
            </w:r>
          </w:p>
        </w:tc>
        <w:tc>
          <w:tcPr>
            <w:tcW w:w="0" w:type="auto"/>
            <w:shd w:val="clear" w:color="auto" w:fill="auto"/>
            <w:vAlign w:val="bottom"/>
          </w:tcPr>
          <w:p w14:paraId="42A13BB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B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B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1,225</w:t>
            </w:r>
          </w:p>
        </w:tc>
        <w:tc>
          <w:tcPr>
            <w:tcW w:w="0" w:type="auto"/>
            <w:shd w:val="clear" w:color="auto" w:fill="auto"/>
            <w:vAlign w:val="bottom"/>
          </w:tcPr>
          <w:p w14:paraId="42A13BB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BB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10,529</w:t>
            </w:r>
          </w:p>
        </w:tc>
        <w:tc>
          <w:tcPr>
            <w:tcW w:w="0" w:type="auto"/>
            <w:shd w:val="clear" w:color="auto" w:fill="auto"/>
            <w:vAlign w:val="bottom"/>
          </w:tcPr>
          <w:p w14:paraId="42A13BB6" w14:textId="77777777" w:rsidR="00BB68E1" w:rsidRDefault="00BB68E1">
            <w:pPr>
              <w:textAlignment w:val="bottom"/>
              <w:rPr>
                <w:rFonts w:ascii="Times New Roman" w:hAnsi="Times New Roman"/>
                <w:sz w:val="20"/>
                <w:szCs w:val="20"/>
              </w:rPr>
            </w:pPr>
          </w:p>
        </w:tc>
      </w:tr>
      <w:tr w:rsidR="00BB68E1" w14:paraId="42A13BC8" w14:textId="77777777">
        <w:trPr>
          <w:jc w:val="center"/>
        </w:trPr>
        <w:tc>
          <w:tcPr>
            <w:tcW w:w="0" w:type="auto"/>
            <w:shd w:val="clear" w:color="auto" w:fill="CCEEFF"/>
            <w:tcMar>
              <w:top w:w="40" w:type="dxa"/>
              <w:left w:w="40" w:type="dxa"/>
              <w:bottom w:w="40" w:type="dxa"/>
              <w:right w:w="40" w:type="dxa"/>
            </w:tcMar>
            <w:vAlign w:val="center"/>
          </w:tcPr>
          <w:p w14:paraId="42A13BB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Capital expenditures</w:t>
            </w:r>
          </w:p>
        </w:tc>
        <w:tc>
          <w:tcPr>
            <w:tcW w:w="0" w:type="auto"/>
            <w:shd w:val="clear" w:color="auto" w:fill="CCEEFF"/>
            <w:tcMar>
              <w:top w:w="40" w:type="dxa"/>
              <w:left w:w="40" w:type="dxa"/>
              <w:bottom w:w="40" w:type="dxa"/>
              <w:right w:w="40" w:type="dxa"/>
            </w:tcMar>
            <w:vAlign w:val="bottom"/>
          </w:tcPr>
          <w:p w14:paraId="42A13BB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B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5,680</w:t>
            </w:r>
          </w:p>
        </w:tc>
        <w:tc>
          <w:tcPr>
            <w:tcW w:w="0" w:type="auto"/>
            <w:shd w:val="clear" w:color="auto" w:fill="CCEEFF"/>
            <w:vAlign w:val="bottom"/>
          </w:tcPr>
          <w:p w14:paraId="42A13BB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B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B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2,607</w:t>
            </w:r>
          </w:p>
        </w:tc>
        <w:tc>
          <w:tcPr>
            <w:tcW w:w="0" w:type="auto"/>
            <w:shd w:val="clear" w:color="auto" w:fill="CCEEFF"/>
            <w:vAlign w:val="bottom"/>
          </w:tcPr>
          <w:p w14:paraId="42A13BB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C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626</w:t>
            </w:r>
          </w:p>
        </w:tc>
        <w:tc>
          <w:tcPr>
            <w:tcW w:w="0" w:type="auto"/>
            <w:shd w:val="clear" w:color="auto" w:fill="CCEEFF"/>
            <w:vAlign w:val="bottom"/>
          </w:tcPr>
          <w:p w14:paraId="42A13BC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C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1,138</w:t>
            </w:r>
          </w:p>
        </w:tc>
        <w:tc>
          <w:tcPr>
            <w:tcW w:w="0" w:type="auto"/>
            <w:shd w:val="clear" w:color="auto" w:fill="CCEEFF"/>
            <w:vAlign w:val="bottom"/>
          </w:tcPr>
          <w:p w14:paraId="42A13BC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BC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BC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10,051</w:t>
            </w:r>
          </w:p>
        </w:tc>
        <w:tc>
          <w:tcPr>
            <w:tcW w:w="0" w:type="auto"/>
            <w:shd w:val="clear" w:color="auto" w:fill="CCEEFF"/>
            <w:vAlign w:val="bottom"/>
          </w:tcPr>
          <w:p w14:paraId="42A13BC7" w14:textId="77777777" w:rsidR="00BB68E1" w:rsidRDefault="00BB68E1">
            <w:pPr>
              <w:textAlignment w:val="bottom"/>
              <w:rPr>
                <w:rFonts w:ascii="Times New Roman" w:hAnsi="Times New Roman"/>
                <w:sz w:val="20"/>
                <w:szCs w:val="20"/>
              </w:rPr>
            </w:pPr>
          </w:p>
        </w:tc>
      </w:tr>
    </w:tbl>
    <w:p w14:paraId="42A13BC9" w14:textId="77777777" w:rsidR="00BB68E1" w:rsidRDefault="00BB68E1">
      <w:pPr>
        <w:spacing w:line="288" w:lineRule="auto"/>
        <w:jc w:val="center"/>
        <w:rPr>
          <w:rFonts w:ascii="Times New Roman" w:hAnsi="Times New Roman"/>
          <w:sz w:val="20"/>
          <w:szCs w:val="20"/>
        </w:rPr>
      </w:pPr>
    </w:p>
    <w:p w14:paraId="42A13BCA" w14:textId="77777777" w:rsidR="00BB68E1" w:rsidRDefault="00BB68E1">
      <w:pPr>
        <w:rPr>
          <w:rFonts w:ascii="Times New Roman" w:hAnsi="Times New Roman"/>
          <w:sz w:val="20"/>
          <w:szCs w:val="20"/>
        </w:rPr>
      </w:pPr>
    </w:p>
    <w:p w14:paraId="42A13BCB"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75</w:t>
      </w:r>
    </w:p>
    <w:p w14:paraId="42A13BCC" w14:textId="77777777" w:rsidR="00BB68E1" w:rsidRDefault="00BB68E1">
      <w:pPr>
        <w:spacing w:line="288" w:lineRule="auto"/>
        <w:jc w:val="center"/>
        <w:rPr>
          <w:rFonts w:ascii="Times New Roman" w:hAnsi="Times New Roman"/>
          <w:sz w:val="20"/>
          <w:szCs w:val="20"/>
        </w:rPr>
      </w:pPr>
    </w:p>
    <w:p w14:paraId="42A13BCD" w14:textId="77777777" w:rsidR="00BB68E1" w:rsidRDefault="005D2D5E">
      <w:r>
        <w:rPr>
          <w:rFonts w:ascii="Times New Roman" w:hAnsi="Times New Roman"/>
          <w:sz w:val="20"/>
          <w:szCs w:val="20"/>
        </w:rPr>
        <w:pict w14:anchorId="42A142C2">
          <v:rect id="_x0000_i1099" style="width:415.3pt;height:1.5pt" o:hralign="center" o:hrstd="t" o:hr="t" fillcolor="#a0a0a0" stroked="f"/>
        </w:pict>
      </w:r>
    </w:p>
    <w:p w14:paraId="42A13BCE" w14:textId="77777777" w:rsidR="00BB68E1" w:rsidRDefault="00BB68E1">
      <w:pPr>
        <w:spacing w:line="288" w:lineRule="auto"/>
        <w:rPr>
          <w:rFonts w:ascii="Times New Roman" w:hAnsi="Times New Roman"/>
          <w:sz w:val="20"/>
          <w:szCs w:val="20"/>
        </w:rPr>
      </w:pPr>
    </w:p>
    <w:p w14:paraId="42A13BCF" w14:textId="77777777" w:rsidR="00BB68E1" w:rsidRDefault="00BB68E1">
      <w:pPr>
        <w:rPr>
          <w:rFonts w:ascii="Times New Roman" w:hAnsi="Times New Roman"/>
          <w:sz w:val="20"/>
          <w:szCs w:val="20"/>
        </w:rPr>
      </w:pPr>
    </w:p>
    <w:p w14:paraId="42A13BD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Total revenues, consisting of net sales and </w:t>
      </w:r>
      <w:r>
        <w:rPr>
          <w:rFonts w:ascii="Times New Roman" w:eastAsia="宋体" w:hAnsi="Times New Roman"/>
          <w:sz w:val="20"/>
          <w:szCs w:val="20"/>
        </w:rPr>
        <w:t>membership and other income, and long-lived assets, consisting primarily of property and equipment, net and lease right-of-use assets, aggregated by the Company's U.S. and non-U.S. operations for fiscal 2020, 2019 and 2018, are as follows:</w:t>
      </w:r>
    </w:p>
    <w:tbl>
      <w:tblPr>
        <w:tblW w:w="5000" w:type="pct"/>
        <w:tblCellMar>
          <w:left w:w="0" w:type="dxa"/>
          <w:right w:w="0" w:type="dxa"/>
        </w:tblCellMar>
        <w:tblLook w:val="04A0" w:firstRow="1" w:lastRow="0" w:firstColumn="1" w:lastColumn="0" w:noHBand="0" w:noVBand="1"/>
      </w:tblPr>
      <w:tblGrid>
        <w:gridCol w:w="5279"/>
        <w:gridCol w:w="130"/>
        <w:gridCol w:w="120"/>
        <w:gridCol w:w="712"/>
        <w:gridCol w:w="47"/>
        <w:gridCol w:w="130"/>
        <w:gridCol w:w="120"/>
        <w:gridCol w:w="712"/>
        <w:gridCol w:w="47"/>
        <w:gridCol w:w="130"/>
        <w:gridCol w:w="120"/>
        <w:gridCol w:w="712"/>
        <w:gridCol w:w="47"/>
      </w:tblGrid>
      <w:tr w:rsidR="00BB68E1" w14:paraId="42A13BD2" w14:textId="77777777">
        <w:tc>
          <w:tcPr>
            <w:tcW w:w="0" w:type="auto"/>
            <w:gridSpan w:val="13"/>
            <w:shd w:val="clear" w:color="auto" w:fill="auto"/>
            <w:vAlign w:val="center"/>
          </w:tcPr>
          <w:p w14:paraId="42A13BD1" w14:textId="77777777" w:rsidR="00BB68E1" w:rsidRDefault="00BB68E1">
            <w:pPr>
              <w:rPr>
                <w:rFonts w:ascii="Times New Roman" w:hAnsi="Times New Roman"/>
                <w:sz w:val="20"/>
                <w:szCs w:val="20"/>
              </w:rPr>
            </w:pPr>
          </w:p>
        </w:tc>
      </w:tr>
      <w:tr w:rsidR="00BB68E1" w14:paraId="42A13BE0" w14:textId="77777777">
        <w:tc>
          <w:tcPr>
            <w:tcW w:w="3200" w:type="pct"/>
            <w:shd w:val="clear" w:color="auto" w:fill="auto"/>
            <w:vAlign w:val="center"/>
          </w:tcPr>
          <w:p w14:paraId="42A13BD3" w14:textId="77777777" w:rsidR="00BB68E1" w:rsidRDefault="00BB68E1">
            <w:pPr>
              <w:rPr>
                <w:rFonts w:ascii="Times New Roman" w:hAnsi="Times New Roman"/>
                <w:sz w:val="20"/>
                <w:szCs w:val="20"/>
              </w:rPr>
            </w:pPr>
          </w:p>
        </w:tc>
        <w:tc>
          <w:tcPr>
            <w:tcW w:w="50" w:type="pct"/>
            <w:shd w:val="clear" w:color="auto" w:fill="auto"/>
            <w:vAlign w:val="center"/>
          </w:tcPr>
          <w:p w14:paraId="42A13BD4" w14:textId="77777777" w:rsidR="00BB68E1" w:rsidRDefault="00BB68E1">
            <w:pPr>
              <w:rPr>
                <w:rFonts w:ascii="Times New Roman" w:hAnsi="Times New Roman"/>
                <w:sz w:val="20"/>
                <w:szCs w:val="20"/>
              </w:rPr>
            </w:pPr>
          </w:p>
        </w:tc>
        <w:tc>
          <w:tcPr>
            <w:tcW w:w="50" w:type="pct"/>
            <w:shd w:val="clear" w:color="auto" w:fill="auto"/>
            <w:vAlign w:val="center"/>
          </w:tcPr>
          <w:p w14:paraId="42A13BD5" w14:textId="77777777" w:rsidR="00BB68E1" w:rsidRDefault="00BB68E1">
            <w:pPr>
              <w:rPr>
                <w:rFonts w:ascii="Times New Roman" w:hAnsi="Times New Roman"/>
                <w:sz w:val="20"/>
                <w:szCs w:val="20"/>
              </w:rPr>
            </w:pPr>
          </w:p>
        </w:tc>
        <w:tc>
          <w:tcPr>
            <w:tcW w:w="450" w:type="pct"/>
            <w:shd w:val="clear" w:color="auto" w:fill="auto"/>
            <w:vAlign w:val="center"/>
          </w:tcPr>
          <w:p w14:paraId="42A13BD6" w14:textId="77777777" w:rsidR="00BB68E1" w:rsidRDefault="00BB68E1">
            <w:pPr>
              <w:rPr>
                <w:rFonts w:ascii="Times New Roman" w:hAnsi="Times New Roman"/>
                <w:sz w:val="20"/>
                <w:szCs w:val="20"/>
              </w:rPr>
            </w:pPr>
          </w:p>
        </w:tc>
        <w:tc>
          <w:tcPr>
            <w:tcW w:w="50" w:type="pct"/>
            <w:shd w:val="clear" w:color="auto" w:fill="auto"/>
            <w:vAlign w:val="center"/>
          </w:tcPr>
          <w:p w14:paraId="42A13BD7" w14:textId="77777777" w:rsidR="00BB68E1" w:rsidRDefault="00BB68E1">
            <w:pPr>
              <w:rPr>
                <w:rFonts w:ascii="Times New Roman" w:hAnsi="Times New Roman"/>
                <w:sz w:val="20"/>
                <w:szCs w:val="20"/>
              </w:rPr>
            </w:pPr>
          </w:p>
        </w:tc>
        <w:tc>
          <w:tcPr>
            <w:tcW w:w="50" w:type="pct"/>
            <w:shd w:val="clear" w:color="auto" w:fill="auto"/>
            <w:vAlign w:val="center"/>
          </w:tcPr>
          <w:p w14:paraId="42A13BD8" w14:textId="77777777" w:rsidR="00BB68E1" w:rsidRDefault="00BB68E1">
            <w:pPr>
              <w:rPr>
                <w:rFonts w:ascii="Times New Roman" w:hAnsi="Times New Roman"/>
                <w:sz w:val="20"/>
                <w:szCs w:val="20"/>
              </w:rPr>
            </w:pPr>
          </w:p>
        </w:tc>
        <w:tc>
          <w:tcPr>
            <w:tcW w:w="50" w:type="pct"/>
            <w:shd w:val="clear" w:color="auto" w:fill="auto"/>
            <w:vAlign w:val="center"/>
          </w:tcPr>
          <w:p w14:paraId="42A13BD9" w14:textId="77777777" w:rsidR="00BB68E1" w:rsidRDefault="00BB68E1">
            <w:pPr>
              <w:rPr>
                <w:rFonts w:ascii="Times New Roman" w:hAnsi="Times New Roman"/>
                <w:sz w:val="20"/>
                <w:szCs w:val="20"/>
              </w:rPr>
            </w:pPr>
          </w:p>
        </w:tc>
        <w:tc>
          <w:tcPr>
            <w:tcW w:w="450" w:type="pct"/>
            <w:shd w:val="clear" w:color="auto" w:fill="auto"/>
            <w:vAlign w:val="center"/>
          </w:tcPr>
          <w:p w14:paraId="42A13BDA" w14:textId="77777777" w:rsidR="00BB68E1" w:rsidRDefault="00BB68E1">
            <w:pPr>
              <w:rPr>
                <w:rFonts w:ascii="Times New Roman" w:hAnsi="Times New Roman"/>
                <w:sz w:val="20"/>
                <w:szCs w:val="20"/>
              </w:rPr>
            </w:pPr>
          </w:p>
        </w:tc>
        <w:tc>
          <w:tcPr>
            <w:tcW w:w="50" w:type="pct"/>
            <w:shd w:val="clear" w:color="auto" w:fill="auto"/>
            <w:vAlign w:val="center"/>
          </w:tcPr>
          <w:p w14:paraId="42A13BDB" w14:textId="77777777" w:rsidR="00BB68E1" w:rsidRDefault="00BB68E1">
            <w:pPr>
              <w:rPr>
                <w:rFonts w:ascii="Times New Roman" w:hAnsi="Times New Roman"/>
                <w:sz w:val="20"/>
                <w:szCs w:val="20"/>
              </w:rPr>
            </w:pPr>
          </w:p>
        </w:tc>
        <w:tc>
          <w:tcPr>
            <w:tcW w:w="50" w:type="pct"/>
            <w:shd w:val="clear" w:color="auto" w:fill="auto"/>
            <w:vAlign w:val="center"/>
          </w:tcPr>
          <w:p w14:paraId="42A13BDC" w14:textId="77777777" w:rsidR="00BB68E1" w:rsidRDefault="00BB68E1">
            <w:pPr>
              <w:rPr>
                <w:rFonts w:ascii="Times New Roman" w:hAnsi="Times New Roman"/>
                <w:sz w:val="20"/>
                <w:szCs w:val="20"/>
              </w:rPr>
            </w:pPr>
          </w:p>
        </w:tc>
        <w:tc>
          <w:tcPr>
            <w:tcW w:w="50" w:type="pct"/>
            <w:shd w:val="clear" w:color="auto" w:fill="auto"/>
            <w:vAlign w:val="center"/>
          </w:tcPr>
          <w:p w14:paraId="42A13BDD" w14:textId="77777777" w:rsidR="00BB68E1" w:rsidRDefault="00BB68E1">
            <w:pPr>
              <w:rPr>
                <w:rFonts w:ascii="Times New Roman" w:hAnsi="Times New Roman"/>
                <w:sz w:val="20"/>
                <w:szCs w:val="20"/>
              </w:rPr>
            </w:pPr>
          </w:p>
        </w:tc>
        <w:tc>
          <w:tcPr>
            <w:tcW w:w="450" w:type="pct"/>
            <w:shd w:val="clear" w:color="auto" w:fill="auto"/>
            <w:vAlign w:val="center"/>
          </w:tcPr>
          <w:p w14:paraId="42A13BDE" w14:textId="77777777" w:rsidR="00BB68E1" w:rsidRDefault="00BB68E1">
            <w:pPr>
              <w:rPr>
                <w:rFonts w:ascii="Times New Roman" w:hAnsi="Times New Roman"/>
                <w:sz w:val="20"/>
                <w:szCs w:val="20"/>
              </w:rPr>
            </w:pPr>
          </w:p>
        </w:tc>
        <w:tc>
          <w:tcPr>
            <w:tcW w:w="50" w:type="pct"/>
            <w:shd w:val="clear" w:color="auto" w:fill="auto"/>
            <w:vAlign w:val="center"/>
          </w:tcPr>
          <w:p w14:paraId="42A13BDF" w14:textId="77777777" w:rsidR="00BB68E1" w:rsidRDefault="00BB68E1">
            <w:pPr>
              <w:rPr>
                <w:rFonts w:ascii="Times New Roman" w:hAnsi="Times New Roman"/>
                <w:sz w:val="20"/>
                <w:szCs w:val="20"/>
              </w:rPr>
            </w:pPr>
          </w:p>
        </w:tc>
      </w:tr>
      <w:tr w:rsidR="00BB68E1" w14:paraId="42A13BE4" w14:textId="77777777">
        <w:tc>
          <w:tcPr>
            <w:tcW w:w="0" w:type="auto"/>
            <w:shd w:val="clear" w:color="auto" w:fill="auto"/>
            <w:tcMar>
              <w:top w:w="40" w:type="dxa"/>
              <w:left w:w="40" w:type="dxa"/>
              <w:bottom w:w="40" w:type="dxa"/>
              <w:right w:w="40" w:type="dxa"/>
            </w:tcMar>
            <w:vAlign w:val="bottom"/>
          </w:tcPr>
          <w:p w14:paraId="42A13BE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BE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2A13BE3"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3BEC" w14:textId="77777777">
        <w:tc>
          <w:tcPr>
            <w:tcW w:w="0" w:type="auto"/>
            <w:shd w:val="clear" w:color="auto" w:fill="auto"/>
            <w:tcMar>
              <w:top w:w="40" w:type="dxa"/>
              <w:left w:w="40" w:type="dxa"/>
              <w:bottom w:w="40" w:type="dxa"/>
              <w:right w:w="40" w:type="dxa"/>
            </w:tcMar>
            <w:vAlign w:val="bottom"/>
          </w:tcPr>
          <w:p w14:paraId="42A13BE5"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3BE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BE7"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3BE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BE9"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2A13BE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BE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BB68E1" w14:paraId="42A13BF4" w14:textId="77777777">
        <w:tc>
          <w:tcPr>
            <w:tcW w:w="0" w:type="auto"/>
            <w:shd w:val="clear" w:color="auto" w:fill="CCEEFF"/>
            <w:tcMar>
              <w:top w:w="40" w:type="dxa"/>
              <w:left w:w="40" w:type="dxa"/>
              <w:bottom w:w="40" w:type="dxa"/>
              <w:right w:w="40" w:type="dxa"/>
            </w:tcMar>
            <w:vAlign w:val="center"/>
          </w:tcPr>
          <w:p w14:paraId="42A13BED"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Revenues</w:t>
            </w:r>
          </w:p>
        </w:tc>
        <w:tc>
          <w:tcPr>
            <w:tcW w:w="0" w:type="auto"/>
            <w:shd w:val="clear" w:color="auto" w:fill="CCEEFF"/>
            <w:tcMar>
              <w:top w:w="40" w:type="dxa"/>
              <w:left w:w="40" w:type="dxa"/>
              <w:bottom w:w="40" w:type="dxa"/>
              <w:right w:w="40" w:type="dxa"/>
            </w:tcMar>
            <w:vAlign w:val="bottom"/>
          </w:tcPr>
          <w:p w14:paraId="42A13BE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BE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BF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BF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BF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BF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C02" w14:textId="77777777">
        <w:tc>
          <w:tcPr>
            <w:tcW w:w="0" w:type="auto"/>
            <w:shd w:val="clear" w:color="auto" w:fill="auto"/>
            <w:tcMar>
              <w:top w:w="40" w:type="dxa"/>
              <w:left w:w="40" w:type="dxa"/>
              <w:bottom w:w="40" w:type="dxa"/>
              <w:right w:w="40" w:type="dxa"/>
            </w:tcMar>
            <w:vAlign w:val="center"/>
          </w:tcPr>
          <w:p w14:paraId="42A13BF5"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U.S. operations</w:t>
            </w:r>
          </w:p>
        </w:tc>
        <w:tc>
          <w:tcPr>
            <w:tcW w:w="0" w:type="auto"/>
            <w:shd w:val="clear" w:color="auto" w:fill="auto"/>
            <w:tcMar>
              <w:top w:w="40" w:type="dxa"/>
              <w:left w:w="40" w:type="dxa"/>
              <w:bottom w:w="40" w:type="dxa"/>
              <w:right w:w="40" w:type="dxa"/>
            </w:tcMar>
            <w:vAlign w:val="bottom"/>
          </w:tcPr>
          <w:p w14:paraId="42A13BF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BF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BF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402,532</w:t>
            </w:r>
          </w:p>
        </w:tc>
        <w:tc>
          <w:tcPr>
            <w:tcW w:w="0" w:type="auto"/>
            <w:shd w:val="clear" w:color="auto" w:fill="auto"/>
            <w:vAlign w:val="bottom"/>
          </w:tcPr>
          <w:p w14:paraId="42A13BF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F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BF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BF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392,265</w:t>
            </w:r>
          </w:p>
        </w:tc>
        <w:tc>
          <w:tcPr>
            <w:tcW w:w="0" w:type="auto"/>
            <w:shd w:val="clear" w:color="auto" w:fill="auto"/>
            <w:vAlign w:val="bottom"/>
          </w:tcPr>
          <w:p w14:paraId="42A13BF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BF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2A13BF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2A13C0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380,580</w:t>
            </w:r>
          </w:p>
        </w:tc>
        <w:tc>
          <w:tcPr>
            <w:tcW w:w="0" w:type="auto"/>
            <w:shd w:val="clear" w:color="auto" w:fill="auto"/>
            <w:vAlign w:val="bottom"/>
          </w:tcPr>
          <w:p w14:paraId="42A13C01" w14:textId="77777777" w:rsidR="00BB68E1" w:rsidRDefault="00BB68E1">
            <w:pPr>
              <w:textAlignment w:val="bottom"/>
              <w:rPr>
                <w:rFonts w:ascii="Times New Roman" w:hAnsi="Times New Roman"/>
                <w:sz w:val="20"/>
                <w:szCs w:val="20"/>
              </w:rPr>
            </w:pPr>
          </w:p>
        </w:tc>
      </w:tr>
      <w:tr w:rsidR="00BB68E1" w14:paraId="42A13C0D" w14:textId="77777777">
        <w:tc>
          <w:tcPr>
            <w:tcW w:w="0" w:type="auto"/>
            <w:shd w:val="clear" w:color="auto" w:fill="CCEEFF"/>
            <w:tcMar>
              <w:top w:w="40" w:type="dxa"/>
              <w:left w:w="40" w:type="dxa"/>
              <w:bottom w:w="40" w:type="dxa"/>
              <w:right w:w="40" w:type="dxa"/>
            </w:tcMar>
            <w:vAlign w:val="center"/>
          </w:tcPr>
          <w:p w14:paraId="42A13C0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Non-U.S. operations</w:t>
            </w:r>
          </w:p>
        </w:tc>
        <w:tc>
          <w:tcPr>
            <w:tcW w:w="0" w:type="auto"/>
            <w:shd w:val="clear" w:color="auto" w:fill="CCEEFF"/>
            <w:tcMar>
              <w:top w:w="40" w:type="dxa"/>
              <w:left w:w="40" w:type="dxa"/>
              <w:bottom w:w="40" w:type="dxa"/>
              <w:right w:w="40" w:type="dxa"/>
            </w:tcMar>
            <w:vAlign w:val="bottom"/>
          </w:tcPr>
          <w:p w14:paraId="42A13C0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C0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121,432</w:t>
            </w:r>
          </w:p>
        </w:tc>
        <w:tc>
          <w:tcPr>
            <w:tcW w:w="0" w:type="auto"/>
            <w:tcBorders>
              <w:bottom w:val="single" w:sz="8" w:space="0" w:color="000000"/>
            </w:tcBorders>
            <w:shd w:val="clear" w:color="auto" w:fill="CCEEFF"/>
            <w:vAlign w:val="bottom"/>
          </w:tcPr>
          <w:p w14:paraId="42A13C0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C0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C0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122,140</w:t>
            </w:r>
          </w:p>
        </w:tc>
        <w:tc>
          <w:tcPr>
            <w:tcW w:w="0" w:type="auto"/>
            <w:tcBorders>
              <w:bottom w:val="single" w:sz="8" w:space="0" w:color="000000"/>
            </w:tcBorders>
            <w:shd w:val="clear" w:color="auto" w:fill="CCEEFF"/>
            <w:vAlign w:val="bottom"/>
          </w:tcPr>
          <w:p w14:paraId="42A13C0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C0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C0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119,763</w:t>
            </w:r>
          </w:p>
        </w:tc>
        <w:tc>
          <w:tcPr>
            <w:tcW w:w="0" w:type="auto"/>
            <w:shd w:val="clear" w:color="auto" w:fill="CCEEFF"/>
            <w:vAlign w:val="bottom"/>
          </w:tcPr>
          <w:p w14:paraId="42A13C0C" w14:textId="77777777" w:rsidR="00BB68E1" w:rsidRDefault="00BB68E1">
            <w:pPr>
              <w:textAlignment w:val="bottom"/>
              <w:rPr>
                <w:rFonts w:ascii="Times New Roman" w:hAnsi="Times New Roman"/>
                <w:sz w:val="20"/>
                <w:szCs w:val="20"/>
              </w:rPr>
            </w:pPr>
          </w:p>
        </w:tc>
      </w:tr>
      <w:tr w:rsidR="00BB68E1" w14:paraId="42A13C1B" w14:textId="77777777">
        <w:tc>
          <w:tcPr>
            <w:tcW w:w="0" w:type="auto"/>
            <w:shd w:val="clear" w:color="auto" w:fill="auto"/>
            <w:tcMar>
              <w:top w:w="40" w:type="dxa"/>
              <w:left w:w="40" w:type="dxa"/>
              <w:bottom w:w="40" w:type="dxa"/>
              <w:right w:w="40" w:type="dxa"/>
            </w:tcMar>
            <w:vAlign w:val="center"/>
          </w:tcPr>
          <w:p w14:paraId="42A13C0E"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revenues</w:t>
            </w:r>
          </w:p>
        </w:tc>
        <w:tc>
          <w:tcPr>
            <w:tcW w:w="0" w:type="auto"/>
            <w:shd w:val="clear" w:color="auto" w:fill="auto"/>
            <w:tcMar>
              <w:top w:w="40" w:type="dxa"/>
              <w:left w:w="40" w:type="dxa"/>
              <w:bottom w:w="40" w:type="dxa"/>
              <w:right w:w="40" w:type="dxa"/>
            </w:tcMar>
            <w:vAlign w:val="bottom"/>
          </w:tcPr>
          <w:p w14:paraId="42A13C0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3C1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3C1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523,964</w:t>
            </w:r>
          </w:p>
        </w:tc>
        <w:tc>
          <w:tcPr>
            <w:tcW w:w="0" w:type="auto"/>
            <w:tcBorders>
              <w:top w:val="single" w:sz="8" w:space="0" w:color="000000"/>
              <w:bottom w:val="double" w:sz="6" w:space="0" w:color="000000"/>
            </w:tcBorders>
            <w:shd w:val="clear" w:color="auto" w:fill="auto"/>
            <w:vAlign w:val="bottom"/>
          </w:tcPr>
          <w:p w14:paraId="42A13C1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C1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3C1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3C1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514,405</w:t>
            </w:r>
          </w:p>
        </w:tc>
        <w:tc>
          <w:tcPr>
            <w:tcW w:w="0" w:type="auto"/>
            <w:tcBorders>
              <w:top w:val="single" w:sz="8" w:space="0" w:color="000000"/>
              <w:bottom w:val="double" w:sz="6" w:space="0" w:color="000000"/>
            </w:tcBorders>
            <w:shd w:val="clear" w:color="auto" w:fill="auto"/>
            <w:vAlign w:val="bottom"/>
          </w:tcPr>
          <w:p w14:paraId="42A13C1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C1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2A13C1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2A13C1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500,343</w:t>
            </w:r>
          </w:p>
        </w:tc>
        <w:tc>
          <w:tcPr>
            <w:tcW w:w="0" w:type="auto"/>
            <w:tcBorders>
              <w:top w:val="single" w:sz="8" w:space="0" w:color="000000"/>
              <w:bottom w:val="double" w:sz="6" w:space="0" w:color="000000"/>
            </w:tcBorders>
            <w:shd w:val="clear" w:color="auto" w:fill="auto"/>
            <w:vAlign w:val="bottom"/>
          </w:tcPr>
          <w:p w14:paraId="42A13C1A" w14:textId="77777777" w:rsidR="00BB68E1" w:rsidRDefault="00BB68E1">
            <w:pPr>
              <w:textAlignment w:val="bottom"/>
              <w:rPr>
                <w:rFonts w:ascii="Times New Roman" w:hAnsi="Times New Roman"/>
                <w:sz w:val="20"/>
                <w:szCs w:val="20"/>
              </w:rPr>
            </w:pPr>
          </w:p>
        </w:tc>
      </w:tr>
      <w:tr w:rsidR="00BB68E1" w14:paraId="42A13C23" w14:textId="77777777">
        <w:tc>
          <w:tcPr>
            <w:tcW w:w="0" w:type="auto"/>
            <w:shd w:val="clear" w:color="auto" w:fill="CCEEFF"/>
            <w:tcMar>
              <w:top w:w="40" w:type="dxa"/>
              <w:left w:w="40" w:type="dxa"/>
              <w:bottom w:w="40" w:type="dxa"/>
              <w:right w:w="40" w:type="dxa"/>
            </w:tcMar>
            <w:vAlign w:val="bottom"/>
          </w:tcPr>
          <w:p w14:paraId="42A13C1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C1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C1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C1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C2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2A13C2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2A13C2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C2B" w14:textId="77777777">
        <w:tc>
          <w:tcPr>
            <w:tcW w:w="0" w:type="auto"/>
            <w:shd w:val="clear" w:color="auto" w:fill="auto"/>
            <w:tcMar>
              <w:top w:w="40" w:type="dxa"/>
              <w:left w:w="40" w:type="dxa"/>
              <w:bottom w:w="40" w:type="dxa"/>
              <w:right w:w="40" w:type="dxa"/>
            </w:tcMar>
            <w:vAlign w:val="center"/>
          </w:tcPr>
          <w:p w14:paraId="42A13C24"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Long-lived assets</w:t>
            </w:r>
          </w:p>
        </w:tc>
        <w:tc>
          <w:tcPr>
            <w:tcW w:w="0" w:type="auto"/>
            <w:shd w:val="clear" w:color="auto" w:fill="auto"/>
            <w:tcMar>
              <w:top w:w="40" w:type="dxa"/>
              <w:left w:w="40" w:type="dxa"/>
              <w:bottom w:w="40" w:type="dxa"/>
              <w:right w:w="40" w:type="dxa"/>
            </w:tcMar>
            <w:vAlign w:val="bottom"/>
          </w:tcPr>
          <w:p w14:paraId="42A13C2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C2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C2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C2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C2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C2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C39" w14:textId="77777777">
        <w:tc>
          <w:tcPr>
            <w:tcW w:w="0" w:type="auto"/>
            <w:shd w:val="clear" w:color="auto" w:fill="CCEEFF"/>
            <w:tcMar>
              <w:top w:w="40" w:type="dxa"/>
              <w:left w:w="40" w:type="dxa"/>
              <w:bottom w:w="40" w:type="dxa"/>
              <w:right w:w="40" w:type="dxa"/>
            </w:tcMar>
            <w:vAlign w:val="center"/>
          </w:tcPr>
          <w:p w14:paraId="42A13C2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U.S. operations</w:t>
            </w:r>
          </w:p>
        </w:tc>
        <w:tc>
          <w:tcPr>
            <w:tcW w:w="0" w:type="auto"/>
            <w:shd w:val="clear" w:color="auto" w:fill="CCEEFF"/>
            <w:tcMar>
              <w:top w:w="40" w:type="dxa"/>
              <w:left w:w="40" w:type="dxa"/>
              <w:bottom w:w="40" w:type="dxa"/>
              <w:right w:w="40" w:type="dxa"/>
            </w:tcMar>
            <w:vAlign w:val="bottom"/>
          </w:tcPr>
          <w:p w14:paraId="42A13C2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C2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C2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86,944</w:t>
            </w:r>
          </w:p>
        </w:tc>
        <w:tc>
          <w:tcPr>
            <w:tcW w:w="0" w:type="auto"/>
            <w:shd w:val="clear" w:color="auto" w:fill="CCEEFF"/>
            <w:vAlign w:val="bottom"/>
          </w:tcPr>
          <w:p w14:paraId="42A13C3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C3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C3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C3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81,144</w:t>
            </w:r>
          </w:p>
        </w:tc>
        <w:tc>
          <w:tcPr>
            <w:tcW w:w="0" w:type="auto"/>
            <w:shd w:val="clear" w:color="auto" w:fill="CCEEFF"/>
            <w:vAlign w:val="bottom"/>
          </w:tcPr>
          <w:p w14:paraId="42A13C3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C3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C3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C3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81,478</w:t>
            </w:r>
          </w:p>
        </w:tc>
        <w:tc>
          <w:tcPr>
            <w:tcW w:w="0" w:type="auto"/>
            <w:shd w:val="clear" w:color="auto" w:fill="CCEEFF"/>
            <w:vAlign w:val="bottom"/>
          </w:tcPr>
          <w:p w14:paraId="42A13C38" w14:textId="77777777" w:rsidR="00BB68E1" w:rsidRDefault="00BB68E1">
            <w:pPr>
              <w:textAlignment w:val="bottom"/>
              <w:rPr>
                <w:rFonts w:ascii="Times New Roman" w:hAnsi="Times New Roman"/>
                <w:sz w:val="20"/>
                <w:szCs w:val="20"/>
              </w:rPr>
            </w:pPr>
          </w:p>
        </w:tc>
      </w:tr>
      <w:tr w:rsidR="00BB68E1" w14:paraId="42A13C44" w14:textId="77777777">
        <w:tc>
          <w:tcPr>
            <w:tcW w:w="0" w:type="auto"/>
            <w:shd w:val="clear" w:color="auto" w:fill="auto"/>
            <w:tcMar>
              <w:top w:w="40" w:type="dxa"/>
              <w:left w:w="40" w:type="dxa"/>
              <w:bottom w:w="40" w:type="dxa"/>
              <w:right w:w="40" w:type="dxa"/>
            </w:tcMar>
            <w:vAlign w:val="center"/>
          </w:tcPr>
          <w:p w14:paraId="42A13C3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Non-U.S. operations</w:t>
            </w:r>
          </w:p>
        </w:tc>
        <w:tc>
          <w:tcPr>
            <w:tcW w:w="0" w:type="auto"/>
            <w:shd w:val="clear" w:color="auto" w:fill="auto"/>
            <w:tcMar>
              <w:top w:w="40" w:type="dxa"/>
              <w:left w:w="40" w:type="dxa"/>
              <w:bottom w:w="40" w:type="dxa"/>
              <w:right w:w="40" w:type="dxa"/>
            </w:tcMar>
            <w:vAlign w:val="bottom"/>
          </w:tcPr>
          <w:p w14:paraId="42A13C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C3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40,105</w:t>
            </w:r>
          </w:p>
        </w:tc>
        <w:tc>
          <w:tcPr>
            <w:tcW w:w="0" w:type="auto"/>
            <w:shd w:val="clear" w:color="auto" w:fill="auto"/>
            <w:vAlign w:val="bottom"/>
          </w:tcPr>
          <w:p w14:paraId="42A13C3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C3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C3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30,251</w:t>
            </w:r>
          </w:p>
        </w:tc>
        <w:tc>
          <w:tcPr>
            <w:tcW w:w="0" w:type="auto"/>
            <w:shd w:val="clear" w:color="auto" w:fill="auto"/>
            <w:vAlign w:val="bottom"/>
          </w:tcPr>
          <w:p w14:paraId="42A13C4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C4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C4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33,340</w:t>
            </w:r>
          </w:p>
        </w:tc>
        <w:tc>
          <w:tcPr>
            <w:tcW w:w="0" w:type="auto"/>
            <w:shd w:val="clear" w:color="auto" w:fill="auto"/>
            <w:vAlign w:val="bottom"/>
          </w:tcPr>
          <w:p w14:paraId="42A13C43" w14:textId="77777777" w:rsidR="00BB68E1" w:rsidRDefault="00BB68E1">
            <w:pPr>
              <w:textAlignment w:val="bottom"/>
              <w:rPr>
                <w:rFonts w:ascii="Times New Roman" w:hAnsi="Times New Roman"/>
                <w:sz w:val="20"/>
                <w:szCs w:val="20"/>
              </w:rPr>
            </w:pPr>
          </w:p>
        </w:tc>
      </w:tr>
      <w:tr w:rsidR="00BB68E1" w14:paraId="42A13C52" w14:textId="77777777">
        <w:tc>
          <w:tcPr>
            <w:tcW w:w="0" w:type="auto"/>
            <w:shd w:val="clear" w:color="auto" w:fill="CCEEFF"/>
            <w:tcMar>
              <w:top w:w="40" w:type="dxa"/>
              <w:left w:w="40" w:type="dxa"/>
              <w:bottom w:w="40" w:type="dxa"/>
              <w:right w:w="40" w:type="dxa"/>
            </w:tcMar>
            <w:vAlign w:val="center"/>
          </w:tcPr>
          <w:p w14:paraId="42A13C45"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 long-lived assets</w:t>
            </w:r>
          </w:p>
        </w:tc>
        <w:tc>
          <w:tcPr>
            <w:tcW w:w="0" w:type="auto"/>
            <w:shd w:val="clear" w:color="auto" w:fill="CCEEFF"/>
            <w:tcMar>
              <w:top w:w="40" w:type="dxa"/>
              <w:left w:w="40" w:type="dxa"/>
              <w:bottom w:w="40" w:type="dxa"/>
              <w:right w:w="40" w:type="dxa"/>
            </w:tcMar>
            <w:vAlign w:val="bottom"/>
          </w:tcPr>
          <w:p w14:paraId="42A13C4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3C4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3C4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127,049</w:t>
            </w:r>
          </w:p>
        </w:tc>
        <w:tc>
          <w:tcPr>
            <w:tcW w:w="0" w:type="auto"/>
            <w:tcBorders>
              <w:top w:val="single" w:sz="8" w:space="0" w:color="000000"/>
              <w:bottom w:val="double" w:sz="6" w:space="0" w:color="000000"/>
            </w:tcBorders>
            <w:shd w:val="clear" w:color="auto" w:fill="CCEEFF"/>
            <w:vAlign w:val="bottom"/>
          </w:tcPr>
          <w:p w14:paraId="42A13C49"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C4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3C4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3C4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111,395</w:t>
            </w:r>
          </w:p>
        </w:tc>
        <w:tc>
          <w:tcPr>
            <w:tcW w:w="0" w:type="auto"/>
            <w:tcBorders>
              <w:top w:val="single" w:sz="8" w:space="0" w:color="000000"/>
              <w:bottom w:val="double" w:sz="6" w:space="0" w:color="000000"/>
            </w:tcBorders>
            <w:shd w:val="clear" w:color="auto" w:fill="CCEEFF"/>
            <w:vAlign w:val="bottom"/>
          </w:tcPr>
          <w:p w14:paraId="42A13C4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C4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2A13C4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2A13C5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114,818</w:t>
            </w:r>
          </w:p>
        </w:tc>
        <w:tc>
          <w:tcPr>
            <w:tcW w:w="0" w:type="auto"/>
            <w:tcBorders>
              <w:top w:val="single" w:sz="8" w:space="0" w:color="000000"/>
              <w:bottom w:val="double" w:sz="6" w:space="0" w:color="000000"/>
            </w:tcBorders>
            <w:shd w:val="clear" w:color="auto" w:fill="CCEEFF"/>
            <w:vAlign w:val="bottom"/>
          </w:tcPr>
          <w:p w14:paraId="42A13C51" w14:textId="77777777" w:rsidR="00BB68E1" w:rsidRDefault="00BB68E1">
            <w:pPr>
              <w:textAlignment w:val="bottom"/>
              <w:rPr>
                <w:rFonts w:ascii="Times New Roman" w:hAnsi="Times New Roman"/>
                <w:sz w:val="20"/>
                <w:szCs w:val="20"/>
              </w:rPr>
            </w:pPr>
          </w:p>
        </w:tc>
      </w:tr>
    </w:tbl>
    <w:p w14:paraId="42A13C53" w14:textId="77777777" w:rsidR="00BB68E1" w:rsidRDefault="00BB68E1">
      <w:pPr>
        <w:spacing w:line="288" w:lineRule="auto"/>
        <w:rPr>
          <w:rFonts w:ascii="Times New Roman" w:hAnsi="Times New Roman"/>
          <w:sz w:val="20"/>
          <w:szCs w:val="20"/>
        </w:rPr>
      </w:pPr>
    </w:p>
    <w:p w14:paraId="42A13C5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No </w:t>
      </w:r>
      <w:r>
        <w:rPr>
          <w:rFonts w:ascii="Times New Roman" w:eastAsia="宋体" w:hAnsi="Times New Roman"/>
          <w:sz w:val="20"/>
          <w:szCs w:val="20"/>
        </w:rPr>
        <w:t>individual country outside of the U.S. had total revenues or long-lived assets that were material to the consolidated totals. Additionally, the Company did not generate material total revenues from any single customer.</w:t>
      </w:r>
    </w:p>
    <w:p w14:paraId="42A13C55"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Disaggregated Revenues</w:t>
      </w:r>
    </w:p>
    <w:p w14:paraId="42A13C5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In the followi</w:t>
      </w:r>
      <w:r>
        <w:rPr>
          <w:rFonts w:ascii="Times New Roman" w:eastAsia="宋体" w:hAnsi="Times New Roman"/>
          <w:sz w:val="20"/>
          <w:szCs w:val="20"/>
        </w:rPr>
        <w:t>ng tables, segment net sales are disaggregated by either merchandise category or market. In addition, net sales related to eCommerce are provided for each segment, which include omni-channel sales, where a customer initiates an order online and the order i</w:t>
      </w:r>
      <w:r>
        <w:rPr>
          <w:rFonts w:ascii="Times New Roman" w:eastAsia="宋体" w:hAnsi="Times New Roman"/>
          <w:sz w:val="20"/>
          <w:szCs w:val="20"/>
        </w:rPr>
        <w:t xml:space="preserve">s fulfilled through a store or club. </w:t>
      </w:r>
    </w:p>
    <w:tbl>
      <w:tblPr>
        <w:tblW w:w="5000" w:type="pct"/>
        <w:jc w:val="center"/>
        <w:tblCellMar>
          <w:left w:w="0" w:type="dxa"/>
          <w:right w:w="0" w:type="dxa"/>
        </w:tblCellMar>
        <w:tblLook w:val="04A0" w:firstRow="1" w:lastRow="0" w:firstColumn="1" w:lastColumn="0" w:noHBand="0" w:noVBand="1"/>
      </w:tblPr>
      <w:tblGrid>
        <w:gridCol w:w="5448"/>
        <w:gridCol w:w="130"/>
        <w:gridCol w:w="120"/>
        <w:gridCol w:w="1129"/>
        <w:gridCol w:w="49"/>
        <w:gridCol w:w="130"/>
        <w:gridCol w:w="120"/>
        <w:gridCol w:w="1130"/>
        <w:gridCol w:w="50"/>
      </w:tblGrid>
      <w:tr w:rsidR="00BB68E1" w14:paraId="42A13C58" w14:textId="77777777">
        <w:trPr>
          <w:jc w:val="center"/>
        </w:trPr>
        <w:tc>
          <w:tcPr>
            <w:tcW w:w="0" w:type="auto"/>
            <w:gridSpan w:val="9"/>
            <w:shd w:val="clear" w:color="auto" w:fill="auto"/>
            <w:vAlign w:val="center"/>
          </w:tcPr>
          <w:p w14:paraId="42A13C57" w14:textId="77777777" w:rsidR="00BB68E1" w:rsidRDefault="00BB68E1">
            <w:pPr>
              <w:rPr>
                <w:rFonts w:ascii="Times New Roman" w:hAnsi="Times New Roman"/>
                <w:sz w:val="20"/>
                <w:szCs w:val="20"/>
              </w:rPr>
            </w:pPr>
          </w:p>
        </w:tc>
      </w:tr>
      <w:tr w:rsidR="00BB68E1" w14:paraId="42A13C62" w14:textId="77777777">
        <w:trPr>
          <w:jc w:val="center"/>
        </w:trPr>
        <w:tc>
          <w:tcPr>
            <w:tcW w:w="3300" w:type="pct"/>
            <w:shd w:val="clear" w:color="auto" w:fill="auto"/>
            <w:vAlign w:val="center"/>
          </w:tcPr>
          <w:p w14:paraId="42A13C59" w14:textId="77777777" w:rsidR="00BB68E1" w:rsidRDefault="00BB68E1">
            <w:pPr>
              <w:rPr>
                <w:rFonts w:ascii="Times New Roman" w:hAnsi="Times New Roman"/>
                <w:sz w:val="20"/>
                <w:szCs w:val="20"/>
              </w:rPr>
            </w:pPr>
          </w:p>
        </w:tc>
        <w:tc>
          <w:tcPr>
            <w:tcW w:w="50" w:type="pct"/>
            <w:shd w:val="clear" w:color="auto" w:fill="auto"/>
            <w:vAlign w:val="center"/>
          </w:tcPr>
          <w:p w14:paraId="42A13C5A" w14:textId="77777777" w:rsidR="00BB68E1" w:rsidRDefault="00BB68E1">
            <w:pPr>
              <w:rPr>
                <w:rFonts w:ascii="Times New Roman" w:hAnsi="Times New Roman"/>
                <w:sz w:val="20"/>
                <w:szCs w:val="20"/>
              </w:rPr>
            </w:pPr>
          </w:p>
        </w:tc>
        <w:tc>
          <w:tcPr>
            <w:tcW w:w="50" w:type="pct"/>
            <w:shd w:val="clear" w:color="auto" w:fill="auto"/>
            <w:vAlign w:val="center"/>
          </w:tcPr>
          <w:p w14:paraId="42A13C5B" w14:textId="77777777" w:rsidR="00BB68E1" w:rsidRDefault="00BB68E1">
            <w:pPr>
              <w:rPr>
                <w:rFonts w:ascii="Times New Roman" w:hAnsi="Times New Roman"/>
                <w:sz w:val="20"/>
                <w:szCs w:val="20"/>
              </w:rPr>
            </w:pPr>
          </w:p>
        </w:tc>
        <w:tc>
          <w:tcPr>
            <w:tcW w:w="700" w:type="pct"/>
            <w:shd w:val="clear" w:color="auto" w:fill="auto"/>
            <w:vAlign w:val="center"/>
          </w:tcPr>
          <w:p w14:paraId="42A13C5C" w14:textId="77777777" w:rsidR="00BB68E1" w:rsidRDefault="00BB68E1">
            <w:pPr>
              <w:rPr>
                <w:rFonts w:ascii="Times New Roman" w:hAnsi="Times New Roman"/>
                <w:sz w:val="20"/>
                <w:szCs w:val="20"/>
              </w:rPr>
            </w:pPr>
          </w:p>
        </w:tc>
        <w:tc>
          <w:tcPr>
            <w:tcW w:w="50" w:type="pct"/>
            <w:shd w:val="clear" w:color="auto" w:fill="auto"/>
            <w:vAlign w:val="center"/>
          </w:tcPr>
          <w:p w14:paraId="42A13C5D" w14:textId="77777777" w:rsidR="00BB68E1" w:rsidRDefault="00BB68E1">
            <w:pPr>
              <w:rPr>
                <w:rFonts w:ascii="Times New Roman" w:hAnsi="Times New Roman"/>
                <w:sz w:val="20"/>
                <w:szCs w:val="20"/>
              </w:rPr>
            </w:pPr>
          </w:p>
        </w:tc>
        <w:tc>
          <w:tcPr>
            <w:tcW w:w="50" w:type="pct"/>
            <w:shd w:val="clear" w:color="auto" w:fill="auto"/>
            <w:vAlign w:val="center"/>
          </w:tcPr>
          <w:p w14:paraId="42A13C5E" w14:textId="77777777" w:rsidR="00BB68E1" w:rsidRDefault="00BB68E1">
            <w:pPr>
              <w:rPr>
                <w:rFonts w:ascii="Times New Roman" w:hAnsi="Times New Roman"/>
                <w:sz w:val="20"/>
                <w:szCs w:val="20"/>
              </w:rPr>
            </w:pPr>
          </w:p>
        </w:tc>
        <w:tc>
          <w:tcPr>
            <w:tcW w:w="50" w:type="pct"/>
            <w:shd w:val="clear" w:color="auto" w:fill="auto"/>
            <w:vAlign w:val="center"/>
          </w:tcPr>
          <w:p w14:paraId="42A13C5F" w14:textId="77777777" w:rsidR="00BB68E1" w:rsidRDefault="00BB68E1">
            <w:pPr>
              <w:rPr>
                <w:rFonts w:ascii="Times New Roman" w:hAnsi="Times New Roman"/>
                <w:sz w:val="20"/>
                <w:szCs w:val="20"/>
              </w:rPr>
            </w:pPr>
          </w:p>
        </w:tc>
        <w:tc>
          <w:tcPr>
            <w:tcW w:w="700" w:type="pct"/>
            <w:shd w:val="clear" w:color="auto" w:fill="auto"/>
            <w:vAlign w:val="center"/>
          </w:tcPr>
          <w:p w14:paraId="42A13C60" w14:textId="77777777" w:rsidR="00BB68E1" w:rsidRDefault="00BB68E1">
            <w:pPr>
              <w:rPr>
                <w:rFonts w:ascii="Times New Roman" w:hAnsi="Times New Roman"/>
                <w:sz w:val="20"/>
                <w:szCs w:val="20"/>
              </w:rPr>
            </w:pPr>
          </w:p>
        </w:tc>
        <w:tc>
          <w:tcPr>
            <w:tcW w:w="50" w:type="pct"/>
            <w:shd w:val="clear" w:color="auto" w:fill="auto"/>
            <w:vAlign w:val="center"/>
          </w:tcPr>
          <w:p w14:paraId="42A13C61" w14:textId="77777777" w:rsidR="00BB68E1" w:rsidRDefault="00BB68E1">
            <w:pPr>
              <w:rPr>
                <w:rFonts w:ascii="Times New Roman" w:hAnsi="Times New Roman"/>
                <w:sz w:val="20"/>
                <w:szCs w:val="20"/>
              </w:rPr>
            </w:pPr>
          </w:p>
        </w:tc>
      </w:tr>
      <w:tr w:rsidR="00BB68E1" w14:paraId="42A13C66" w14:textId="77777777">
        <w:trPr>
          <w:jc w:val="center"/>
        </w:trPr>
        <w:tc>
          <w:tcPr>
            <w:tcW w:w="0" w:type="auto"/>
            <w:shd w:val="clear" w:color="auto" w:fill="auto"/>
            <w:tcMar>
              <w:top w:w="40" w:type="dxa"/>
              <w:left w:w="40" w:type="dxa"/>
              <w:bottom w:w="40" w:type="dxa"/>
              <w:right w:w="40" w:type="dxa"/>
            </w:tcMar>
            <w:vAlign w:val="bottom"/>
          </w:tcPr>
          <w:p w14:paraId="42A13C63"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3C6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2A13C65"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3C6C" w14:textId="77777777">
        <w:trPr>
          <w:jc w:val="center"/>
        </w:trPr>
        <w:tc>
          <w:tcPr>
            <w:tcW w:w="0" w:type="auto"/>
            <w:shd w:val="clear" w:color="auto" w:fill="auto"/>
            <w:tcMar>
              <w:top w:w="40" w:type="dxa"/>
              <w:left w:w="40" w:type="dxa"/>
              <w:bottom w:w="40" w:type="dxa"/>
              <w:right w:w="40" w:type="dxa"/>
            </w:tcMar>
            <w:vAlign w:val="bottom"/>
          </w:tcPr>
          <w:p w14:paraId="42A13C67"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Walmart U.S. net sales by merchandise category</w:t>
            </w:r>
          </w:p>
        </w:tc>
        <w:tc>
          <w:tcPr>
            <w:tcW w:w="0" w:type="auto"/>
            <w:shd w:val="clear" w:color="auto" w:fill="auto"/>
            <w:tcMar>
              <w:top w:w="40" w:type="dxa"/>
              <w:left w:w="40" w:type="dxa"/>
              <w:bottom w:w="40" w:type="dxa"/>
              <w:right w:w="40" w:type="dxa"/>
            </w:tcMar>
            <w:vAlign w:val="bottom"/>
          </w:tcPr>
          <w:p w14:paraId="42A13C6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3C69"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3C6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3C6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BB68E1" w14:paraId="42A13C76" w14:textId="77777777">
        <w:trPr>
          <w:jc w:val="center"/>
        </w:trPr>
        <w:tc>
          <w:tcPr>
            <w:tcW w:w="0" w:type="auto"/>
            <w:shd w:val="clear" w:color="auto" w:fill="CCEEFF"/>
            <w:tcMar>
              <w:top w:w="40" w:type="dxa"/>
              <w:left w:w="560" w:type="dxa"/>
              <w:bottom w:w="40" w:type="dxa"/>
              <w:right w:w="40" w:type="dxa"/>
            </w:tcMar>
            <w:vAlign w:val="center"/>
          </w:tcPr>
          <w:p w14:paraId="42A13C6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Grocery</w:t>
            </w:r>
          </w:p>
        </w:tc>
        <w:tc>
          <w:tcPr>
            <w:tcW w:w="0" w:type="auto"/>
            <w:shd w:val="clear" w:color="auto" w:fill="CCEEFF"/>
            <w:tcMar>
              <w:top w:w="40" w:type="dxa"/>
              <w:left w:w="40" w:type="dxa"/>
              <w:bottom w:w="40" w:type="dxa"/>
              <w:right w:w="40" w:type="dxa"/>
            </w:tcMar>
            <w:vAlign w:val="bottom"/>
          </w:tcPr>
          <w:p w14:paraId="42A13C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2A13C6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2A13C70"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190,550</w:t>
            </w:r>
          </w:p>
        </w:tc>
        <w:tc>
          <w:tcPr>
            <w:tcW w:w="0" w:type="auto"/>
            <w:tcBorders>
              <w:top w:val="single" w:sz="8" w:space="0" w:color="000000"/>
            </w:tcBorders>
            <w:shd w:val="clear" w:color="auto" w:fill="CCEEFF"/>
            <w:vAlign w:val="bottom"/>
          </w:tcPr>
          <w:p w14:paraId="42A13C7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C7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2A13C7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2A13C74"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184,202</w:t>
            </w:r>
          </w:p>
        </w:tc>
        <w:tc>
          <w:tcPr>
            <w:tcW w:w="0" w:type="auto"/>
            <w:tcBorders>
              <w:top w:val="single" w:sz="8" w:space="0" w:color="000000"/>
            </w:tcBorders>
            <w:shd w:val="clear" w:color="auto" w:fill="CCEEFF"/>
            <w:vAlign w:val="bottom"/>
          </w:tcPr>
          <w:p w14:paraId="42A13C75" w14:textId="77777777" w:rsidR="00BB68E1" w:rsidRDefault="00BB68E1">
            <w:pPr>
              <w:textAlignment w:val="bottom"/>
              <w:rPr>
                <w:rFonts w:ascii="Times New Roman" w:hAnsi="Times New Roman"/>
                <w:sz w:val="20"/>
                <w:szCs w:val="20"/>
              </w:rPr>
            </w:pPr>
          </w:p>
        </w:tc>
      </w:tr>
      <w:tr w:rsidR="00BB68E1" w14:paraId="42A13C7E" w14:textId="77777777">
        <w:trPr>
          <w:jc w:val="center"/>
        </w:trPr>
        <w:tc>
          <w:tcPr>
            <w:tcW w:w="0" w:type="auto"/>
            <w:shd w:val="clear" w:color="auto" w:fill="auto"/>
            <w:tcMar>
              <w:top w:w="40" w:type="dxa"/>
              <w:left w:w="560" w:type="dxa"/>
              <w:bottom w:w="40" w:type="dxa"/>
              <w:right w:w="40" w:type="dxa"/>
            </w:tcMar>
            <w:vAlign w:val="bottom"/>
          </w:tcPr>
          <w:p w14:paraId="42A13C7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General merchandise</w:t>
            </w:r>
          </w:p>
        </w:tc>
        <w:tc>
          <w:tcPr>
            <w:tcW w:w="0" w:type="auto"/>
            <w:shd w:val="clear" w:color="auto" w:fill="auto"/>
            <w:tcMar>
              <w:top w:w="40" w:type="dxa"/>
              <w:left w:w="40" w:type="dxa"/>
              <w:bottom w:w="40" w:type="dxa"/>
              <w:right w:w="40" w:type="dxa"/>
            </w:tcMar>
            <w:vAlign w:val="bottom"/>
          </w:tcPr>
          <w:p w14:paraId="42A13C7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C79"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109,600</w:t>
            </w:r>
          </w:p>
        </w:tc>
        <w:tc>
          <w:tcPr>
            <w:tcW w:w="0" w:type="auto"/>
            <w:shd w:val="clear" w:color="auto" w:fill="auto"/>
            <w:vAlign w:val="bottom"/>
          </w:tcPr>
          <w:p w14:paraId="42A13C7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C7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C7C"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108,739</w:t>
            </w:r>
          </w:p>
        </w:tc>
        <w:tc>
          <w:tcPr>
            <w:tcW w:w="0" w:type="auto"/>
            <w:shd w:val="clear" w:color="auto" w:fill="auto"/>
            <w:vAlign w:val="bottom"/>
          </w:tcPr>
          <w:p w14:paraId="42A13C7D" w14:textId="77777777" w:rsidR="00BB68E1" w:rsidRDefault="00BB68E1">
            <w:pPr>
              <w:textAlignment w:val="bottom"/>
              <w:rPr>
                <w:rFonts w:ascii="Times New Roman" w:hAnsi="Times New Roman"/>
                <w:sz w:val="20"/>
                <w:szCs w:val="20"/>
              </w:rPr>
            </w:pPr>
          </w:p>
        </w:tc>
      </w:tr>
      <w:tr w:rsidR="00BB68E1" w14:paraId="42A13C86" w14:textId="77777777">
        <w:trPr>
          <w:jc w:val="center"/>
        </w:trPr>
        <w:tc>
          <w:tcPr>
            <w:tcW w:w="0" w:type="auto"/>
            <w:shd w:val="clear" w:color="auto" w:fill="CCEEFF"/>
            <w:tcMar>
              <w:top w:w="40" w:type="dxa"/>
              <w:left w:w="560" w:type="dxa"/>
              <w:bottom w:w="40" w:type="dxa"/>
              <w:right w:w="40" w:type="dxa"/>
            </w:tcMar>
            <w:vAlign w:val="bottom"/>
          </w:tcPr>
          <w:p w14:paraId="42A13C7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Health and wellness</w:t>
            </w:r>
          </w:p>
        </w:tc>
        <w:tc>
          <w:tcPr>
            <w:tcW w:w="0" w:type="auto"/>
            <w:shd w:val="clear" w:color="auto" w:fill="CCEEFF"/>
            <w:tcMar>
              <w:top w:w="40" w:type="dxa"/>
              <w:left w:w="40" w:type="dxa"/>
              <w:bottom w:w="40" w:type="dxa"/>
              <w:right w:w="40" w:type="dxa"/>
            </w:tcMar>
            <w:vAlign w:val="bottom"/>
          </w:tcPr>
          <w:p w14:paraId="42A13C8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C81"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37,507</w:t>
            </w:r>
          </w:p>
        </w:tc>
        <w:tc>
          <w:tcPr>
            <w:tcW w:w="0" w:type="auto"/>
            <w:shd w:val="clear" w:color="auto" w:fill="CCEEFF"/>
            <w:vAlign w:val="bottom"/>
          </w:tcPr>
          <w:p w14:paraId="42A13C8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C8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C84"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35,788</w:t>
            </w:r>
          </w:p>
        </w:tc>
        <w:tc>
          <w:tcPr>
            <w:tcW w:w="0" w:type="auto"/>
            <w:shd w:val="clear" w:color="auto" w:fill="CCEEFF"/>
            <w:vAlign w:val="bottom"/>
          </w:tcPr>
          <w:p w14:paraId="42A13C85" w14:textId="77777777" w:rsidR="00BB68E1" w:rsidRDefault="00BB68E1">
            <w:pPr>
              <w:textAlignment w:val="bottom"/>
              <w:rPr>
                <w:rFonts w:ascii="Times New Roman" w:hAnsi="Times New Roman"/>
                <w:sz w:val="20"/>
                <w:szCs w:val="20"/>
              </w:rPr>
            </w:pPr>
          </w:p>
        </w:tc>
      </w:tr>
      <w:tr w:rsidR="00BB68E1" w14:paraId="42A13C8E" w14:textId="77777777">
        <w:trPr>
          <w:jc w:val="center"/>
        </w:trPr>
        <w:tc>
          <w:tcPr>
            <w:tcW w:w="0" w:type="auto"/>
            <w:shd w:val="clear" w:color="auto" w:fill="auto"/>
            <w:tcMar>
              <w:top w:w="40" w:type="dxa"/>
              <w:left w:w="560" w:type="dxa"/>
              <w:bottom w:w="40" w:type="dxa"/>
              <w:right w:w="40" w:type="dxa"/>
            </w:tcMar>
            <w:vAlign w:val="bottom"/>
          </w:tcPr>
          <w:p w14:paraId="42A13C8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Other categories</w:t>
            </w:r>
          </w:p>
        </w:tc>
        <w:tc>
          <w:tcPr>
            <w:tcW w:w="0" w:type="auto"/>
            <w:shd w:val="clear" w:color="auto" w:fill="auto"/>
            <w:tcMar>
              <w:top w:w="40" w:type="dxa"/>
              <w:left w:w="40" w:type="dxa"/>
              <w:bottom w:w="40" w:type="dxa"/>
              <w:right w:w="40" w:type="dxa"/>
            </w:tcMar>
            <w:vAlign w:val="bottom"/>
          </w:tcPr>
          <w:p w14:paraId="42A13C8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2A13C89"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3,347</w:t>
            </w:r>
          </w:p>
        </w:tc>
        <w:tc>
          <w:tcPr>
            <w:tcW w:w="0" w:type="auto"/>
            <w:tcBorders>
              <w:bottom w:val="single" w:sz="8" w:space="0" w:color="000000"/>
            </w:tcBorders>
            <w:shd w:val="clear" w:color="auto" w:fill="auto"/>
            <w:vAlign w:val="bottom"/>
          </w:tcPr>
          <w:p w14:paraId="42A13C8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C8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C8C"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2,937</w:t>
            </w:r>
          </w:p>
        </w:tc>
        <w:tc>
          <w:tcPr>
            <w:tcW w:w="0" w:type="auto"/>
            <w:shd w:val="clear" w:color="auto" w:fill="auto"/>
            <w:vAlign w:val="bottom"/>
          </w:tcPr>
          <w:p w14:paraId="42A13C8D" w14:textId="77777777" w:rsidR="00BB68E1" w:rsidRDefault="00BB68E1">
            <w:pPr>
              <w:textAlignment w:val="bottom"/>
              <w:rPr>
                <w:rFonts w:ascii="Times New Roman" w:hAnsi="Times New Roman"/>
                <w:sz w:val="20"/>
                <w:szCs w:val="20"/>
              </w:rPr>
            </w:pPr>
          </w:p>
        </w:tc>
      </w:tr>
      <w:tr w:rsidR="00BB68E1" w14:paraId="42A13C98" w14:textId="77777777">
        <w:trPr>
          <w:jc w:val="center"/>
        </w:trPr>
        <w:tc>
          <w:tcPr>
            <w:tcW w:w="0" w:type="auto"/>
            <w:shd w:val="clear" w:color="auto" w:fill="CCEEFF"/>
            <w:tcMar>
              <w:top w:w="40" w:type="dxa"/>
              <w:left w:w="40" w:type="dxa"/>
              <w:bottom w:w="40" w:type="dxa"/>
              <w:right w:w="40" w:type="dxa"/>
            </w:tcMar>
            <w:vAlign w:val="bottom"/>
          </w:tcPr>
          <w:p w14:paraId="42A13C8F"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CCEEFF"/>
            <w:tcMar>
              <w:top w:w="40" w:type="dxa"/>
              <w:left w:w="40" w:type="dxa"/>
              <w:bottom w:w="40" w:type="dxa"/>
              <w:right w:w="40" w:type="dxa"/>
            </w:tcMar>
            <w:vAlign w:val="bottom"/>
          </w:tcPr>
          <w:p w14:paraId="42A13C9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2A13C9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2A13C92"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341,004</w:t>
            </w:r>
          </w:p>
        </w:tc>
        <w:tc>
          <w:tcPr>
            <w:tcW w:w="0" w:type="auto"/>
            <w:tcBorders>
              <w:top w:val="single" w:sz="8" w:space="0" w:color="000000"/>
              <w:bottom w:val="double" w:sz="6" w:space="0" w:color="000000"/>
            </w:tcBorders>
            <w:shd w:val="clear" w:color="auto" w:fill="CCEEFF"/>
            <w:vAlign w:val="bottom"/>
          </w:tcPr>
          <w:p w14:paraId="42A13C9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C9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2A13C95"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2A13C96"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331,666</w:t>
            </w:r>
          </w:p>
        </w:tc>
        <w:tc>
          <w:tcPr>
            <w:tcW w:w="0" w:type="auto"/>
            <w:tcBorders>
              <w:top w:val="single" w:sz="8" w:space="0" w:color="000000"/>
              <w:bottom w:val="double" w:sz="6" w:space="0" w:color="000000"/>
            </w:tcBorders>
            <w:shd w:val="clear" w:color="auto" w:fill="CCEEFF"/>
            <w:vAlign w:val="bottom"/>
          </w:tcPr>
          <w:p w14:paraId="42A13C97" w14:textId="77777777" w:rsidR="00BB68E1" w:rsidRDefault="00BB68E1">
            <w:pPr>
              <w:textAlignment w:val="bottom"/>
              <w:rPr>
                <w:rFonts w:ascii="Times New Roman" w:hAnsi="Times New Roman"/>
                <w:sz w:val="20"/>
                <w:szCs w:val="20"/>
              </w:rPr>
            </w:pPr>
          </w:p>
        </w:tc>
      </w:tr>
    </w:tbl>
    <w:p w14:paraId="42A13C99" w14:textId="77777777" w:rsidR="00BB68E1" w:rsidRDefault="00BB68E1">
      <w:pPr>
        <w:spacing w:line="288" w:lineRule="auto"/>
        <w:jc w:val="center"/>
        <w:rPr>
          <w:rFonts w:ascii="Times New Roman" w:hAnsi="Times New Roman"/>
          <w:sz w:val="20"/>
          <w:szCs w:val="20"/>
        </w:rPr>
      </w:pPr>
    </w:p>
    <w:p w14:paraId="42A13C9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Of Walmart U.S.'s total net sales, approximately $21.5 billion and $15.7 billion related to eCommerce for fiscal 2020 and fiscal 2019, respectively. </w:t>
      </w:r>
    </w:p>
    <w:tbl>
      <w:tblPr>
        <w:tblW w:w="5000" w:type="pct"/>
        <w:jc w:val="center"/>
        <w:tblCellMar>
          <w:left w:w="0" w:type="dxa"/>
          <w:right w:w="0" w:type="dxa"/>
        </w:tblCellMar>
        <w:tblLook w:val="04A0" w:firstRow="1" w:lastRow="0" w:firstColumn="1" w:lastColumn="0" w:noHBand="0" w:noVBand="1"/>
      </w:tblPr>
      <w:tblGrid>
        <w:gridCol w:w="5448"/>
        <w:gridCol w:w="130"/>
        <w:gridCol w:w="120"/>
        <w:gridCol w:w="1129"/>
        <w:gridCol w:w="49"/>
        <w:gridCol w:w="130"/>
        <w:gridCol w:w="120"/>
        <w:gridCol w:w="1130"/>
        <w:gridCol w:w="50"/>
      </w:tblGrid>
      <w:tr w:rsidR="00BB68E1" w14:paraId="42A13C9C" w14:textId="77777777">
        <w:trPr>
          <w:jc w:val="center"/>
        </w:trPr>
        <w:tc>
          <w:tcPr>
            <w:tcW w:w="0" w:type="auto"/>
            <w:gridSpan w:val="9"/>
            <w:shd w:val="clear" w:color="auto" w:fill="auto"/>
            <w:vAlign w:val="center"/>
          </w:tcPr>
          <w:p w14:paraId="42A13C9B" w14:textId="77777777" w:rsidR="00BB68E1" w:rsidRDefault="00BB68E1">
            <w:pPr>
              <w:rPr>
                <w:rFonts w:ascii="Times New Roman" w:hAnsi="Times New Roman"/>
                <w:sz w:val="20"/>
                <w:szCs w:val="20"/>
              </w:rPr>
            </w:pPr>
          </w:p>
        </w:tc>
      </w:tr>
      <w:tr w:rsidR="00BB68E1" w14:paraId="42A13CA6" w14:textId="77777777">
        <w:trPr>
          <w:jc w:val="center"/>
        </w:trPr>
        <w:tc>
          <w:tcPr>
            <w:tcW w:w="3300" w:type="pct"/>
            <w:shd w:val="clear" w:color="auto" w:fill="auto"/>
            <w:vAlign w:val="center"/>
          </w:tcPr>
          <w:p w14:paraId="42A13C9D" w14:textId="77777777" w:rsidR="00BB68E1" w:rsidRDefault="00BB68E1">
            <w:pPr>
              <w:rPr>
                <w:rFonts w:ascii="Times New Roman" w:hAnsi="Times New Roman"/>
                <w:sz w:val="20"/>
                <w:szCs w:val="20"/>
              </w:rPr>
            </w:pPr>
          </w:p>
        </w:tc>
        <w:tc>
          <w:tcPr>
            <w:tcW w:w="50" w:type="pct"/>
            <w:shd w:val="clear" w:color="auto" w:fill="auto"/>
            <w:vAlign w:val="center"/>
          </w:tcPr>
          <w:p w14:paraId="42A13C9E" w14:textId="77777777" w:rsidR="00BB68E1" w:rsidRDefault="00BB68E1">
            <w:pPr>
              <w:rPr>
                <w:rFonts w:ascii="Times New Roman" w:hAnsi="Times New Roman"/>
                <w:sz w:val="20"/>
                <w:szCs w:val="20"/>
              </w:rPr>
            </w:pPr>
          </w:p>
        </w:tc>
        <w:tc>
          <w:tcPr>
            <w:tcW w:w="50" w:type="pct"/>
            <w:shd w:val="clear" w:color="auto" w:fill="auto"/>
            <w:vAlign w:val="center"/>
          </w:tcPr>
          <w:p w14:paraId="42A13C9F" w14:textId="77777777" w:rsidR="00BB68E1" w:rsidRDefault="00BB68E1">
            <w:pPr>
              <w:rPr>
                <w:rFonts w:ascii="Times New Roman" w:hAnsi="Times New Roman"/>
                <w:sz w:val="20"/>
                <w:szCs w:val="20"/>
              </w:rPr>
            </w:pPr>
          </w:p>
        </w:tc>
        <w:tc>
          <w:tcPr>
            <w:tcW w:w="700" w:type="pct"/>
            <w:shd w:val="clear" w:color="auto" w:fill="auto"/>
            <w:vAlign w:val="center"/>
          </w:tcPr>
          <w:p w14:paraId="42A13CA0" w14:textId="77777777" w:rsidR="00BB68E1" w:rsidRDefault="00BB68E1">
            <w:pPr>
              <w:rPr>
                <w:rFonts w:ascii="Times New Roman" w:hAnsi="Times New Roman"/>
                <w:sz w:val="20"/>
                <w:szCs w:val="20"/>
              </w:rPr>
            </w:pPr>
          </w:p>
        </w:tc>
        <w:tc>
          <w:tcPr>
            <w:tcW w:w="50" w:type="pct"/>
            <w:shd w:val="clear" w:color="auto" w:fill="auto"/>
            <w:vAlign w:val="center"/>
          </w:tcPr>
          <w:p w14:paraId="42A13CA1" w14:textId="77777777" w:rsidR="00BB68E1" w:rsidRDefault="00BB68E1">
            <w:pPr>
              <w:rPr>
                <w:rFonts w:ascii="Times New Roman" w:hAnsi="Times New Roman"/>
                <w:sz w:val="20"/>
                <w:szCs w:val="20"/>
              </w:rPr>
            </w:pPr>
          </w:p>
        </w:tc>
        <w:tc>
          <w:tcPr>
            <w:tcW w:w="50" w:type="pct"/>
            <w:shd w:val="clear" w:color="auto" w:fill="auto"/>
            <w:vAlign w:val="center"/>
          </w:tcPr>
          <w:p w14:paraId="42A13CA2" w14:textId="77777777" w:rsidR="00BB68E1" w:rsidRDefault="00BB68E1">
            <w:pPr>
              <w:rPr>
                <w:rFonts w:ascii="Times New Roman" w:hAnsi="Times New Roman"/>
                <w:sz w:val="20"/>
                <w:szCs w:val="20"/>
              </w:rPr>
            </w:pPr>
          </w:p>
        </w:tc>
        <w:tc>
          <w:tcPr>
            <w:tcW w:w="50" w:type="pct"/>
            <w:shd w:val="clear" w:color="auto" w:fill="auto"/>
            <w:vAlign w:val="center"/>
          </w:tcPr>
          <w:p w14:paraId="42A13CA3" w14:textId="77777777" w:rsidR="00BB68E1" w:rsidRDefault="00BB68E1">
            <w:pPr>
              <w:rPr>
                <w:rFonts w:ascii="Times New Roman" w:hAnsi="Times New Roman"/>
                <w:sz w:val="20"/>
                <w:szCs w:val="20"/>
              </w:rPr>
            </w:pPr>
          </w:p>
        </w:tc>
        <w:tc>
          <w:tcPr>
            <w:tcW w:w="700" w:type="pct"/>
            <w:shd w:val="clear" w:color="auto" w:fill="auto"/>
            <w:vAlign w:val="center"/>
          </w:tcPr>
          <w:p w14:paraId="42A13CA4" w14:textId="77777777" w:rsidR="00BB68E1" w:rsidRDefault="00BB68E1">
            <w:pPr>
              <w:rPr>
                <w:rFonts w:ascii="Times New Roman" w:hAnsi="Times New Roman"/>
                <w:sz w:val="20"/>
                <w:szCs w:val="20"/>
              </w:rPr>
            </w:pPr>
          </w:p>
        </w:tc>
        <w:tc>
          <w:tcPr>
            <w:tcW w:w="50" w:type="pct"/>
            <w:shd w:val="clear" w:color="auto" w:fill="auto"/>
            <w:vAlign w:val="center"/>
          </w:tcPr>
          <w:p w14:paraId="42A13CA5" w14:textId="77777777" w:rsidR="00BB68E1" w:rsidRDefault="00BB68E1">
            <w:pPr>
              <w:rPr>
                <w:rFonts w:ascii="Times New Roman" w:hAnsi="Times New Roman"/>
                <w:sz w:val="20"/>
                <w:szCs w:val="20"/>
              </w:rPr>
            </w:pPr>
          </w:p>
        </w:tc>
      </w:tr>
      <w:tr w:rsidR="00BB68E1" w14:paraId="42A13CAA" w14:textId="77777777">
        <w:trPr>
          <w:jc w:val="center"/>
        </w:trPr>
        <w:tc>
          <w:tcPr>
            <w:tcW w:w="0" w:type="auto"/>
            <w:shd w:val="clear" w:color="auto" w:fill="auto"/>
            <w:tcMar>
              <w:top w:w="40" w:type="dxa"/>
              <w:left w:w="40" w:type="dxa"/>
              <w:bottom w:w="40" w:type="dxa"/>
              <w:right w:w="40" w:type="dxa"/>
            </w:tcMar>
            <w:vAlign w:val="bottom"/>
          </w:tcPr>
          <w:p w14:paraId="42A13CA7"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3CA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2A13CA9"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Years Ended January 31,</w:t>
            </w:r>
          </w:p>
        </w:tc>
      </w:tr>
      <w:tr w:rsidR="00BB68E1" w14:paraId="42A13CB0" w14:textId="77777777">
        <w:trPr>
          <w:jc w:val="center"/>
        </w:trPr>
        <w:tc>
          <w:tcPr>
            <w:tcW w:w="0" w:type="auto"/>
            <w:shd w:val="clear" w:color="auto" w:fill="auto"/>
            <w:tcMar>
              <w:top w:w="40" w:type="dxa"/>
              <w:left w:w="40" w:type="dxa"/>
              <w:bottom w:w="40" w:type="dxa"/>
              <w:right w:w="40" w:type="dxa"/>
            </w:tcMar>
            <w:vAlign w:val="bottom"/>
          </w:tcPr>
          <w:p w14:paraId="42A13CAB"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 xml:space="preserve">Walmart International net sales by </w:t>
            </w:r>
            <w:r>
              <w:rPr>
                <w:rFonts w:ascii="Times New Roman" w:eastAsia="宋体" w:hAnsi="Times New Roman"/>
                <w:b/>
                <w:bCs/>
                <w:sz w:val="16"/>
                <w:szCs w:val="16"/>
              </w:rPr>
              <w:t>market</w:t>
            </w:r>
          </w:p>
        </w:tc>
        <w:tc>
          <w:tcPr>
            <w:tcW w:w="0" w:type="auto"/>
            <w:shd w:val="clear" w:color="auto" w:fill="auto"/>
            <w:tcMar>
              <w:top w:w="40" w:type="dxa"/>
              <w:left w:w="40" w:type="dxa"/>
              <w:bottom w:w="40" w:type="dxa"/>
              <w:right w:w="40" w:type="dxa"/>
            </w:tcMar>
            <w:vAlign w:val="bottom"/>
          </w:tcPr>
          <w:p w14:paraId="42A13CA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3CAD"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3CA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3CAF"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BB68E1" w14:paraId="42A13CBA" w14:textId="77777777">
        <w:trPr>
          <w:jc w:val="center"/>
        </w:trPr>
        <w:tc>
          <w:tcPr>
            <w:tcW w:w="0" w:type="auto"/>
            <w:shd w:val="clear" w:color="auto" w:fill="CCEEFF"/>
            <w:tcMar>
              <w:top w:w="40" w:type="dxa"/>
              <w:left w:w="560" w:type="dxa"/>
              <w:bottom w:w="40" w:type="dxa"/>
              <w:right w:w="40" w:type="dxa"/>
            </w:tcMar>
            <w:vAlign w:val="center"/>
          </w:tcPr>
          <w:p w14:paraId="42A13CB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Mexico and Central America</w:t>
            </w:r>
          </w:p>
        </w:tc>
        <w:tc>
          <w:tcPr>
            <w:tcW w:w="0" w:type="auto"/>
            <w:shd w:val="clear" w:color="auto" w:fill="CCEEFF"/>
            <w:tcMar>
              <w:top w:w="40" w:type="dxa"/>
              <w:left w:w="40" w:type="dxa"/>
              <w:bottom w:w="40" w:type="dxa"/>
              <w:right w:w="40" w:type="dxa"/>
            </w:tcMar>
            <w:vAlign w:val="bottom"/>
          </w:tcPr>
          <w:p w14:paraId="42A13CB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2A13CB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2A13CB4"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33,350</w:t>
            </w:r>
          </w:p>
        </w:tc>
        <w:tc>
          <w:tcPr>
            <w:tcW w:w="0" w:type="auto"/>
            <w:tcBorders>
              <w:top w:val="single" w:sz="8" w:space="0" w:color="000000"/>
            </w:tcBorders>
            <w:shd w:val="clear" w:color="auto" w:fill="CCEEFF"/>
            <w:vAlign w:val="bottom"/>
          </w:tcPr>
          <w:p w14:paraId="42A13CB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CB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2A13CB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bottom"/>
          </w:tcPr>
          <w:p w14:paraId="42A13CB8"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31,790</w:t>
            </w:r>
          </w:p>
        </w:tc>
        <w:tc>
          <w:tcPr>
            <w:tcW w:w="0" w:type="auto"/>
            <w:shd w:val="clear" w:color="auto" w:fill="CCEEFF"/>
            <w:vAlign w:val="bottom"/>
          </w:tcPr>
          <w:p w14:paraId="42A13CB9" w14:textId="77777777" w:rsidR="00BB68E1" w:rsidRDefault="00BB68E1">
            <w:pPr>
              <w:textAlignment w:val="bottom"/>
              <w:rPr>
                <w:rFonts w:ascii="Times New Roman" w:hAnsi="Times New Roman"/>
                <w:sz w:val="20"/>
                <w:szCs w:val="20"/>
              </w:rPr>
            </w:pPr>
          </w:p>
        </w:tc>
      </w:tr>
      <w:tr w:rsidR="00BB68E1" w14:paraId="42A13CC2" w14:textId="77777777">
        <w:trPr>
          <w:jc w:val="center"/>
        </w:trPr>
        <w:tc>
          <w:tcPr>
            <w:tcW w:w="0" w:type="auto"/>
            <w:shd w:val="clear" w:color="auto" w:fill="auto"/>
            <w:tcMar>
              <w:top w:w="40" w:type="dxa"/>
              <w:left w:w="560" w:type="dxa"/>
              <w:bottom w:w="40" w:type="dxa"/>
              <w:right w:w="40" w:type="dxa"/>
            </w:tcMar>
            <w:vAlign w:val="bottom"/>
          </w:tcPr>
          <w:p w14:paraId="42A13CBB"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United Kingdom</w:t>
            </w:r>
          </w:p>
        </w:tc>
        <w:tc>
          <w:tcPr>
            <w:tcW w:w="0" w:type="auto"/>
            <w:shd w:val="clear" w:color="auto" w:fill="auto"/>
            <w:tcMar>
              <w:top w:w="40" w:type="dxa"/>
              <w:left w:w="40" w:type="dxa"/>
              <w:bottom w:w="40" w:type="dxa"/>
              <w:right w:w="40" w:type="dxa"/>
            </w:tcMar>
            <w:vAlign w:val="bottom"/>
          </w:tcPr>
          <w:p w14:paraId="42A13CB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CBD"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29,243</w:t>
            </w:r>
          </w:p>
        </w:tc>
        <w:tc>
          <w:tcPr>
            <w:tcW w:w="0" w:type="auto"/>
            <w:shd w:val="clear" w:color="auto" w:fill="auto"/>
            <w:vAlign w:val="bottom"/>
          </w:tcPr>
          <w:p w14:paraId="42A13CB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C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CC0"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30,547</w:t>
            </w:r>
          </w:p>
        </w:tc>
        <w:tc>
          <w:tcPr>
            <w:tcW w:w="0" w:type="auto"/>
            <w:shd w:val="clear" w:color="auto" w:fill="auto"/>
            <w:vAlign w:val="bottom"/>
          </w:tcPr>
          <w:p w14:paraId="42A13CC1" w14:textId="77777777" w:rsidR="00BB68E1" w:rsidRDefault="00BB68E1">
            <w:pPr>
              <w:textAlignment w:val="bottom"/>
              <w:rPr>
                <w:rFonts w:ascii="Times New Roman" w:hAnsi="Times New Roman"/>
                <w:sz w:val="20"/>
                <w:szCs w:val="20"/>
              </w:rPr>
            </w:pPr>
          </w:p>
        </w:tc>
      </w:tr>
      <w:tr w:rsidR="00BB68E1" w14:paraId="42A13CCA" w14:textId="77777777">
        <w:trPr>
          <w:jc w:val="center"/>
        </w:trPr>
        <w:tc>
          <w:tcPr>
            <w:tcW w:w="0" w:type="auto"/>
            <w:shd w:val="clear" w:color="auto" w:fill="CCEEFF"/>
            <w:tcMar>
              <w:top w:w="40" w:type="dxa"/>
              <w:left w:w="560" w:type="dxa"/>
              <w:bottom w:w="40" w:type="dxa"/>
              <w:right w:w="40" w:type="dxa"/>
            </w:tcMar>
            <w:vAlign w:val="bottom"/>
          </w:tcPr>
          <w:p w14:paraId="42A13CC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Canada</w:t>
            </w:r>
          </w:p>
        </w:tc>
        <w:tc>
          <w:tcPr>
            <w:tcW w:w="0" w:type="auto"/>
            <w:shd w:val="clear" w:color="auto" w:fill="CCEEFF"/>
            <w:tcMar>
              <w:top w:w="40" w:type="dxa"/>
              <w:left w:w="40" w:type="dxa"/>
              <w:bottom w:w="40" w:type="dxa"/>
              <w:right w:w="40" w:type="dxa"/>
            </w:tcMar>
            <w:vAlign w:val="bottom"/>
          </w:tcPr>
          <w:p w14:paraId="42A13CC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CC5"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18,420</w:t>
            </w:r>
          </w:p>
        </w:tc>
        <w:tc>
          <w:tcPr>
            <w:tcW w:w="0" w:type="auto"/>
            <w:shd w:val="clear" w:color="auto" w:fill="CCEEFF"/>
            <w:vAlign w:val="bottom"/>
          </w:tcPr>
          <w:p w14:paraId="42A13CC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CC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CC8"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18,613</w:t>
            </w:r>
          </w:p>
        </w:tc>
        <w:tc>
          <w:tcPr>
            <w:tcW w:w="0" w:type="auto"/>
            <w:shd w:val="clear" w:color="auto" w:fill="CCEEFF"/>
            <w:vAlign w:val="bottom"/>
          </w:tcPr>
          <w:p w14:paraId="42A13CC9" w14:textId="77777777" w:rsidR="00BB68E1" w:rsidRDefault="00BB68E1">
            <w:pPr>
              <w:textAlignment w:val="bottom"/>
              <w:rPr>
                <w:rFonts w:ascii="Times New Roman" w:hAnsi="Times New Roman"/>
                <w:sz w:val="20"/>
                <w:szCs w:val="20"/>
              </w:rPr>
            </w:pPr>
          </w:p>
        </w:tc>
      </w:tr>
      <w:tr w:rsidR="00BB68E1" w14:paraId="42A13CD2" w14:textId="77777777">
        <w:trPr>
          <w:jc w:val="center"/>
        </w:trPr>
        <w:tc>
          <w:tcPr>
            <w:tcW w:w="0" w:type="auto"/>
            <w:shd w:val="clear" w:color="auto" w:fill="auto"/>
            <w:tcMar>
              <w:top w:w="40" w:type="dxa"/>
              <w:left w:w="560" w:type="dxa"/>
              <w:bottom w:w="40" w:type="dxa"/>
              <w:right w:w="40" w:type="dxa"/>
            </w:tcMar>
            <w:vAlign w:val="bottom"/>
          </w:tcPr>
          <w:p w14:paraId="42A13CCB"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China</w:t>
            </w:r>
          </w:p>
        </w:tc>
        <w:tc>
          <w:tcPr>
            <w:tcW w:w="0" w:type="auto"/>
            <w:shd w:val="clear" w:color="auto" w:fill="auto"/>
            <w:tcMar>
              <w:top w:w="40" w:type="dxa"/>
              <w:left w:w="40" w:type="dxa"/>
              <w:bottom w:w="40" w:type="dxa"/>
              <w:right w:w="40" w:type="dxa"/>
            </w:tcMar>
            <w:vAlign w:val="bottom"/>
          </w:tcPr>
          <w:p w14:paraId="42A13CC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CCD"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10,671</w:t>
            </w:r>
          </w:p>
        </w:tc>
        <w:tc>
          <w:tcPr>
            <w:tcW w:w="0" w:type="auto"/>
            <w:shd w:val="clear" w:color="auto" w:fill="auto"/>
            <w:vAlign w:val="bottom"/>
          </w:tcPr>
          <w:p w14:paraId="42A13CC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CC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CD0"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10,702</w:t>
            </w:r>
          </w:p>
        </w:tc>
        <w:tc>
          <w:tcPr>
            <w:tcW w:w="0" w:type="auto"/>
            <w:shd w:val="clear" w:color="auto" w:fill="auto"/>
            <w:vAlign w:val="bottom"/>
          </w:tcPr>
          <w:p w14:paraId="42A13CD1" w14:textId="77777777" w:rsidR="00BB68E1" w:rsidRDefault="00BB68E1">
            <w:pPr>
              <w:textAlignment w:val="bottom"/>
              <w:rPr>
                <w:rFonts w:ascii="Times New Roman" w:hAnsi="Times New Roman"/>
                <w:sz w:val="20"/>
                <w:szCs w:val="20"/>
              </w:rPr>
            </w:pPr>
          </w:p>
        </w:tc>
      </w:tr>
      <w:tr w:rsidR="00BB68E1" w14:paraId="42A13CDA" w14:textId="77777777">
        <w:trPr>
          <w:jc w:val="center"/>
        </w:trPr>
        <w:tc>
          <w:tcPr>
            <w:tcW w:w="0" w:type="auto"/>
            <w:shd w:val="clear" w:color="auto" w:fill="CCEEFF"/>
            <w:tcMar>
              <w:top w:w="40" w:type="dxa"/>
              <w:left w:w="560" w:type="dxa"/>
              <w:bottom w:w="40" w:type="dxa"/>
              <w:right w:w="40" w:type="dxa"/>
            </w:tcMar>
            <w:vAlign w:val="center"/>
          </w:tcPr>
          <w:p w14:paraId="42A13CD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Other</w:t>
            </w:r>
          </w:p>
        </w:tc>
        <w:tc>
          <w:tcPr>
            <w:tcW w:w="0" w:type="auto"/>
            <w:shd w:val="clear" w:color="auto" w:fill="CCEEFF"/>
            <w:tcMar>
              <w:top w:w="40" w:type="dxa"/>
              <w:left w:w="40" w:type="dxa"/>
              <w:bottom w:w="40" w:type="dxa"/>
              <w:right w:w="40" w:type="dxa"/>
            </w:tcMar>
            <w:vAlign w:val="bottom"/>
          </w:tcPr>
          <w:p w14:paraId="42A13CD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2A13CD5"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28,446</w:t>
            </w:r>
          </w:p>
        </w:tc>
        <w:tc>
          <w:tcPr>
            <w:tcW w:w="0" w:type="auto"/>
            <w:tcBorders>
              <w:bottom w:val="single" w:sz="8" w:space="0" w:color="000000"/>
            </w:tcBorders>
            <w:shd w:val="clear" w:color="auto" w:fill="CCEEFF"/>
            <w:vAlign w:val="bottom"/>
          </w:tcPr>
          <w:p w14:paraId="42A13CD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CD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CD8"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29,172</w:t>
            </w:r>
          </w:p>
        </w:tc>
        <w:tc>
          <w:tcPr>
            <w:tcW w:w="0" w:type="auto"/>
            <w:shd w:val="clear" w:color="auto" w:fill="CCEEFF"/>
            <w:vAlign w:val="bottom"/>
          </w:tcPr>
          <w:p w14:paraId="42A13CD9" w14:textId="77777777" w:rsidR="00BB68E1" w:rsidRDefault="00BB68E1">
            <w:pPr>
              <w:textAlignment w:val="bottom"/>
              <w:rPr>
                <w:rFonts w:ascii="Times New Roman" w:hAnsi="Times New Roman"/>
                <w:sz w:val="20"/>
                <w:szCs w:val="20"/>
              </w:rPr>
            </w:pPr>
          </w:p>
        </w:tc>
      </w:tr>
      <w:tr w:rsidR="00BB68E1" w14:paraId="42A13CE4" w14:textId="77777777">
        <w:trPr>
          <w:jc w:val="center"/>
        </w:trPr>
        <w:tc>
          <w:tcPr>
            <w:tcW w:w="0" w:type="auto"/>
            <w:shd w:val="clear" w:color="auto" w:fill="auto"/>
            <w:tcMar>
              <w:top w:w="40" w:type="dxa"/>
              <w:left w:w="40" w:type="dxa"/>
              <w:bottom w:w="40" w:type="dxa"/>
              <w:right w:w="40" w:type="dxa"/>
            </w:tcMar>
            <w:vAlign w:val="bottom"/>
          </w:tcPr>
          <w:p w14:paraId="42A13CDB"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auto"/>
            <w:tcMar>
              <w:top w:w="40" w:type="dxa"/>
              <w:left w:w="40" w:type="dxa"/>
              <w:bottom w:w="40" w:type="dxa"/>
              <w:right w:w="40" w:type="dxa"/>
            </w:tcMar>
            <w:vAlign w:val="bottom"/>
          </w:tcPr>
          <w:p w14:paraId="42A13CD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2A13CDD"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2A13CDE"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120,130</w:t>
            </w:r>
          </w:p>
        </w:tc>
        <w:tc>
          <w:tcPr>
            <w:tcW w:w="0" w:type="auto"/>
            <w:tcBorders>
              <w:top w:val="single" w:sz="8" w:space="0" w:color="000000"/>
              <w:bottom w:val="double" w:sz="6" w:space="0" w:color="000000"/>
            </w:tcBorders>
            <w:shd w:val="clear" w:color="auto" w:fill="auto"/>
            <w:vAlign w:val="bottom"/>
          </w:tcPr>
          <w:p w14:paraId="42A13CD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CE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2A13CE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2A13CE2"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120,824</w:t>
            </w:r>
          </w:p>
        </w:tc>
        <w:tc>
          <w:tcPr>
            <w:tcW w:w="0" w:type="auto"/>
            <w:tcBorders>
              <w:top w:val="single" w:sz="8" w:space="0" w:color="000000"/>
              <w:bottom w:val="double" w:sz="6" w:space="0" w:color="000000"/>
            </w:tcBorders>
            <w:shd w:val="clear" w:color="auto" w:fill="auto"/>
            <w:vAlign w:val="bottom"/>
          </w:tcPr>
          <w:p w14:paraId="42A13CE3" w14:textId="77777777" w:rsidR="00BB68E1" w:rsidRDefault="00BB68E1">
            <w:pPr>
              <w:textAlignment w:val="bottom"/>
              <w:rPr>
                <w:rFonts w:ascii="Times New Roman" w:hAnsi="Times New Roman"/>
                <w:sz w:val="20"/>
                <w:szCs w:val="20"/>
              </w:rPr>
            </w:pPr>
          </w:p>
        </w:tc>
      </w:tr>
    </w:tbl>
    <w:p w14:paraId="42A13CE5" w14:textId="77777777" w:rsidR="00BB68E1" w:rsidRDefault="00BB68E1">
      <w:pPr>
        <w:spacing w:line="288" w:lineRule="auto"/>
        <w:jc w:val="center"/>
        <w:rPr>
          <w:rFonts w:ascii="Times New Roman" w:hAnsi="Times New Roman"/>
          <w:sz w:val="20"/>
          <w:szCs w:val="20"/>
        </w:rPr>
      </w:pPr>
    </w:p>
    <w:p w14:paraId="42A13CE6"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Of International's total net sales, approximately $11.8 billion and $6.7 billion related to eCommerce for fiscal 2020 and fiscal 2019, respectively. </w:t>
      </w:r>
    </w:p>
    <w:tbl>
      <w:tblPr>
        <w:tblW w:w="5000" w:type="pct"/>
        <w:jc w:val="center"/>
        <w:tblCellMar>
          <w:left w:w="0" w:type="dxa"/>
          <w:right w:w="0" w:type="dxa"/>
        </w:tblCellMar>
        <w:tblLook w:val="04A0" w:firstRow="1" w:lastRow="0" w:firstColumn="1" w:lastColumn="0" w:noHBand="0" w:noVBand="1"/>
      </w:tblPr>
      <w:tblGrid>
        <w:gridCol w:w="5448"/>
        <w:gridCol w:w="130"/>
        <w:gridCol w:w="120"/>
        <w:gridCol w:w="1129"/>
        <w:gridCol w:w="49"/>
        <w:gridCol w:w="130"/>
        <w:gridCol w:w="120"/>
        <w:gridCol w:w="1130"/>
        <w:gridCol w:w="50"/>
      </w:tblGrid>
      <w:tr w:rsidR="00BB68E1" w14:paraId="42A13CE8" w14:textId="77777777">
        <w:trPr>
          <w:jc w:val="center"/>
        </w:trPr>
        <w:tc>
          <w:tcPr>
            <w:tcW w:w="0" w:type="auto"/>
            <w:gridSpan w:val="9"/>
            <w:shd w:val="clear" w:color="auto" w:fill="auto"/>
            <w:vAlign w:val="center"/>
          </w:tcPr>
          <w:p w14:paraId="42A13CE7" w14:textId="77777777" w:rsidR="00BB68E1" w:rsidRDefault="00BB68E1">
            <w:pPr>
              <w:rPr>
                <w:rFonts w:ascii="Times New Roman" w:hAnsi="Times New Roman"/>
                <w:sz w:val="20"/>
                <w:szCs w:val="20"/>
              </w:rPr>
            </w:pPr>
          </w:p>
        </w:tc>
      </w:tr>
      <w:tr w:rsidR="00BB68E1" w14:paraId="42A13CF2" w14:textId="77777777">
        <w:trPr>
          <w:jc w:val="center"/>
        </w:trPr>
        <w:tc>
          <w:tcPr>
            <w:tcW w:w="3300" w:type="pct"/>
            <w:shd w:val="clear" w:color="auto" w:fill="auto"/>
            <w:vAlign w:val="center"/>
          </w:tcPr>
          <w:p w14:paraId="42A13CE9" w14:textId="77777777" w:rsidR="00BB68E1" w:rsidRDefault="00BB68E1">
            <w:pPr>
              <w:rPr>
                <w:rFonts w:ascii="Times New Roman" w:hAnsi="Times New Roman"/>
                <w:sz w:val="20"/>
                <w:szCs w:val="20"/>
              </w:rPr>
            </w:pPr>
          </w:p>
        </w:tc>
        <w:tc>
          <w:tcPr>
            <w:tcW w:w="50" w:type="pct"/>
            <w:shd w:val="clear" w:color="auto" w:fill="auto"/>
            <w:vAlign w:val="center"/>
          </w:tcPr>
          <w:p w14:paraId="42A13CEA" w14:textId="77777777" w:rsidR="00BB68E1" w:rsidRDefault="00BB68E1">
            <w:pPr>
              <w:rPr>
                <w:rFonts w:ascii="Times New Roman" w:hAnsi="Times New Roman"/>
                <w:sz w:val="20"/>
                <w:szCs w:val="20"/>
              </w:rPr>
            </w:pPr>
          </w:p>
        </w:tc>
        <w:tc>
          <w:tcPr>
            <w:tcW w:w="50" w:type="pct"/>
            <w:shd w:val="clear" w:color="auto" w:fill="auto"/>
            <w:vAlign w:val="center"/>
          </w:tcPr>
          <w:p w14:paraId="42A13CEB" w14:textId="77777777" w:rsidR="00BB68E1" w:rsidRDefault="00BB68E1">
            <w:pPr>
              <w:rPr>
                <w:rFonts w:ascii="Times New Roman" w:hAnsi="Times New Roman"/>
                <w:sz w:val="20"/>
                <w:szCs w:val="20"/>
              </w:rPr>
            </w:pPr>
          </w:p>
        </w:tc>
        <w:tc>
          <w:tcPr>
            <w:tcW w:w="700" w:type="pct"/>
            <w:shd w:val="clear" w:color="auto" w:fill="auto"/>
            <w:vAlign w:val="center"/>
          </w:tcPr>
          <w:p w14:paraId="42A13CEC" w14:textId="77777777" w:rsidR="00BB68E1" w:rsidRDefault="00BB68E1">
            <w:pPr>
              <w:rPr>
                <w:rFonts w:ascii="Times New Roman" w:hAnsi="Times New Roman"/>
                <w:sz w:val="20"/>
                <w:szCs w:val="20"/>
              </w:rPr>
            </w:pPr>
          </w:p>
        </w:tc>
        <w:tc>
          <w:tcPr>
            <w:tcW w:w="50" w:type="pct"/>
            <w:shd w:val="clear" w:color="auto" w:fill="auto"/>
            <w:vAlign w:val="center"/>
          </w:tcPr>
          <w:p w14:paraId="42A13CED" w14:textId="77777777" w:rsidR="00BB68E1" w:rsidRDefault="00BB68E1">
            <w:pPr>
              <w:rPr>
                <w:rFonts w:ascii="Times New Roman" w:hAnsi="Times New Roman"/>
                <w:sz w:val="20"/>
                <w:szCs w:val="20"/>
              </w:rPr>
            </w:pPr>
          </w:p>
        </w:tc>
        <w:tc>
          <w:tcPr>
            <w:tcW w:w="50" w:type="pct"/>
            <w:shd w:val="clear" w:color="auto" w:fill="auto"/>
            <w:vAlign w:val="center"/>
          </w:tcPr>
          <w:p w14:paraId="42A13CEE" w14:textId="77777777" w:rsidR="00BB68E1" w:rsidRDefault="00BB68E1">
            <w:pPr>
              <w:rPr>
                <w:rFonts w:ascii="Times New Roman" w:hAnsi="Times New Roman"/>
                <w:sz w:val="20"/>
                <w:szCs w:val="20"/>
              </w:rPr>
            </w:pPr>
          </w:p>
        </w:tc>
        <w:tc>
          <w:tcPr>
            <w:tcW w:w="50" w:type="pct"/>
            <w:shd w:val="clear" w:color="auto" w:fill="auto"/>
            <w:vAlign w:val="center"/>
          </w:tcPr>
          <w:p w14:paraId="42A13CEF" w14:textId="77777777" w:rsidR="00BB68E1" w:rsidRDefault="00BB68E1">
            <w:pPr>
              <w:rPr>
                <w:rFonts w:ascii="Times New Roman" w:hAnsi="Times New Roman"/>
                <w:sz w:val="20"/>
                <w:szCs w:val="20"/>
              </w:rPr>
            </w:pPr>
          </w:p>
        </w:tc>
        <w:tc>
          <w:tcPr>
            <w:tcW w:w="700" w:type="pct"/>
            <w:shd w:val="clear" w:color="auto" w:fill="auto"/>
            <w:vAlign w:val="center"/>
          </w:tcPr>
          <w:p w14:paraId="42A13CF0" w14:textId="77777777" w:rsidR="00BB68E1" w:rsidRDefault="00BB68E1">
            <w:pPr>
              <w:rPr>
                <w:rFonts w:ascii="Times New Roman" w:hAnsi="Times New Roman"/>
                <w:sz w:val="20"/>
                <w:szCs w:val="20"/>
              </w:rPr>
            </w:pPr>
          </w:p>
        </w:tc>
        <w:tc>
          <w:tcPr>
            <w:tcW w:w="50" w:type="pct"/>
            <w:shd w:val="clear" w:color="auto" w:fill="auto"/>
            <w:vAlign w:val="center"/>
          </w:tcPr>
          <w:p w14:paraId="42A13CF1" w14:textId="77777777" w:rsidR="00BB68E1" w:rsidRDefault="00BB68E1">
            <w:pPr>
              <w:rPr>
                <w:rFonts w:ascii="Times New Roman" w:hAnsi="Times New Roman"/>
                <w:sz w:val="20"/>
                <w:szCs w:val="20"/>
              </w:rPr>
            </w:pPr>
          </w:p>
        </w:tc>
      </w:tr>
      <w:tr w:rsidR="00BB68E1" w14:paraId="42A13CF6" w14:textId="77777777">
        <w:trPr>
          <w:jc w:val="center"/>
        </w:trPr>
        <w:tc>
          <w:tcPr>
            <w:tcW w:w="0" w:type="auto"/>
            <w:shd w:val="clear" w:color="auto" w:fill="auto"/>
            <w:tcMar>
              <w:top w:w="40" w:type="dxa"/>
              <w:left w:w="40" w:type="dxa"/>
              <w:bottom w:w="40" w:type="dxa"/>
              <w:right w:w="40" w:type="dxa"/>
            </w:tcMar>
            <w:vAlign w:val="bottom"/>
          </w:tcPr>
          <w:p w14:paraId="42A13CF3"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2A13CF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2A13CF5"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 Ended January 31, 2020</w:t>
            </w:r>
          </w:p>
        </w:tc>
      </w:tr>
      <w:tr w:rsidR="00BB68E1" w14:paraId="42A13CFC" w14:textId="77777777">
        <w:trPr>
          <w:jc w:val="center"/>
        </w:trPr>
        <w:tc>
          <w:tcPr>
            <w:tcW w:w="0" w:type="auto"/>
            <w:shd w:val="clear" w:color="auto" w:fill="auto"/>
            <w:tcMar>
              <w:top w:w="40" w:type="dxa"/>
              <w:left w:w="40" w:type="dxa"/>
              <w:bottom w:w="40" w:type="dxa"/>
              <w:right w:w="40" w:type="dxa"/>
            </w:tcMar>
            <w:vAlign w:val="bottom"/>
          </w:tcPr>
          <w:p w14:paraId="42A13CF7"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 xml:space="preserve">Sam’s Club net sales by </w:t>
            </w:r>
            <w:r>
              <w:rPr>
                <w:rFonts w:ascii="Times New Roman" w:eastAsia="宋体" w:hAnsi="Times New Roman"/>
                <w:b/>
                <w:bCs/>
                <w:sz w:val="16"/>
                <w:szCs w:val="16"/>
              </w:rPr>
              <w:t>merchandise category</w:t>
            </w:r>
          </w:p>
        </w:tc>
        <w:tc>
          <w:tcPr>
            <w:tcW w:w="0" w:type="auto"/>
            <w:shd w:val="clear" w:color="auto" w:fill="auto"/>
            <w:tcMar>
              <w:top w:w="40" w:type="dxa"/>
              <w:left w:w="40" w:type="dxa"/>
              <w:bottom w:w="40" w:type="dxa"/>
              <w:right w:w="40" w:type="dxa"/>
            </w:tcMar>
            <w:vAlign w:val="bottom"/>
          </w:tcPr>
          <w:p w14:paraId="42A13CF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3CF9"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2A13CF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2A13CFB"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BB68E1" w14:paraId="42A13D06" w14:textId="77777777">
        <w:trPr>
          <w:jc w:val="center"/>
        </w:trPr>
        <w:tc>
          <w:tcPr>
            <w:tcW w:w="0" w:type="auto"/>
            <w:shd w:val="clear" w:color="auto" w:fill="CCEEFF"/>
            <w:tcMar>
              <w:top w:w="40" w:type="dxa"/>
              <w:left w:w="560" w:type="dxa"/>
              <w:bottom w:w="40" w:type="dxa"/>
              <w:right w:w="40" w:type="dxa"/>
            </w:tcMar>
            <w:vAlign w:val="center"/>
          </w:tcPr>
          <w:p w14:paraId="42A13CFD"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Grocery and consumables</w:t>
            </w:r>
          </w:p>
        </w:tc>
        <w:tc>
          <w:tcPr>
            <w:tcW w:w="0" w:type="auto"/>
            <w:shd w:val="clear" w:color="auto" w:fill="CCEEFF"/>
            <w:tcMar>
              <w:top w:w="40" w:type="dxa"/>
              <w:left w:w="40" w:type="dxa"/>
              <w:bottom w:w="40" w:type="dxa"/>
              <w:right w:w="40" w:type="dxa"/>
            </w:tcMar>
            <w:vAlign w:val="bottom"/>
          </w:tcPr>
          <w:p w14:paraId="42A13CF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2A13CF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2A13D00"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35,328</w:t>
            </w:r>
          </w:p>
        </w:tc>
        <w:tc>
          <w:tcPr>
            <w:tcW w:w="0" w:type="auto"/>
            <w:tcBorders>
              <w:top w:val="single" w:sz="8" w:space="0" w:color="000000"/>
            </w:tcBorders>
            <w:shd w:val="clear" w:color="auto" w:fill="CCEEFF"/>
            <w:vAlign w:val="bottom"/>
          </w:tcPr>
          <w:p w14:paraId="42A13D0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0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2A13D0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2A13D04"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33,708</w:t>
            </w:r>
          </w:p>
        </w:tc>
        <w:tc>
          <w:tcPr>
            <w:tcW w:w="0" w:type="auto"/>
            <w:tcBorders>
              <w:top w:val="single" w:sz="8" w:space="0" w:color="000000"/>
            </w:tcBorders>
            <w:shd w:val="clear" w:color="auto" w:fill="CCEEFF"/>
            <w:vAlign w:val="bottom"/>
          </w:tcPr>
          <w:p w14:paraId="42A13D05" w14:textId="77777777" w:rsidR="00BB68E1" w:rsidRDefault="00BB68E1">
            <w:pPr>
              <w:textAlignment w:val="bottom"/>
              <w:rPr>
                <w:rFonts w:ascii="Times New Roman" w:hAnsi="Times New Roman"/>
                <w:sz w:val="20"/>
                <w:szCs w:val="20"/>
              </w:rPr>
            </w:pPr>
          </w:p>
        </w:tc>
      </w:tr>
      <w:tr w:rsidR="00BB68E1" w14:paraId="42A13D0E" w14:textId="77777777">
        <w:trPr>
          <w:jc w:val="center"/>
        </w:trPr>
        <w:tc>
          <w:tcPr>
            <w:tcW w:w="0" w:type="auto"/>
            <w:shd w:val="clear" w:color="auto" w:fill="auto"/>
            <w:tcMar>
              <w:top w:w="40" w:type="dxa"/>
              <w:left w:w="560" w:type="dxa"/>
              <w:bottom w:w="40" w:type="dxa"/>
              <w:right w:w="40" w:type="dxa"/>
            </w:tcMar>
            <w:vAlign w:val="bottom"/>
          </w:tcPr>
          <w:p w14:paraId="42A13D0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Fuel, tobacco and other categories</w:t>
            </w:r>
          </w:p>
        </w:tc>
        <w:tc>
          <w:tcPr>
            <w:tcW w:w="0" w:type="auto"/>
            <w:shd w:val="clear" w:color="auto" w:fill="auto"/>
            <w:tcMar>
              <w:top w:w="40" w:type="dxa"/>
              <w:left w:w="40" w:type="dxa"/>
              <w:bottom w:w="40" w:type="dxa"/>
              <w:right w:w="40" w:type="dxa"/>
            </w:tcMar>
            <w:vAlign w:val="bottom"/>
          </w:tcPr>
          <w:p w14:paraId="42A13D0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D0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11,296</w:t>
            </w:r>
          </w:p>
        </w:tc>
        <w:tc>
          <w:tcPr>
            <w:tcW w:w="0" w:type="auto"/>
            <w:shd w:val="clear" w:color="auto" w:fill="auto"/>
            <w:vAlign w:val="bottom"/>
          </w:tcPr>
          <w:p w14:paraId="42A13D0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D0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D0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12,110</w:t>
            </w:r>
          </w:p>
        </w:tc>
        <w:tc>
          <w:tcPr>
            <w:tcW w:w="0" w:type="auto"/>
            <w:shd w:val="clear" w:color="auto" w:fill="auto"/>
            <w:vAlign w:val="bottom"/>
          </w:tcPr>
          <w:p w14:paraId="42A13D0D" w14:textId="77777777" w:rsidR="00BB68E1" w:rsidRDefault="00BB68E1">
            <w:pPr>
              <w:textAlignment w:val="bottom"/>
              <w:rPr>
                <w:rFonts w:ascii="Times New Roman" w:hAnsi="Times New Roman"/>
                <w:sz w:val="20"/>
                <w:szCs w:val="20"/>
              </w:rPr>
            </w:pPr>
          </w:p>
        </w:tc>
      </w:tr>
      <w:tr w:rsidR="00BB68E1" w14:paraId="42A13D16" w14:textId="77777777">
        <w:trPr>
          <w:jc w:val="center"/>
        </w:trPr>
        <w:tc>
          <w:tcPr>
            <w:tcW w:w="0" w:type="auto"/>
            <w:shd w:val="clear" w:color="auto" w:fill="CCEEFF"/>
            <w:tcMar>
              <w:top w:w="40" w:type="dxa"/>
              <w:left w:w="560" w:type="dxa"/>
              <w:bottom w:w="40" w:type="dxa"/>
              <w:right w:w="40" w:type="dxa"/>
            </w:tcMar>
            <w:vAlign w:val="center"/>
          </w:tcPr>
          <w:p w14:paraId="42A13D0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Home and apparel</w:t>
            </w:r>
          </w:p>
        </w:tc>
        <w:tc>
          <w:tcPr>
            <w:tcW w:w="0" w:type="auto"/>
            <w:shd w:val="clear" w:color="auto" w:fill="CCEEFF"/>
            <w:tcMar>
              <w:top w:w="40" w:type="dxa"/>
              <w:left w:w="40" w:type="dxa"/>
              <w:bottom w:w="40" w:type="dxa"/>
              <w:right w:w="40" w:type="dxa"/>
            </w:tcMar>
            <w:vAlign w:val="bottom"/>
          </w:tcPr>
          <w:p w14:paraId="42A13D1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D11"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5,478</w:t>
            </w:r>
          </w:p>
        </w:tc>
        <w:tc>
          <w:tcPr>
            <w:tcW w:w="0" w:type="auto"/>
            <w:shd w:val="clear" w:color="auto" w:fill="CCEEFF"/>
            <w:vAlign w:val="bottom"/>
          </w:tcPr>
          <w:p w14:paraId="42A13D1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1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D14"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5,452</w:t>
            </w:r>
          </w:p>
        </w:tc>
        <w:tc>
          <w:tcPr>
            <w:tcW w:w="0" w:type="auto"/>
            <w:shd w:val="clear" w:color="auto" w:fill="CCEEFF"/>
            <w:vAlign w:val="bottom"/>
          </w:tcPr>
          <w:p w14:paraId="42A13D15" w14:textId="77777777" w:rsidR="00BB68E1" w:rsidRDefault="00BB68E1">
            <w:pPr>
              <w:textAlignment w:val="bottom"/>
              <w:rPr>
                <w:rFonts w:ascii="Times New Roman" w:hAnsi="Times New Roman"/>
                <w:sz w:val="20"/>
                <w:szCs w:val="20"/>
              </w:rPr>
            </w:pPr>
          </w:p>
        </w:tc>
      </w:tr>
      <w:tr w:rsidR="00BB68E1" w14:paraId="42A13D1E" w14:textId="77777777">
        <w:trPr>
          <w:jc w:val="center"/>
        </w:trPr>
        <w:tc>
          <w:tcPr>
            <w:tcW w:w="0" w:type="auto"/>
            <w:shd w:val="clear" w:color="auto" w:fill="auto"/>
            <w:tcMar>
              <w:top w:w="40" w:type="dxa"/>
              <w:left w:w="560" w:type="dxa"/>
              <w:bottom w:w="40" w:type="dxa"/>
              <w:right w:w="40" w:type="dxa"/>
            </w:tcMar>
            <w:vAlign w:val="bottom"/>
          </w:tcPr>
          <w:p w14:paraId="42A13D1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Health and wellness</w:t>
            </w:r>
          </w:p>
        </w:tc>
        <w:tc>
          <w:tcPr>
            <w:tcW w:w="0" w:type="auto"/>
            <w:shd w:val="clear" w:color="auto" w:fill="auto"/>
            <w:tcMar>
              <w:top w:w="40" w:type="dxa"/>
              <w:left w:w="40" w:type="dxa"/>
              <w:bottom w:w="40" w:type="dxa"/>
              <w:right w:w="40" w:type="dxa"/>
            </w:tcMar>
            <w:vAlign w:val="bottom"/>
          </w:tcPr>
          <w:p w14:paraId="42A13D1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D1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3,371</w:t>
            </w:r>
          </w:p>
        </w:tc>
        <w:tc>
          <w:tcPr>
            <w:tcW w:w="0" w:type="auto"/>
            <w:shd w:val="clear" w:color="auto" w:fill="auto"/>
            <w:vAlign w:val="bottom"/>
          </w:tcPr>
          <w:p w14:paraId="42A13D1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D1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D1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3,181</w:t>
            </w:r>
          </w:p>
        </w:tc>
        <w:tc>
          <w:tcPr>
            <w:tcW w:w="0" w:type="auto"/>
            <w:shd w:val="clear" w:color="auto" w:fill="auto"/>
            <w:vAlign w:val="bottom"/>
          </w:tcPr>
          <w:p w14:paraId="42A13D1D" w14:textId="77777777" w:rsidR="00BB68E1" w:rsidRDefault="00BB68E1">
            <w:pPr>
              <w:textAlignment w:val="bottom"/>
              <w:rPr>
                <w:rFonts w:ascii="Times New Roman" w:hAnsi="Times New Roman"/>
                <w:sz w:val="20"/>
                <w:szCs w:val="20"/>
              </w:rPr>
            </w:pPr>
          </w:p>
        </w:tc>
      </w:tr>
      <w:tr w:rsidR="00BB68E1" w14:paraId="42A13D26" w14:textId="77777777">
        <w:trPr>
          <w:jc w:val="center"/>
        </w:trPr>
        <w:tc>
          <w:tcPr>
            <w:tcW w:w="0" w:type="auto"/>
            <w:shd w:val="clear" w:color="auto" w:fill="CCEEFF"/>
            <w:tcMar>
              <w:top w:w="40" w:type="dxa"/>
              <w:left w:w="560" w:type="dxa"/>
              <w:bottom w:w="40" w:type="dxa"/>
              <w:right w:w="40" w:type="dxa"/>
            </w:tcMar>
            <w:vAlign w:val="center"/>
          </w:tcPr>
          <w:p w14:paraId="42A13D1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Technology, office and </w:t>
            </w:r>
            <w:r>
              <w:rPr>
                <w:rFonts w:ascii="Times New Roman" w:eastAsia="宋体" w:hAnsi="Times New Roman"/>
                <w:sz w:val="16"/>
                <w:szCs w:val="16"/>
              </w:rPr>
              <w:t>entertainment</w:t>
            </w:r>
          </w:p>
        </w:tc>
        <w:tc>
          <w:tcPr>
            <w:tcW w:w="0" w:type="auto"/>
            <w:shd w:val="clear" w:color="auto" w:fill="CCEEFF"/>
            <w:tcMar>
              <w:top w:w="40" w:type="dxa"/>
              <w:left w:w="40" w:type="dxa"/>
              <w:bottom w:w="40" w:type="dxa"/>
              <w:right w:w="40" w:type="dxa"/>
            </w:tcMar>
            <w:vAlign w:val="bottom"/>
          </w:tcPr>
          <w:p w14:paraId="42A13D2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2A13D2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3,319</w:t>
            </w:r>
          </w:p>
        </w:tc>
        <w:tc>
          <w:tcPr>
            <w:tcW w:w="0" w:type="auto"/>
            <w:tcBorders>
              <w:bottom w:val="single" w:sz="8" w:space="0" w:color="000000"/>
            </w:tcBorders>
            <w:shd w:val="clear" w:color="auto" w:fill="CCEEFF"/>
            <w:vAlign w:val="bottom"/>
          </w:tcPr>
          <w:p w14:paraId="42A13D2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2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D2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3,388</w:t>
            </w:r>
          </w:p>
        </w:tc>
        <w:tc>
          <w:tcPr>
            <w:tcW w:w="0" w:type="auto"/>
            <w:shd w:val="clear" w:color="auto" w:fill="CCEEFF"/>
            <w:vAlign w:val="bottom"/>
          </w:tcPr>
          <w:p w14:paraId="42A13D25" w14:textId="77777777" w:rsidR="00BB68E1" w:rsidRDefault="00BB68E1">
            <w:pPr>
              <w:textAlignment w:val="bottom"/>
              <w:rPr>
                <w:rFonts w:ascii="Times New Roman" w:hAnsi="Times New Roman"/>
                <w:sz w:val="20"/>
                <w:szCs w:val="20"/>
              </w:rPr>
            </w:pPr>
          </w:p>
        </w:tc>
      </w:tr>
      <w:tr w:rsidR="00BB68E1" w14:paraId="42A13D30" w14:textId="77777777">
        <w:trPr>
          <w:jc w:val="center"/>
        </w:trPr>
        <w:tc>
          <w:tcPr>
            <w:tcW w:w="0" w:type="auto"/>
            <w:shd w:val="clear" w:color="auto" w:fill="auto"/>
            <w:tcMar>
              <w:top w:w="40" w:type="dxa"/>
              <w:left w:w="40" w:type="dxa"/>
              <w:bottom w:w="40" w:type="dxa"/>
              <w:right w:w="40" w:type="dxa"/>
            </w:tcMar>
            <w:vAlign w:val="center"/>
          </w:tcPr>
          <w:p w14:paraId="42A13D27" w14:textId="77777777" w:rsidR="00BB68E1" w:rsidRDefault="005D2D5E">
            <w:pPr>
              <w:textAlignment w:val="center"/>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auto"/>
            <w:tcMar>
              <w:top w:w="40" w:type="dxa"/>
              <w:left w:w="40" w:type="dxa"/>
              <w:bottom w:w="40" w:type="dxa"/>
              <w:right w:w="40" w:type="dxa"/>
            </w:tcMar>
            <w:vAlign w:val="bottom"/>
          </w:tcPr>
          <w:p w14:paraId="42A13D2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2A13D2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2A13D2A"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58,792</w:t>
            </w:r>
          </w:p>
        </w:tc>
        <w:tc>
          <w:tcPr>
            <w:tcW w:w="0" w:type="auto"/>
            <w:tcBorders>
              <w:top w:val="single" w:sz="8" w:space="0" w:color="000000"/>
              <w:bottom w:val="double" w:sz="6" w:space="0" w:color="000000"/>
            </w:tcBorders>
            <w:shd w:val="clear" w:color="auto" w:fill="auto"/>
            <w:vAlign w:val="bottom"/>
          </w:tcPr>
          <w:p w14:paraId="42A13D2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D2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2A13D2D"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2A13D2E"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57,839</w:t>
            </w:r>
          </w:p>
        </w:tc>
        <w:tc>
          <w:tcPr>
            <w:tcW w:w="0" w:type="auto"/>
            <w:tcBorders>
              <w:top w:val="single" w:sz="8" w:space="0" w:color="000000"/>
              <w:bottom w:val="double" w:sz="6" w:space="0" w:color="000000"/>
            </w:tcBorders>
            <w:shd w:val="clear" w:color="auto" w:fill="auto"/>
            <w:vAlign w:val="bottom"/>
          </w:tcPr>
          <w:p w14:paraId="42A13D2F" w14:textId="77777777" w:rsidR="00BB68E1" w:rsidRDefault="00BB68E1">
            <w:pPr>
              <w:textAlignment w:val="bottom"/>
              <w:rPr>
                <w:rFonts w:ascii="Times New Roman" w:hAnsi="Times New Roman"/>
                <w:sz w:val="20"/>
                <w:szCs w:val="20"/>
              </w:rPr>
            </w:pPr>
          </w:p>
        </w:tc>
      </w:tr>
    </w:tbl>
    <w:p w14:paraId="42A13D31" w14:textId="77777777" w:rsidR="00BB68E1" w:rsidRDefault="00BB68E1">
      <w:pPr>
        <w:spacing w:line="288" w:lineRule="auto"/>
        <w:jc w:val="center"/>
        <w:rPr>
          <w:rFonts w:ascii="Times New Roman" w:hAnsi="Times New Roman"/>
          <w:sz w:val="20"/>
          <w:szCs w:val="20"/>
        </w:rPr>
      </w:pPr>
    </w:p>
    <w:p w14:paraId="42A13D3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Of Sam's Club's total net sales, approximately $3.6 billion and $2.7 billion related to eCommerce for fiscal 2020 and fiscal 2019, respectively. </w:t>
      </w:r>
    </w:p>
    <w:p w14:paraId="42A13D33" w14:textId="77777777" w:rsidR="00BB68E1" w:rsidRDefault="00BB68E1">
      <w:pPr>
        <w:rPr>
          <w:rFonts w:ascii="Times New Roman" w:hAnsi="Times New Roman"/>
          <w:sz w:val="20"/>
          <w:szCs w:val="20"/>
        </w:rPr>
      </w:pPr>
    </w:p>
    <w:p w14:paraId="42A13D34"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76</w:t>
      </w:r>
    </w:p>
    <w:p w14:paraId="42A13D35" w14:textId="77777777" w:rsidR="00BB68E1" w:rsidRDefault="00BB68E1">
      <w:pPr>
        <w:spacing w:line="288" w:lineRule="auto"/>
        <w:jc w:val="center"/>
        <w:rPr>
          <w:rFonts w:ascii="Times New Roman" w:hAnsi="Times New Roman"/>
          <w:sz w:val="20"/>
          <w:szCs w:val="20"/>
        </w:rPr>
      </w:pPr>
    </w:p>
    <w:p w14:paraId="42A13D36" w14:textId="77777777" w:rsidR="00BB68E1" w:rsidRDefault="005D2D5E">
      <w:r>
        <w:rPr>
          <w:rFonts w:ascii="Times New Roman" w:hAnsi="Times New Roman"/>
          <w:sz w:val="20"/>
          <w:szCs w:val="20"/>
        </w:rPr>
        <w:pict w14:anchorId="42A142C3">
          <v:rect id="_x0000_i1100" style="width:415.3pt;height:1.5pt" o:hralign="center" o:hrstd="t" o:hr="t" fillcolor="#a0a0a0" stroked="f"/>
        </w:pict>
      </w:r>
    </w:p>
    <w:p w14:paraId="42A13D37" w14:textId="77777777" w:rsidR="00BB68E1" w:rsidRDefault="00BB68E1">
      <w:pPr>
        <w:spacing w:line="288" w:lineRule="auto"/>
        <w:rPr>
          <w:rFonts w:ascii="Times New Roman" w:hAnsi="Times New Roman"/>
          <w:sz w:val="20"/>
          <w:szCs w:val="20"/>
        </w:rPr>
      </w:pPr>
    </w:p>
    <w:p w14:paraId="42A13D38" w14:textId="77777777" w:rsidR="00BB68E1" w:rsidRDefault="00BB68E1">
      <w:pPr>
        <w:rPr>
          <w:rFonts w:ascii="Times New Roman" w:hAnsi="Times New Roman"/>
          <w:sz w:val="20"/>
          <w:szCs w:val="20"/>
        </w:rPr>
      </w:pPr>
    </w:p>
    <w:p w14:paraId="42A13D39"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Note 14. Subsequent Event</w:t>
      </w:r>
    </w:p>
    <w:p w14:paraId="42A13D3A" w14:textId="77777777" w:rsidR="00BB68E1" w:rsidRDefault="005D2D5E">
      <w:pPr>
        <w:spacing w:line="288" w:lineRule="auto"/>
        <w:rPr>
          <w:rFonts w:ascii="Times New Roman" w:hAnsi="Times New Roman"/>
          <w:sz w:val="20"/>
          <w:szCs w:val="20"/>
        </w:rPr>
      </w:pPr>
      <w:r>
        <w:rPr>
          <w:rFonts w:ascii="Times New Roman" w:eastAsia="宋体" w:hAnsi="Times New Roman"/>
          <w:i/>
          <w:iCs/>
          <w:sz w:val="20"/>
          <w:szCs w:val="20"/>
        </w:rPr>
        <w:t>Dividends Declared</w:t>
      </w:r>
    </w:p>
    <w:p w14:paraId="42A13D3B"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Board of Directors approved, effective </w:t>
      </w:r>
      <w:r>
        <w:rPr>
          <w:rFonts w:ascii="Times New Roman" w:eastAsia="宋体" w:hAnsi="Times New Roman"/>
          <w:sz w:val="20"/>
          <w:szCs w:val="20"/>
        </w:rPr>
        <w:t>February 18, 2020, the fiscal 2021 annual dividend of $2.16 per share, an increase over the fiscal 2020 dividend of $2.12 per share. For fiscal 2021, the annual dividend will be paid in four quarterly installments of $0.54 per share, according to the follo</w:t>
      </w:r>
      <w:r>
        <w:rPr>
          <w:rFonts w:ascii="Times New Roman" w:eastAsia="宋体" w:hAnsi="Times New Roman"/>
          <w:sz w:val="20"/>
          <w:szCs w:val="20"/>
        </w:rPr>
        <w:t>wing record and payable dates:</w:t>
      </w:r>
    </w:p>
    <w:tbl>
      <w:tblPr>
        <w:tblW w:w="5000" w:type="pct"/>
        <w:tblCellMar>
          <w:left w:w="0" w:type="dxa"/>
          <w:right w:w="0" w:type="dxa"/>
        </w:tblCellMar>
        <w:tblLook w:val="04A0" w:firstRow="1" w:lastRow="0" w:firstColumn="1" w:lastColumn="0" w:noHBand="0" w:noVBand="1"/>
      </w:tblPr>
      <w:tblGrid>
        <w:gridCol w:w="5731"/>
        <w:gridCol w:w="166"/>
        <w:gridCol w:w="2409"/>
      </w:tblGrid>
      <w:tr w:rsidR="00BB68E1" w14:paraId="42A13D3D" w14:textId="77777777">
        <w:tc>
          <w:tcPr>
            <w:tcW w:w="0" w:type="auto"/>
            <w:gridSpan w:val="3"/>
            <w:shd w:val="clear" w:color="auto" w:fill="auto"/>
            <w:vAlign w:val="center"/>
          </w:tcPr>
          <w:p w14:paraId="42A13D3C" w14:textId="77777777" w:rsidR="00BB68E1" w:rsidRDefault="00BB68E1">
            <w:pPr>
              <w:rPr>
                <w:rFonts w:ascii="Times New Roman" w:hAnsi="Times New Roman"/>
                <w:sz w:val="20"/>
                <w:szCs w:val="20"/>
              </w:rPr>
            </w:pPr>
          </w:p>
        </w:tc>
      </w:tr>
      <w:tr w:rsidR="00BB68E1" w14:paraId="42A13D41" w14:textId="77777777">
        <w:tc>
          <w:tcPr>
            <w:tcW w:w="3449" w:type="pct"/>
            <w:shd w:val="clear" w:color="auto" w:fill="auto"/>
            <w:vAlign w:val="center"/>
          </w:tcPr>
          <w:p w14:paraId="42A13D3E" w14:textId="77777777" w:rsidR="00BB68E1" w:rsidRDefault="00BB68E1">
            <w:pPr>
              <w:rPr>
                <w:rFonts w:ascii="Times New Roman" w:hAnsi="Times New Roman"/>
                <w:sz w:val="20"/>
                <w:szCs w:val="20"/>
              </w:rPr>
            </w:pPr>
          </w:p>
        </w:tc>
        <w:tc>
          <w:tcPr>
            <w:tcW w:w="100" w:type="pct"/>
            <w:shd w:val="clear" w:color="auto" w:fill="auto"/>
            <w:vAlign w:val="center"/>
          </w:tcPr>
          <w:p w14:paraId="42A13D3F" w14:textId="77777777" w:rsidR="00BB68E1" w:rsidRDefault="00BB68E1">
            <w:pPr>
              <w:rPr>
                <w:rFonts w:ascii="Times New Roman" w:hAnsi="Times New Roman"/>
                <w:sz w:val="20"/>
                <w:szCs w:val="20"/>
              </w:rPr>
            </w:pPr>
          </w:p>
        </w:tc>
        <w:tc>
          <w:tcPr>
            <w:tcW w:w="1450" w:type="pct"/>
            <w:shd w:val="clear" w:color="auto" w:fill="auto"/>
            <w:vAlign w:val="center"/>
          </w:tcPr>
          <w:p w14:paraId="42A13D40" w14:textId="77777777" w:rsidR="00BB68E1" w:rsidRDefault="00BB68E1">
            <w:pPr>
              <w:rPr>
                <w:rFonts w:ascii="Times New Roman" w:hAnsi="Times New Roman"/>
                <w:sz w:val="20"/>
                <w:szCs w:val="20"/>
              </w:rPr>
            </w:pPr>
          </w:p>
        </w:tc>
      </w:tr>
      <w:tr w:rsidR="00BB68E1" w14:paraId="42A13D4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42A13D42"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Record Date</w:t>
            </w:r>
          </w:p>
        </w:tc>
        <w:tc>
          <w:tcPr>
            <w:tcW w:w="0" w:type="auto"/>
            <w:shd w:val="clear" w:color="auto" w:fill="auto"/>
            <w:tcMar>
              <w:top w:w="40" w:type="dxa"/>
              <w:left w:w="40" w:type="dxa"/>
              <w:bottom w:w="40" w:type="dxa"/>
              <w:right w:w="40" w:type="dxa"/>
            </w:tcMar>
            <w:vAlign w:val="bottom"/>
          </w:tcPr>
          <w:p w14:paraId="42A13D4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3D44" w14:textId="77777777" w:rsidR="00BB68E1" w:rsidRDefault="005D2D5E">
            <w:pPr>
              <w:textAlignment w:val="bottom"/>
              <w:rPr>
                <w:rFonts w:ascii="Times New Roman" w:hAnsi="Times New Roman"/>
                <w:sz w:val="16"/>
                <w:szCs w:val="16"/>
              </w:rPr>
            </w:pPr>
            <w:r>
              <w:rPr>
                <w:rFonts w:ascii="Times New Roman" w:eastAsia="宋体" w:hAnsi="Times New Roman"/>
                <w:b/>
                <w:bCs/>
                <w:sz w:val="16"/>
                <w:szCs w:val="16"/>
              </w:rPr>
              <w:t>Payable Date</w:t>
            </w:r>
          </w:p>
        </w:tc>
      </w:tr>
      <w:tr w:rsidR="00BB68E1" w14:paraId="42A13D49" w14:textId="77777777">
        <w:tc>
          <w:tcPr>
            <w:tcW w:w="0" w:type="auto"/>
            <w:tcBorders>
              <w:top w:val="single" w:sz="8" w:space="0" w:color="000000"/>
            </w:tcBorders>
            <w:shd w:val="clear" w:color="auto" w:fill="CCEEFF"/>
            <w:tcMar>
              <w:top w:w="40" w:type="dxa"/>
              <w:left w:w="40" w:type="dxa"/>
              <w:bottom w:w="40" w:type="dxa"/>
              <w:right w:w="40" w:type="dxa"/>
            </w:tcMar>
            <w:vAlign w:val="center"/>
          </w:tcPr>
          <w:p w14:paraId="42A13D4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March 20, 2020</w:t>
            </w:r>
          </w:p>
        </w:tc>
        <w:tc>
          <w:tcPr>
            <w:tcW w:w="0" w:type="auto"/>
            <w:shd w:val="clear" w:color="auto" w:fill="CCEEFF"/>
            <w:tcMar>
              <w:top w:w="40" w:type="dxa"/>
              <w:left w:w="40" w:type="dxa"/>
              <w:bottom w:w="40" w:type="dxa"/>
              <w:right w:w="40" w:type="dxa"/>
            </w:tcMar>
            <w:vAlign w:val="center"/>
          </w:tcPr>
          <w:p w14:paraId="42A13D4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tcBorders>
              <w:top w:val="single" w:sz="8" w:space="0" w:color="000000"/>
            </w:tcBorders>
            <w:shd w:val="clear" w:color="auto" w:fill="CCEEFF"/>
            <w:tcMar>
              <w:top w:w="40" w:type="dxa"/>
              <w:left w:w="40" w:type="dxa"/>
              <w:bottom w:w="40" w:type="dxa"/>
              <w:right w:w="40" w:type="dxa"/>
            </w:tcMar>
            <w:vAlign w:val="center"/>
          </w:tcPr>
          <w:p w14:paraId="42A13D4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April 6, 2020</w:t>
            </w:r>
          </w:p>
        </w:tc>
      </w:tr>
      <w:tr w:rsidR="00BB68E1" w14:paraId="42A13D4D" w14:textId="77777777">
        <w:tc>
          <w:tcPr>
            <w:tcW w:w="0" w:type="auto"/>
            <w:shd w:val="clear" w:color="auto" w:fill="auto"/>
            <w:tcMar>
              <w:top w:w="40" w:type="dxa"/>
              <w:left w:w="40" w:type="dxa"/>
              <w:bottom w:w="40" w:type="dxa"/>
              <w:right w:w="40" w:type="dxa"/>
            </w:tcMar>
            <w:vAlign w:val="center"/>
          </w:tcPr>
          <w:p w14:paraId="42A13D4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May 8, 2020</w:t>
            </w:r>
          </w:p>
        </w:tc>
        <w:tc>
          <w:tcPr>
            <w:tcW w:w="0" w:type="auto"/>
            <w:shd w:val="clear" w:color="auto" w:fill="auto"/>
            <w:tcMar>
              <w:top w:w="40" w:type="dxa"/>
              <w:left w:w="40" w:type="dxa"/>
              <w:bottom w:w="40" w:type="dxa"/>
              <w:right w:w="40" w:type="dxa"/>
            </w:tcMar>
            <w:vAlign w:val="center"/>
          </w:tcPr>
          <w:p w14:paraId="42A13D4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42A13D4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June 1, 2020</w:t>
            </w:r>
          </w:p>
        </w:tc>
      </w:tr>
      <w:tr w:rsidR="00BB68E1" w14:paraId="42A13D51" w14:textId="77777777">
        <w:tc>
          <w:tcPr>
            <w:tcW w:w="0" w:type="auto"/>
            <w:shd w:val="clear" w:color="auto" w:fill="CCEEFF"/>
            <w:tcMar>
              <w:top w:w="40" w:type="dxa"/>
              <w:left w:w="40" w:type="dxa"/>
              <w:bottom w:w="40" w:type="dxa"/>
              <w:right w:w="40" w:type="dxa"/>
            </w:tcMar>
            <w:vAlign w:val="center"/>
          </w:tcPr>
          <w:p w14:paraId="42A13D4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August 14, 2020</w:t>
            </w:r>
          </w:p>
        </w:tc>
        <w:tc>
          <w:tcPr>
            <w:tcW w:w="0" w:type="auto"/>
            <w:shd w:val="clear" w:color="auto" w:fill="CCEEFF"/>
            <w:tcMar>
              <w:top w:w="40" w:type="dxa"/>
              <w:left w:w="40" w:type="dxa"/>
              <w:bottom w:w="40" w:type="dxa"/>
              <w:right w:w="40" w:type="dxa"/>
            </w:tcMar>
            <w:vAlign w:val="center"/>
          </w:tcPr>
          <w:p w14:paraId="42A13D4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center"/>
          </w:tcPr>
          <w:p w14:paraId="42A13D5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September 8, 2020</w:t>
            </w:r>
          </w:p>
        </w:tc>
      </w:tr>
      <w:tr w:rsidR="00BB68E1" w14:paraId="42A13D55" w14:textId="77777777">
        <w:tc>
          <w:tcPr>
            <w:tcW w:w="0" w:type="auto"/>
            <w:shd w:val="clear" w:color="auto" w:fill="auto"/>
            <w:tcMar>
              <w:top w:w="40" w:type="dxa"/>
              <w:left w:w="40" w:type="dxa"/>
              <w:bottom w:w="40" w:type="dxa"/>
              <w:right w:w="40" w:type="dxa"/>
            </w:tcMar>
            <w:vAlign w:val="center"/>
          </w:tcPr>
          <w:p w14:paraId="42A13D5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December 11, 2020</w:t>
            </w:r>
          </w:p>
        </w:tc>
        <w:tc>
          <w:tcPr>
            <w:tcW w:w="0" w:type="auto"/>
            <w:shd w:val="clear" w:color="auto" w:fill="auto"/>
            <w:tcMar>
              <w:top w:w="40" w:type="dxa"/>
              <w:left w:w="40" w:type="dxa"/>
              <w:bottom w:w="40" w:type="dxa"/>
              <w:right w:w="40" w:type="dxa"/>
            </w:tcMar>
            <w:vAlign w:val="center"/>
          </w:tcPr>
          <w:p w14:paraId="42A13D5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42A13D54"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January 4, 2021</w:t>
            </w:r>
          </w:p>
        </w:tc>
      </w:tr>
    </w:tbl>
    <w:p w14:paraId="42A13D56" w14:textId="77777777" w:rsidR="00BB68E1" w:rsidRDefault="00BB68E1">
      <w:pPr>
        <w:spacing w:line="288" w:lineRule="auto"/>
        <w:rPr>
          <w:rFonts w:ascii="Times New Roman" w:hAnsi="Times New Roman"/>
          <w:sz w:val="20"/>
          <w:szCs w:val="20"/>
        </w:rPr>
      </w:pPr>
    </w:p>
    <w:p w14:paraId="42A13D57"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 xml:space="preserve">Note 15. Quarterly Financial Data </w:t>
      </w:r>
      <w:r>
        <w:rPr>
          <w:rFonts w:ascii="Times New Roman" w:eastAsia="宋体" w:hAnsi="Times New Roman"/>
          <w:b/>
          <w:bCs/>
          <w:sz w:val="20"/>
          <w:szCs w:val="20"/>
        </w:rPr>
        <w:t>(Unaudited)</w:t>
      </w:r>
    </w:p>
    <w:tbl>
      <w:tblPr>
        <w:tblW w:w="5000" w:type="pct"/>
        <w:tblCellMar>
          <w:left w:w="0" w:type="dxa"/>
          <w:right w:w="0" w:type="dxa"/>
        </w:tblCellMar>
        <w:tblLook w:val="04A0" w:firstRow="1" w:lastRow="0" w:firstColumn="1" w:lastColumn="0" w:noHBand="0" w:noVBand="1"/>
      </w:tblPr>
      <w:tblGrid>
        <w:gridCol w:w="4110"/>
        <w:gridCol w:w="130"/>
        <w:gridCol w:w="120"/>
        <w:gridCol w:w="538"/>
        <w:gridCol w:w="40"/>
        <w:gridCol w:w="130"/>
        <w:gridCol w:w="120"/>
        <w:gridCol w:w="538"/>
        <w:gridCol w:w="94"/>
        <w:gridCol w:w="130"/>
        <w:gridCol w:w="120"/>
        <w:gridCol w:w="538"/>
        <w:gridCol w:w="40"/>
        <w:gridCol w:w="130"/>
        <w:gridCol w:w="120"/>
        <w:gridCol w:w="538"/>
        <w:gridCol w:w="40"/>
        <w:gridCol w:w="130"/>
        <w:gridCol w:w="120"/>
        <w:gridCol w:w="539"/>
        <w:gridCol w:w="41"/>
      </w:tblGrid>
      <w:tr w:rsidR="00BB68E1" w14:paraId="42A13D59" w14:textId="77777777">
        <w:tc>
          <w:tcPr>
            <w:tcW w:w="0" w:type="auto"/>
            <w:gridSpan w:val="21"/>
            <w:shd w:val="clear" w:color="auto" w:fill="auto"/>
            <w:vAlign w:val="center"/>
          </w:tcPr>
          <w:p w14:paraId="42A13D58" w14:textId="77777777" w:rsidR="00BB68E1" w:rsidRDefault="00BB68E1">
            <w:pPr>
              <w:rPr>
                <w:rFonts w:ascii="Times New Roman" w:hAnsi="Times New Roman"/>
                <w:sz w:val="20"/>
                <w:szCs w:val="20"/>
              </w:rPr>
            </w:pPr>
          </w:p>
        </w:tc>
      </w:tr>
      <w:tr w:rsidR="00BB68E1" w14:paraId="42A13D6F" w14:textId="77777777">
        <w:tc>
          <w:tcPr>
            <w:tcW w:w="2500" w:type="pct"/>
            <w:shd w:val="clear" w:color="auto" w:fill="auto"/>
            <w:vAlign w:val="center"/>
          </w:tcPr>
          <w:p w14:paraId="42A13D5A" w14:textId="77777777" w:rsidR="00BB68E1" w:rsidRDefault="00BB68E1">
            <w:pPr>
              <w:rPr>
                <w:rFonts w:ascii="Times New Roman" w:hAnsi="Times New Roman"/>
                <w:sz w:val="20"/>
                <w:szCs w:val="20"/>
              </w:rPr>
            </w:pPr>
          </w:p>
        </w:tc>
        <w:tc>
          <w:tcPr>
            <w:tcW w:w="50" w:type="pct"/>
            <w:shd w:val="clear" w:color="auto" w:fill="auto"/>
            <w:vAlign w:val="center"/>
          </w:tcPr>
          <w:p w14:paraId="42A13D5B" w14:textId="77777777" w:rsidR="00BB68E1" w:rsidRDefault="00BB68E1">
            <w:pPr>
              <w:rPr>
                <w:rFonts w:ascii="Times New Roman" w:hAnsi="Times New Roman"/>
                <w:sz w:val="20"/>
                <w:szCs w:val="20"/>
              </w:rPr>
            </w:pPr>
          </w:p>
        </w:tc>
        <w:tc>
          <w:tcPr>
            <w:tcW w:w="50" w:type="pct"/>
            <w:shd w:val="clear" w:color="auto" w:fill="auto"/>
            <w:vAlign w:val="center"/>
          </w:tcPr>
          <w:p w14:paraId="42A13D5C" w14:textId="77777777" w:rsidR="00BB68E1" w:rsidRDefault="00BB68E1">
            <w:pPr>
              <w:rPr>
                <w:rFonts w:ascii="Times New Roman" w:hAnsi="Times New Roman"/>
                <w:sz w:val="20"/>
                <w:szCs w:val="20"/>
              </w:rPr>
            </w:pPr>
          </w:p>
        </w:tc>
        <w:tc>
          <w:tcPr>
            <w:tcW w:w="350" w:type="pct"/>
            <w:shd w:val="clear" w:color="auto" w:fill="auto"/>
            <w:vAlign w:val="center"/>
          </w:tcPr>
          <w:p w14:paraId="42A13D5D" w14:textId="77777777" w:rsidR="00BB68E1" w:rsidRDefault="00BB68E1">
            <w:pPr>
              <w:rPr>
                <w:rFonts w:ascii="Times New Roman" w:hAnsi="Times New Roman"/>
                <w:sz w:val="20"/>
                <w:szCs w:val="20"/>
              </w:rPr>
            </w:pPr>
          </w:p>
        </w:tc>
        <w:tc>
          <w:tcPr>
            <w:tcW w:w="50" w:type="pct"/>
            <w:shd w:val="clear" w:color="auto" w:fill="auto"/>
            <w:vAlign w:val="center"/>
          </w:tcPr>
          <w:p w14:paraId="42A13D5E" w14:textId="77777777" w:rsidR="00BB68E1" w:rsidRDefault="00BB68E1">
            <w:pPr>
              <w:rPr>
                <w:rFonts w:ascii="Times New Roman" w:hAnsi="Times New Roman"/>
                <w:sz w:val="20"/>
                <w:szCs w:val="20"/>
              </w:rPr>
            </w:pPr>
          </w:p>
        </w:tc>
        <w:tc>
          <w:tcPr>
            <w:tcW w:w="50" w:type="pct"/>
            <w:shd w:val="clear" w:color="auto" w:fill="auto"/>
            <w:vAlign w:val="center"/>
          </w:tcPr>
          <w:p w14:paraId="42A13D5F" w14:textId="77777777" w:rsidR="00BB68E1" w:rsidRDefault="00BB68E1">
            <w:pPr>
              <w:rPr>
                <w:rFonts w:ascii="Times New Roman" w:hAnsi="Times New Roman"/>
                <w:sz w:val="20"/>
                <w:szCs w:val="20"/>
              </w:rPr>
            </w:pPr>
          </w:p>
        </w:tc>
        <w:tc>
          <w:tcPr>
            <w:tcW w:w="50" w:type="pct"/>
            <w:shd w:val="clear" w:color="auto" w:fill="auto"/>
            <w:vAlign w:val="center"/>
          </w:tcPr>
          <w:p w14:paraId="42A13D60" w14:textId="77777777" w:rsidR="00BB68E1" w:rsidRDefault="00BB68E1">
            <w:pPr>
              <w:rPr>
                <w:rFonts w:ascii="Times New Roman" w:hAnsi="Times New Roman"/>
                <w:sz w:val="20"/>
                <w:szCs w:val="20"/>
              </w:rPr>
            </w:pPr>
          </w:p>
        </w:tc>
        <w:tc>
          <w:tcPr>
            <w:tcW w:w="350" w:type="pct"/>
            <w:shd w:val="clear" w:color="auto" w:fill="auto"/>
            <w:vAlign w:val="center"/>
          </w:tcPr>
          <w:p w14:paraId="42A13D61" w14:textId="77777777" w:rsidR="00BB68E1" w:rsidRDefault="00BB68E1">
            <w:pPr>
              <w:rPr>
                <w:rFonts w:ascii="Times New Roman" w:hAnsi="Times New Roman"/>
                <w:sz w:val="20"/>
                <w:szCs w:val="20"/>
              </w:rPr>
            </w:pPr>
          </w:p>
        </w:tc>
        <w:tc>
          <w:tcPr>
            <w:tcW w:w="50" w:type="pct"/>
            <w:shd w:val="clear" w:color="auto" w:fill="auto"/>
            <w:vAlign w:val="center"/>
          </w:tcPr>
          <w:p w14:paraId="42A13D62" w14:textId="77777777" w:rsidR="00BB68E1" w:rsidRDefault="00BB68E1">
            <w:pPr>
              <w:rPr>
                <w:rFonts w:ascii="Times New Roman" w:hAnsi="Times New Roman"/>
                <w:sz w:val="20"/>
                <w:szCs w:val="20"/>
              </w:rPr>
            </w:pPr>
          </w:p>
        </w:tc>
        <w:tc>
          <w:tcPr>
            <w:tcW w:w="50" w:type="pct"/>
            <w:shd w:val="clear" w:color="auto" w:fill="auto"/>
            <w:vAlign w:val="center"/>
          </w:tcPr>
          <w:p w14:paraId="42A13D63" w14:textId="77777777" w:rsidR="00BB68E1" w:rsidRDefault="00BB68E1">
            <w:pPr>
              <w:rPr>
                <w:rFonts w:ascii="Times New Roman" w:hAnsi="Times New Roman"/>
                <w:sz w:val="20"/>
                <w:szCs w:val="20"/>
              </w:rPr>
            </w:pPr>
          </w:p>
        </w:tc>
        <w:tc>
          <w:tcPr>
            <w:tcW w:w="50" w:type="pct"/>
            <w:shd w:val="clear" w:color="auto" w:fill="auto"/>
            <w:vAlign w:val="center"/>
          </w:tcPr>
          <w:p w14:paraId="42A13D64" w14:textId="77777777" w:rsidR="00BB68E1" w:rsidRDefault="00BB68E1">
            <w:pPr>
              <w:rPr>
                <w:rFonts w:ascii="Times New Roman" w:hAnsi="Times New Roman"/>
                <w:sz w:val="20"/>
                <w:szCs w:val="20"/>
              </w:rPr>
            </w:pPr>
          </w:p>
        </w:tc>
        <w:tc>
          <w:tcPr>
            <w:tcW w:w="350" w:type="pct"/>
            <w:shd w:val="clear" w:color="auto" w:fill="auto"/>
            <w:vAlign w:val="center"/>
          </w:tcPr>
          <w:p w14:paraId="42A13D65" w14:textId="77777777" w:rsidR="00BB68E1" w:rsidRDefault="00BB68E1">
            <w:pPr>
              <w:rPr>
                <w:rFonts w:ascii="Times New Roman" w:hAnsi="Times New Roman"/>
                <w:sz w:val="20"/>
                <w:szCs w:val="20"/>
              </w:rPr>
            </w:pPr>
          </w:p>
        </w:tc>
        <w:tc>
          <w:tcPr>
            <w:tcW w:w="50" w:type="pct"/>
            <w:shd w:val="clear" w:color="auto" w:fill="auto"/>
            <w:vAlign w:val="center"/>
          </w:tcPr>
          <w:p w14:paraId="42A13D66" w14:textId="77777777" w:rsidR="00BB68E1" w:rsidRDefault="00BB68E1">
            <w:pPr>
              <w:rPr>
                <w:rFonts w:ascii="Times New Roman" w:hAnsi="Times New Roman"/>
                <w:sz w:val="20"/>
                <w:szCs w:val="20"/>
              </w:rPr>
            </w:pPr>
          </w:p>
        </w:tc>
        <w:tc>
          <w:tcPr>
            <w:tcW w:w="50" w:type="pct"/>
            <w:shd w:val="clear" w:color="auto" w:fill="auto"/>
            <w:vAlign w:val="center"/>
          </w:tcPr>
          <w:p w14:paraId="42A13D67" w14:textId="77777777" w:rsidR="00BB68E1" w:rsidRDefault="00BB68E1">
            <w:pPr>
              <w:rPr>
                <w:rFonts w:ascii="Times New Roman" w:hAnsi="Times New Roman"/>
                <w:sz w:val="20"/>
                <w:szCs w:val="20"/>
              </w:rPr>
            </w:pPr>
          </w:p>
        </w:tc>
        <w:tc>
          <w:tcPr>
            <w:tcW w:w="50" w:type="pct"/>
            <w:shd w:val="clear" w:color="auto" w:fill="auto"/>
            <w:vAlign w:val="center"/>
          </w:tcPr>
          <w:p w14:paraId="42A13D68" w14:textId="77777777" w:rsidR="00BB68E1" w:rsidRDefault="00BB68E1">
            <w:pPr>
              <w:rPr>
                <w:rFonts w:ascii="Times New Roman" w:hAnsi="Times New Roman"/>
                <w:sz w:val="20"/>
                <w:szCs w:val="20"/>
              </w:rPr>
            </w:pPr>
          </w:p>
        </w:tc>
        <w:tc>
          <w:tcPr>
            <w:tcW w:w="350" w:type="pct"/>
            <w:shd w:val="clear" w:color="auto" w:fill="auto"/>
            <w:vAlign w:val="center"/>
          </w:tcPr>
          <w:p w14:paraId="42A13D69" w14:textId="77777777" w:rsidR="00BB68E1" w:rsidRDefault="00BB68E1">
            <w:pPr>
              <w:rPr>
                <w:rFonts w:ascii="Times New Roman" w:hAnsi="Times New Roman"/>
                <w:sz w:val="20"/>
                <w:szCs w:val="20"/>
              </w:rPr>
            </w:pPr>
          </w:p>
        </w:tc>
        <w:tc>
          <w:tcPr>
            <w:tcW w:w="50" w:type="pct"/>
            <w:shd w:val="clear" w:color="auto" w:fill="auto"/>
            <w:vAlign w:val="center"/>
          </w:tcPr>
          <w:p w14:paraId="42A13D6A" w14:textId="77777777" w:rsidR="00BB68E1" w:rsidRDefault="00BB68E1">
            <w:pPr>
              <w:rPr>
                <w:rFonts w:ascii="Times New Roman" w:hAnsi="Times New Roman"/>
                <w:sz w:val="20"/>
                <w:szCs w:val="20"/>
              </w:rPr>
            </w:pPr>
          </w:p>
        </w:tc>
        <w:tc>
          <w:tcPr>
            <w:tcW w:w="50" w:type="pct"/>
            <w:shd w:val="clear" w:color="auto" w:fill="auto"/>
            <w:vAlign w:val="center"/>
          </w:tcPr>
          <w:p w14:paraId="42A13D6B" w14:textId="77777777" w:rsidR="00BB68E1" w:rsidRDefault="00BB68E1">
            <w:pPr>
              <w:rPr>
                <w:rFonts w:ascii="Times New Roman" w:hAnsi="Times New Roman"/>
                <w:sz w:val="20"/>
                <w:szCs w:val="20"/>
              </w:rPr>
            </w:pPr>
          </w:p>
        </w:tc>
        <w:tc>
          <w:tcPr>
            <w:tcW w:w="50" w:type="pct"/>
            <w:shd w:val="clear" w:color="auto" w:fill="auto"/>
            <w:vAlign w:val="center"/>
          </w:tcPr>
          <w:p w14:paraId="42A13D6C" w14:textId="77777777" w:rsidR="00BB68E1" w:rsidRDefault="00BB68E1">
            <w:pPr>
              <w:rPr>
                <w:rFonts w:ascii="Times New Roman" w:hAnsi="Times New Roman"/>
                <w:sz w:val="20"/>
                <w:szCs w:val="20"/>
              </w:rPr>
            </w:pPr>
          </w:p>
        </w:tc>
        <w:tc>
          <w:tcPr>
            <w:tcW w:w="350" w:type="pct"/>
            <w:shd w:val="clear" w:color="auto" w:fill="auto"/>
            <w:vAlign w:val="center"/>
          </w:tcPr>
          <w:p w14:paraId="42A13D6D" w14:textId="77777777" w:rsidR="00BB68E1" w:rsidRDefault="00BB68E1">
            <w:pPr>
              <w:rPr>
                <w:rFonts w:ascii="Times New Roman" w:hAnsi="Times New Roman"/>
                <w:sz w:val="20"/>
                <w:szCs w:val="20"/>
              </w:rPr>
            </w:pPr>
          </w:p>
        </w:tc>
        <w:tc>
          <w:tcPr>
            <w:tcW w:w="50" w:type="pct"/>
            <w:shd w:val="clear" w:color="auto" w:fill="auto"/>
            <w:vAlign w:val="center"/>
          </w:tcPr>
          <w:p w14:paraId="42A13D6E" w14:textId="77777777" w:rsidR="00BB68E1" w:rsidRDefault="00BB68E1">
            <w:pPr>
              <w:rPr>
                <w:rFonts w:ascii="Times New Roman" w:hAnsi="Times New Roman"/>
                <w:sz w:val="20"/>
                <w:szCs w:val="20"/>
              </w:rPr>
            </w:pPr>
          </w:p>
        </w:tc>
      </w:tr>
      <w:tr w:rsidR="00BB68E1" w14:paraId="42A13D73" w14:textId="77777777">
        <w:tc>
          <w:tcPr>
            <w:tcW w:w="0" w:type="auto"/>
            <w:shd w:val="clear" w:color="auto" w:fill="auto"/>
            <w:tcMar>
              <w:top w:w="40" w:type="dxa"/>
              <w:left w:w="40" w:type="dxa"/>
              <w:bottom w:w="40" w:type="dxa"/>
              <w:right w:w="40" w:type="dxa"/>
            </w:tcMar>
            <w:vAlign w:val="bottom"/>
          </w:tcPr>
          <w:p w14:paraId="42A13D7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D7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42A13D72"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Fiscal Year Ended January 31, 2020</w:t>
            </w:r>
          </w:p>
        </w:tc>
      </w:tr>
      <w:tr w:rsidR="00BB68E1" w14:paraId="42A13D7F" w14:textId="77777777">
        <w:tc>
          <w:tcPr>
            <w:tcW w:w="0" w:type="auto"/>
            <w:shd w:val="clear" w:color="auto" w:fill="auto"/>
            <w:tcMar>
              <w:top w:w="40" w:type="dxa"/>
              <w:left w:w="40" w:type="dxa"/>
              <w:bottom w:w="40" w:type="dxa"/>
              <w:right w:w="40" w:type="dxa"/>
            </w:tcMar>
            <w:vAlign w:val="bottom"/>
          </w:tcPr>
          <w:p w14:paraId="42A13D74" w14:textId="77777777" w:rsidR="00BB68E1" w:rsidRDefault="005D2D5E">
            <w:pPr>
              <w:textAlignment w:val="bottom"/>
              <w:rPr>
                <w:rFonts w:ascii="Times New Roman" w:hAnsi="Times New Roman"/>
                <w:sz w:val="16"/>
                <w:szCs w:val="16"/>
              </w:rPr>
            </w:pPr>
            <w:r>
              <w:rPr>
                <w:rFonts w:ascii="Times New Roman" w:eastAsia="宋体" w:hAnsi="Times New Roman"/>
                <w:i/>
                <w:iCs/>
                <w:sz w:val="16"/>
                <w:szCs w:val="16"/>
              </w:rPr>
              <w:t>(Amounts in millions, except per share data)</w:t>
            </w:r>
          </w:p>
        </w:tc>
        <w:tc>
          <w:tcPr>
            <w:tcW w:w="0" w:type="auto"/>
            <w:shd w:val="clear" w:color="auto" w:fill="auto"/>
            <w:tcMar>
              <w:top w:w="40" w:type="dxa"/>
              <w:left w:w="40" w:type="dxa"/>
              <w:bottom w:w="40" w:type="dxa"/>
              <w:right w:w="40" w:type="dxa"/>
            </w:tcMar>
            <w:vAlign w:val="bottom"/>
          </w:tcPr>
          <w:p w14:paraId="42A13D7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D76"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Q1</w:t>
            </w:r>
          </w:p>
        </w:tc>
        <w:tc>
          <w:tcPr>
            <w:tcW w:w="0" w:type="auto"/>
            <w:shd w:val="clear" w:color="auto" w:fill="auto"/>
            <w:tcMar>
              <w:top w:w="40" w:type="dxa"/>
              <w:left w:w="40" w:type="dxa"/>
              <w:bottom w:w="40" w:type="dxa"/>
              <w:right w:w="40" w:type="dxa"/>
            </w:tcMar>
            <w:vAlign w:val="bottom"/>
          </w:tcPr>
          <w:p w14:paraId="42A13D7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D78"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Q2</w:t>
            </w:r>
          </w:p>
        </w:tc>
        <w:tc>
          <w:tcPr>
            <w:tcW w:w="0" w:type="auto"/>
            <w:shd w:val="clear" w:color="auto" w:fill="auto"/>
            <w:tcMar>
              <w:top w:w="40" w:type="dxa"/>
              <w:left w:w="40" w:type="dxa"/>
              <w:bottom w:w="40" w:type="dxa"/>
              <w:right w:w="40" w:type="dxa"/>
            </w:tcMar>
            <w:vAlign w:val="bottom"/>
          </w:tcPr>
          <w:p w14:paraId="42A13D7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D7A"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Q3</w:t>
            </w:r>
          </w:p>
        </w:tc>
        <w:tc>
          <w:tcPr>
            <w:tcW w:w="0" w:type="auto"/>
            <w:shd w:val="clear" w:color="auto" w:fill="auto"/>
            <w:tcMar>
              <w:top w:w="40" w:type="dxa"/>
              <w:left w:w="40" w:type="dxa"/>
              <w:bottom w:w="40" w:type="dxa"/>
              <w:right w:w="40" w:type="dxa"/>
            </w:tcMar>
            <w:vAlign w:val="bottom"/>
          </w:tcPr>
          <w:p w14:paraId="42A13D7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D7C"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Q4</w:t>
            </w:r>
          </w:p>
        </w:tc>
        <w:tc>
          <w:tcPr>
            <w:tcW w:w="0" w:type="auto"/>
            <w:shd w:val="clear" w:color="auto" w:fill="auto"/>
            <w:tcMar>
              <w:top w:w="40" w:type="dxa"/>
              <w:left w:w="40" w:type="dxa"/>
              <w:bottom w:w="40" w:type="dxa"/>
              <w:right w:w="40" w:type="dxa"/>
            </w:tcMar>
            <w:vAlign w:val="bottom"/>
          </w:tcPr>
          <w:p w14:paraId="42A13D7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2A13D7E" w14:textId="77777777" w:rsidR="00BB68E1" w:rsidRDefault="005D2D5E">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BB68E1" w14:paraId="42A13D95" w14:textId="77777777">
        <w:tc>
          <w:tcPr>
            <w:tcW w:w="0" w:type="auto"/>
            <w:shd w:val="clear" w:color="auto" w:fill="CCEEFF"/>
            <w:tcMar>
              <w:top w:w="40" w:type="dxa"/>
              <w:left w:w="40" w:type="dxa"/>
              <w:bottom w:w="40" w:type="dxa"/>
              <w:right w:w="40" w:type="dxa"/>
            </w:tcMar>
            <w:vAlign w:val="center"/>
          </w:tcPr>
          <w:p w14:paraId="42A13D8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revenues</w:t>
            </w:r>
          </w:p>
        </w:tc>
        <w:tc>
          <w:tcPr>
            <w:tcW w:w="0" w:type="auto"/>
            <w:shd w:val="clear" w:color="auto" w:fill="CCEEFF"/>
            <w:tcMar>
              <w:top w:w="40" w:type="dxa"/>
              <w:left w:w="40" w:type="dxa"/>
              <w:bottom w:w="40" w:type="dxa"/>
              <w:right w:w="40" w:type="dxa"/>
            </w:tcMar>
            <w:vAlign w:val="bottom"/>
          </w:tcPr>
          <w:p w14:paraId="42A13D8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3D8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3D8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123,925</w:t>
            </w:r>
          </w:p>
        </w:tc>
        <w:tc>
          <w:tcPr>
            <w:tcW w:w="0" w:type="auto"/>
            <w:tcBorders>
              <w:top w:val="single" w:sz="8" w:space="0" w:color="000000"/>
            </w:tcBorders>
            <w:shd w:val="clear" w:color="auto" w:fill="CCEEFF"/>
            <w:vAlign w:val="bottom"/>
          </w:tcPr>
          <w:p w14:paraId="42A13D8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8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D8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D8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130,377</w:t>
            </w:r>
          </w:p>
        </w:tc>
        <w:tc>
          <w:tcPr>
            <w:tcW w:w="0" w:type="auto"/>
            <w:shd w:val="clear" w:color="auto" w:fill="CCEEFF"/>
            <w:vAlign w:val="bottom"/>
          </w:tcPr>
          <w:p w14:paraId="42A13D8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8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D8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D8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127,991</w:t>
            </w:r>
          </w:p>
        </w:tc>
        <w:tc>
          <w:tcPr>
            <w:tcW w:w="0" w:type="auto"/>
            <w:shd w:val="clear" w:color="auto" w:fill="CCEEFF"/>
            <w:vAlign w:val="bottom"/>
          </w:tcPr>
          <w:p w14:paraId="42A13D8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8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3D8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3D8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141,671</w:t>
            </w:r>
          </w:p>
        </w:tc>
        <w:tc>
          <w:tcPr>
            <w:tcW w:w="0" w:type="auto"/>
            <w:tcBorders>
              <w:top w:val="single" w:sz="8" w:space="0" w:color="000000"/>
            </w:tcBorders>
            <w:shd w:val="clear" w:color="auto" w:fill="CCEEFF"/>
            <w:vAlign w:val="bottom"/>
          </w:tcPr>
          <w:p w14:paraId="42A13D9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9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2A13D9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2A13D9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523,964</w:t>
            </w:r>
          </w:p>
        </w:tc>
        <w:tc>
          <w:tcPr>
            <w:tcW w:w="0" w:type="auto"/>
            <w:tcBorders>
              <w:top w:val="single" w:sz="8" w:space="0" w:color="000000"/>
            </w:tcBorders>
            <w:shd w:val="clear" w:color="auto" w:fill="CCEEFF"/>
            <w:vAlign w:val="bottom"/>
          </w:tcPr>
          <w:p w14:paraId="42A13D94" w14:textId="77777777" w:rsidR="00BB68E1" w:rsidRDefault="00BB68E1">
            <w:pPr>
              <w:textAlignment w:val="bottom"/>
              <w:rPr>
                <w:rFonts w:ascii="Times New Roman" w:hAnsi="Times New Roman"/>
                <w:sz w:val="20"/>
                <w:szCs w:val="20"/>
              </w:rPr>
            </w:pPr>
          </w:p>
        </w:tc>
      </w:tr>
      <w:tr w:rsidR="00BB68E1" w14:paraId="42A13DA6" w14:textId="77777777">
        <w:tc>
          <w:tcPr>
            <w:tcW w:w="0" w:type="auto"/>
            <w:shd w:val="clear" w:color="auto" w:fill="auto"/>
            <w:tcMar>
              <w:top w:w="40" w:type="dxa"/>
              <w:left w:w="40" w:type="dxa"/>
              <w:bottom w:w="40" w:type="dxa"/>
              <w:right w:w="40" w:type="dxa"/>
            </w:tcMar>
            <w:vAlign w:val="center"/>
          </w:tcPr>
          <w:p w14:paraId="42A13D9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auto"/>
            <w:tcMar>
              <w:top w:w="40" w:type="dxa"/>
              <w:left w:w="40" w:type="dxa"/>
              <w:bottom w:w="40" w:type="dxa"/>
              <w:right w:w="40" w:type="dxa"/>
            </w:tcMar>
            <w:vAlign w:val="bottom"/>
          </w:tcPr>
          <w:p w14:paraId="42A13D9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D9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122,949</w:t>
            </w:r>
          </w:p>
        </w:tc>
        <w:tc>
          <w:tcPr>
            <w:tcW w:w="0" w:type="auto"/>
            <w:shd w:val="clear" w:color="auto" w:fill="auto"/>
            <w:vAlign w:val="bottom"/>
          </w:tcPr>
          <w:p w14:paraId="42A13D9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D9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D9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129,388</w:t>
            </w:r>
          </w:p>
        </w:tc>
        <w:tc>
          <w:tcPr>
            <w:tcW w:w="0" w:type="auto"/>
            <w:shd w:val="clear" w:color="auto" w:fill="auto"/>
            <w:vAlign w:val="bottom"/>
          </w:tcPr>
          <w:p w14:paraId="42A13D9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D9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D9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126,981</w:t>
            </w:r>
          </w:p>
        </w:tc>
        <w:tc>
          <w:tcPr>
            <w:tcW w:w="0" w:type="auto"/>
            <w:shd w:val="clear" w:color="auto" w:fill="auto"/>
            <w:vAlign w:val="bottom"/>
          </w:tcPr>
          <w:p w14:paraId="42A13D9F"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DA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DA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140,608</w:t>
            </w:r>
          </w:p>
        </w:tc>
        <w:tc>
          <w:tcPr>
            <w:tcW w:w="0" w:type="auto"/>
            <w:shd w:val="clear" w:color="auto" w:fill="auto"/>
            <w:vAlign w:val="bottom"/>
          </w:tcPr>
          <w:p w14:paraId="42A13DA2"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DA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DA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519,926</w:t>
            </w:r>
          </w:p>
        </w:tc>
        <w:tc>
          <w:tcPr>
            <w:tcW w:w="0" w:type="auto"/>
            <w:shd w:val="clear" w:color="auto" w:fill="auto"/>
            <w:vAlign w:val="bottom"/>
          </w:tcPr>
          <w:p w14:paraId="42A13DA5" w14:textId="77777777" w:rsidR="00BB68E1" w:rsidRDefault="00BB68E1">
            <w:pPr>
              <w:textAlignment w:val="bottom"/>
              <w:rPr>
                <w:rFonts w:ascii="Times New Roman" w:hAnsi="Times New Roman"/>
                <w:sz w:val="20"/>
                <w:szCs w:val="20"/>
              </w:rPr>
            </w:pPr>
          </w:p>
        </w:tc>
      </w:tr>
      <w:tr w:rsidR="00BB68E1" w14:paraId="42A13DB7" w14:textId="77777777">
        <w:tc>
          <w:tcPr>
            <w:tcW w:w="0" w:type="auto"/>
            <w:shd w:val="clear" w:color="auto" w:fill="CCEEFF"/>
            <w:tcMar>
              <w:top w:w="40" w:type="dxa"/>
              <w:left w:w="40" w:type="dxa"/>
              <w:bottom w:w="40" w:type="dxa"/>
              <w:right w:w="40" w:type="dxa"/>
            </w:tcMar>
            <w:vAlign w:val="center"/>
          </w:tcPr>
          <w:p w14:paraId="42A13DA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Cost of sales</w:t>
            </w:r>
          </w:p>
        </w:tc>
        <w:tc>
          <w:tcPr>
            <w:tcW w:w="0" w:type="auto"/>
            <w:shd w:val="clear" w:color="auto" w:fill="CCEEFF"/>
            <w:tcMar>
              <w:top w:w="40" w:type="dxa"/>
              <w:left w:w="40" w:type="dxa"/>
              <w:bottom w:w="40" w:type="dxa"/>
              <w:right w:w="40" w:type="dxa"/>
            </w:tcMar>
            <w:vAlign w:val="bottom"/>
          </w:tcPr>
          <w:p w14:paraId="42A13DA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DA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93,034</w:t>
            </w:r>
          </w:p>
        </w:tc>
        <w:tc>
          <w:tcPr>
            <w:tcW w:w="0" w:type="auto"/>
            <w:shd w:val="clear" w:color="auto" w:fill="CCEEFF"/>
            <w:vAlign w:val="bottom"/>
          </w:tcPr>
          <w:p w14:paraId="42A13DA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A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DA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97,923</w:t>
            </w:r>
          </w:p>
        </w:tc>
        <w:tc>
          <w:tcPr>
            <w:tcW w:w="0" w:type="auto"/>
            <w:shd w:val="clear" w:color="auto" w:fill="CCEEFF"/>
            <w:vAlign w:val="bottom"/>
          </w:tcPr>
          <w:p w14:paraId="42A13DA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A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DA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95,900</w:t>
            </w:r>
          </w:p>
        </w:tc>
        <w:tc>
          <w:tcPr>
            <w:tcW w:w="0" w:type="auto"/>
            <w:shd w:val="clear" w:color="auto" w:fill="CCEEFF"/>
            <w:vAlign w:val="bottom"/>
          </w:tcPr>
          <w:p w14:paraId="42A13DB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B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DB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107,748</w:t>
            </w:r>
          </w:p>
        </w:tc>
        <w:tc>
          <w:tcPr>
            <w:tcW w:w="0" w:type="auto"/>
            <w:shd w:val="clear" w:color="auto" w:fill="CCEEFF"/>
            <w:vAlign w:val="bottom"/>
          </w:tcPr>
          <w:p w14:paraId="42A13DB3"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DB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394,605</w:t>
            </w:r>
          </w:p>
        </w:tc>
        <w:tc>
          <w:tcPr>
            <w:tcW w:w="0" w:type="auto"/>
            <w:shd w:val="clear" w:color="auto" w:fill="CCEEFF"/>
            <w:vAlign w:val="bottom"/>
          </w:tcPr>
          <w:p w14:paraId="42A13DB6" w14:textId="77777777" w:rsidR="00BB68E1" w:rsidRDefault="00BB68E1">
            <w:pPr>
              <w:textAlignment w:val="bottom"/>
              <w:rPr>
                <w:rFonts w:ascii="Times New Roman" w:hAnsi="Times New Roman"/>
                <w:sz w:val="20"/>
                <w:szCs w:val="20"/>
              </w:rPr>
            </w:pPr>
          </w:p>
        </w:tc>
      </w:tr>
      <w:tr w:rsidR="00BB68E1" w14:paraId="42A13DC8" w14:textId="77777777">
        <w:tc>
          <w:tcPr>
            <w:tcW w:w="0" w:type="auto"/>
            <w:shd w:val="clear" w:color="auto" w:fill="auto"/>
            <w:tcMar>
              <w:top w:w="40" w:type="dxa"/>
              <w:left w:w="40" w:type="dxa"/>
              <w:bottom w:w="40" w:type="dxa"/>
              <w:right w:w="40" w:type="dxa"/>
            </w:tcMar>
            <w:vAlign w:val="center"/>
          </w:tcPr>
          <w:p w14:paraId="42A13DB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Consolidated net income</w:t>
            </w:r>
          </w:p>
        </w:tc>
        <w:tc>
          <w:tcPr>
            <w:tcW w:w="0" w:type="auto"/>
            <w:shd w:val="clear" w:color="auto" w:fill="auto"/>
            <w:tcMar>
              <w:top w:w="40" w:type="dxa"/>
              <w:left w:w="40" w:type="dxa"/>
              <w:bottom w:w="40" w:type="dxa"/>
              <w:right w:w="40" w:type="dxa"/>
            </w:tcMar>
            <w:vAlign w:val="bottom"/>
          </w:tcPr>
          <w:p w14:paraId="42A13DB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DB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3,906</w:t>
            </w:r>
          </w:p>
        </w:tc>
        <w:tc>
          <w:tcPr>
            <w:tcW w:w="0" w:type="auto"/>
            <w:shd w:val="clear" w:color="auto" w:fill="auto"/>
            <w:vAlign w:val="bottom"/>
          </w:tcPr>
          <w:p w14:paraId="42A13DB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DB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DB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3,680</w:t>
            </w:r>
          </w:p>
        </w:tc>
        <w:tc>
          <w:tcPr>
            <w:tcW w:w="0" w:type="auto"/>
            <w:shd w:val="clear" w:color="auto" w:fill="auto"/>
            <w:vAlign w:val="bottom"/>
          </w:tcPr>
          <w:p w14:paraId="42A13DB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D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DC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3,321</w:t>
            </w:r>
          </w:p>
        </w:tc>
        <w:tc>
          <w:tcPr>
            <w:tcW w:w="0" w:type="auto"/>
            <w:shd w:val="clear" w:color="auto" w:fill="auto"/>
            <w:vAlign w:val="bottom"/>
          </w:tcPr>
          <w:p w14:paraId="42A13DC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D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DC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4,294</w:t>
            </w:r>
          </w:p>
        </w:tc>
        <w:tc>
          <w:tcPr>
            <w:tcW w:w="0" w:type="auto"/>
            <w:shd w:val="clear" w:color="auto" w:fill="auto"/>
            <w:vAlign w:val="bottom"/>
          </w:tcPr>
          <w:p w14:paraId="42A13DC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DC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DC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15,201</w:t>
            </w:r>
          </w:p>
        </w:tc>
        <w:tc>
          <w:tcPr>
            <w:tcW w:w="0" w:type="auto"/>
            <w:shd w:val="clear" w:color="auto" w:fill="auto"/>
            <w:vAlign w:val="bottom"/>
          </w:tcPr>
          <w:p w14:paraId="42A13DC7" w14:textId="77777777" w:rsidR="00BB68E1" w:rsidRDefault="00BB68E1">
            <w:pPr>
              <w:textAlignment w:val="bottom"/>
              <w:rPr>
                <w:rFonts w:ascii="Times New Roman" w:hAnsi="Times New Roman"/>
                <w:sz w:val="20"/>
                <w:szCs w:val="20"/>
              </w:rPr>
            </w:pPr>
          </w:p>
        </w:tc>
      </w:tr>
      <w:tr w:rsidR="00BB68E1" w14:paraId="42A13DD9" w14:textId="77777777">
        <w:tc>
          <w:tcPr>
            <w:tcW w:w="0" w:type="auto"/>
            <w:shd w:val="clear" w:color="auto" w:fill="CCEEFF"/>
            <w:tcMar>
              <w:top w:w="40" w:type="dxa"/>
              <w:left w:w="40" w:type="dxa"/>
              <w:bottom w:w="40" w:type="dxa"/>
              <w:right w:w="40" w:type="dxa"/>
            </w:tcMar>
            <w:vAlign w:val="center"/>
          </w:tcPr>
          <w:p w14:paraId="42A13DC9"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Consolidated net income attributable to Walmart</w:t>
            </w:r>
          </w:p>
        </w:tc>
        <w:tc>
          <w:tcPr>
            <w:tcW w:w="0" w:type="auto"/>
            <w:shd w:val="clear" w:color="auto" w:fill="CCEEFF"/>
            <w:tcMar>
              <w:top w:w="40" w:type="dxa"/>
              <w:left w:w="40" w:type="dxa"/>
              <w:bottom w:w="40" w:type="dxa"/>
              <w:right w:w="40" w:type="dxa"/>
            </w:tcMar>
            <w:vAlign w:val="bottom"/>
          </w:tcPr>
          <w:p w14:paraId="42A13DC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DC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3,842</w:t>
            </w:r>
          </w:p>
        </w:tc>
        <w:tc>
          <w:tcPr>
            <w:tcW w:w="0" w:type="auto"/>
            <w:shd w:val="clear" w:color="auto" w:fill="CCEEFF"/>
            <w:vAlign w:val="bottom"/>
          </w:tcPr>
          <w:p w14:paraId="42A13DC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DC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3,610</w:t>
            </w:r>
          </w:p>
        </w:tc>
        <w:tc>
          <w:tcPr>
            <w:tcW w:w="0" w:type="auto"/>
            <w:shd w:val="clear" w:color="auto" w:fill="CCEEFF"/>
            <w:vAlign w:val="bottom"/>
          </w:tcPr>
          <w:p w14:paraId="42A13DC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D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DD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3,288</w:t>
            </w:r>
          </w:p>
        </w:tc>
        <w:tc>
          <w:tcPr>
            <w:tcW w:w="0" w:type="auto"/>
            <w:shd w:val="clear" w:color="auto" w:fill="CCEEFF"/>
            <w:vAlign w:val="bottom"/>
          </w:tcPr>
          <w:p w14:paraId="42A13DD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DD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4,141</w:t>
            </w:r>
          </w:p>
        </w:tc>
        <w:tc>
          <w:tcPr>
            <w:tcW w:w="0" w:type="auto"/>
            <w:shd w:val="clear" w:color="auto" w:fill="CCEEFF"/>
            <w:vAlign w:val="bottom"/>
          </w:tcPr>
          <w:p w14:paraId="42A13DD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DD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14,881</w:t>
            </w:r>
          </w:p>
        </w:tc>
        <w:tc>
          <w:tcPr>
            <w:tcW w:w="0" w:type="auto"/>
            <w:shd w:val="clear" w:color="auto" w:fill="CCEEFF"/>
            <w:vAlign w:val="bottom"/>
          </w:tcPr>
          <w:p w14:paraId="42A13DD8" w14:textId="77777777" w:rsidR="00BB68E1" w:rsidRDefault="00BB68E1">
            <w:pPr>
              <w:textAlignment w:val="bottom"/>
              <w:rPr>
                <w:rFonts w:ascii="Times New Roman" w:hAnsi="Times New Roman"/>
                <w:sz w:val="20"/>
                <w:szCs w:val="20"/>
              </w:rPr>
            </w:pPr>
          </w:p>
        </w:tc>
      </w:tr>
      <w:tr w:rsidR="00BB68E1" w14:paraId="42A13DEA" w14:textId="77777777">
        <w:tc>
          <w:tcPr>
            <w:tcW w:w="0" w:type="auto"/>
            <w:shd w:val="clear" w:color="auto" w:fill="auto"/>
            <w:tcMar>
              <w:top w:w="40" w:type="dxa"/>
              <w:left w:w="40" w:type="dxa"/>
              <w:bottom w:w="40" w:type="dxa"/>
              <w:right w:w="40" w:type="dxa"/>
            </w:tcMar>
            <w:vAlign w:val="center"/>
          </w:tcPr>
          <w:p w14:paraId="42A13DD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Basic net income per common share attributable to Walmart</w:t>
            </w:r>
            <w:r>
              <w:rPr>
                <w:rFonts w:ascii="Times New Roman" w:eastAsia="宋体" w:hAnsi="Times New Roman"/>
                <w:sz w:val="10"/>
                <w:szCs w:val="10"/>
              </w:rPr>
              <w:t>(1)</w:t>
            </w:r>
          </w:p>
        </w:tc>
        <w:tc>
          <w:tcPr>
            <w:tcW w:w="0" w:type="auto"/>
            <w:shd w:val="clear" w:color="auto" w:fill="auto"/>
            <w:tcMar>
              <w:top w:w="40" w:type="dxa"/>
              <w:left w:w="40" w:type="dxa"/>
              <w:bottom w:w="40" w:type="dxa"/>
              <w:right w:w="40" w:type="dxa"/>
            </w:tcMar>
            <w:vAlign w:val="bottom"/>
          </w:tcPr>
          <w:p w14:paraId="42A13DD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DDC"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1.34</w:t>
            </w:r>
          </w:p>
        </w:tc>
        <w:tc>
          <w:tcPr>
            <w:tcW w:w="0" w:type="auto"/>
            <w:shd w:val="clear" w:color="auto" w:fill="auto"/>
            <w:vAlign w:val="bottom"/>
          </w:tcPr>
          <w:p w14:paraId="42A13DDD"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DD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DDF"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1.27</w:t>
            </w:r>
          </w:p>
        </w:tc>
        <w:tc>
          <w:tcPr>
            <w:tcW w:w="0" w:type="auto"/>
            <w:shd w:val="clear" w:color="auto" w:fill="auto"/>
            <w:vAlign w:val="bottom"/>
          </w:tcPr>
          <w:p w14:paraId="42A13DE0"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DE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DE2"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1.16</w:t>
            </w:r>
          </w:p>
        </w:tc>
        <w:tc>
          <w:tcPr>
            <w:tcW w:w="0" w:type="auto"/>
            <w:shd w:val="clear" w:color="auto" w:fill="auto"/>
            <w:vAlign w:val="bottom"/>
          </w:tcPr>
          <w:p w14:paraId="42A13DE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DE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DE5"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1.46</w:t>
            </w:r>
          </w:p>
        </w:tc>
        <w:tc>
          <w:tcPr>
            <w:tcW w:w="0" w:type="auto"/>
            <w:shd w:val="clear" w:color="auto" w:fill="auto"/>
            <w:vAlign w:val="bottom"/>
          </w:tcPr>
          <w:p w14:paraId="42A13DE6"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DE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DE8"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5.22</w:t>
            </w:r>
          </w:p>
        </w:tc>
        <w:tc>
          <w:tcPr>
            <w:tcW w:w="0" w:type="auto"/>
            <w:shd w:val="clear" w:color="auto" w:fill="auto"/>
            <w:vAlign w:val="bottom"/>
          </w:tcPr>
          <w:p w14:paraId="42A13DE9" w14:textId="77777777" w:rsidR="00BB68E1" w:rsidRDefault="00BB68E1">
            <w:pPr>
              <w:textAlignment w:val="bottom"/>
              <w:rPr>
                <w:rFonts w:ascii="Times New Roman" w:hAnsi="Times New Roman"/>
                <w:sz w:val="20"/>
                <w:szCs w:val="20"/>
              </w:rPr>
            </w:pPr>
          </w:p>
        </w:tc>
      </w:tr>
      <w:tr w:rsidR="00BB68E1" w14:paraId="42A13DFB" w14:textId="77777777">
        <w:tc>
          <w:tcPr>
            <w:tcW w:w="0" w:type="auto"/>
            <w:shd w:val="clear" w:color="auto" w:fill="CCEEFF"/>
            <w:tcMar>
              <w:top w:w="40" w:type="dxa"/>
              <w:left w:w="40" w:type="dxa"/>
              <w:bottom w:w="40" w:type="dxa"/>
              <w:right w:w="40" w:type="dxa"/>
            </w:tcMar>
            <w:vAlign w:val="center"/>
          </w:tcPr>
          <w:p w14:paraId="42A13DEB"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Diluted net income per common share </w:t>
            </w:r>
            <w:r>
              <w:rPr>
                <w:rFonts w:ascii="Times New Roman" w:eastAsia="宋体" w:hAnsi="Times New Roman"/>
                <w:sz w:val="16"/>
                <w:szCs w:val="16"/>
              </w:rPr>
              <w:t>attributable to Walmart</w:t>
            </w:r>
            <w:r>
              <w:rPr>
                <w:rFonts w:ascii="Times New Roman" w:eastAsia="宋体" w:hAnsi="Times New Roman"/>
                <w:sz w:val="10"/>
                <w:szCs w:val="10"/>
              </w:rPr>
              <w:t>(1)</w:t>
            </w:r>
          </w:p>
        </w:tc>
        <w:tc>
          <w:tcPr>
            <w:tcW w:w="0" w:type="auto"/>
            <w:shd w:val="clear" w:color="auto" w:fill="CCEEFF"/>
            <w:tcMar>
              <w:top w:w="40" w:type="dxa"/>
              <w:left w:w="40" w:type="dxa"/>
              <w:bottom w:w="40" w:type="dxa"/>
              <w:right w:w="40" w:type="dxa"/>
            </w:tcMar>
            <w:vAlign w:val="bottom"/>
          </w:tcPr>
          <w:p w14:paraId="42A13DE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DED"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1.33</w:t>
            </w:r>
          </w:p>
        </w:tc>
        <w:tc>
          <w:tcPr>
            <w:tcW w:w="0" w:type="auto"/>
            <w:shd w:val="clear" w:color="auto" w:fill="CCEEFF"/>
            <w:vAlign w:val="bottom"/>
          </w:tcPr>
          <w:p w14:paraId="42A13DEE"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E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DF0"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1.26</w:t>
            </w:r>
          </w:p>
        </w:tc>
        <w:tc>
          <w:tcPr>
            <w:tcW w:w="0" w:type="auto"/>
            <w:shd w:val="clear" w:color="auto" w:fill="CCEEFF"/>
            <w:vAlign w:val="bottom"/>
          </w:tcPr>
          <w:p w14:paraId="42A13DF1"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F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DF3"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1.15</w:t>
            </w:r>
          </w:p>
        </w:tc>
        <w:tc>
          <w:tcPr>
            <w:tcW w:w="0" w:type="auto"/>
            <w:shd w:val="clear" w:color="auto" w:fill="CCEEFF"/>
            <w:vAlign w:val="bottom"/>
          </w:tcPr>
          <w:p w14:paraId="42A13DF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F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DF6"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1.45</w:t>
            </w:r>
          </w:p>
        </w:tc>
        <w:tc>
          <w:tcPr>
            <w:tcW w:w="0" w:type="auto"/>
            <w:shd w:val="clear" w:color="auto" w:fill="CCEEFF"/>
            <w:vAlign w:val="bottom"/>
          </w:tcPr>
          <w:p w14:paraId="42A13DF7"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DF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DF9"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5.19</w:t>
            </w:r>
          </w:p>
        </w:tc>
        <w:tc>
          <w:tcPr>
            <w:tcW w:w="0" w:type="auto"/>
            <w:shd w:val="clear" w:color="auto" w:fill="CCEEFF"/>
            <w:vAlign w:val="bottom"/>
          </w:tcPr>
          <w:p w14:paraId="42A13DFA" w14:textId="77777777" w:rsidR="00BB68E1" w:rsidRDefault="00BB68E1">
            <w:pPr>
              <w:textAlignment w:val="bottom"/>
              <w:rPr>
                <w:rFonts w:ascii="Times New Roman" w:hAnsi="Times New Roman"/>
                <w:sz w:val="20"/>
                <w:szCs w:val="20"/>
              </w:rPr>
            </w:pPr>
          </w:p>
        </w:tc>
      </w:tr>
      <w:tr w:rsidR="00BB68E1" w14:paraId="42A13E07" w14:textId="77777777">
        <w:tc>
          <w:tcPr>
            <w:tcW w:w="0" w:type="auto"/>
            <w:shd w:val="clear" w:color="auto" w:fill="auto"/>
            <w:tcMar>
              <w:top w:w="40" w:type="dxa"/>
              <w:left w:w="40" w:type="dxa"/>
              <w:bottom w:w="40" w:type="dxa"/>
              <w:right w:w="40" w:type="dxa"/>
            </w:tcMar>
            <w:vAlign w:val="bottom"/>
          </w:tcPr>
          <w:p w14:paraId="42A13DF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DF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DF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DF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E0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E0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E0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E0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E0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E0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2A13E0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E0B" w14:textId="77777777">
        <w:tc>
          <w:tcPr>
            <w:tcW w:w="0" w:type="auto"/>
            <w:shd w:val="clear" w:color="auto" w:fill="auto"/>
            <w:tcMar>
              <w:top w:w="40" w:type="dxa"/>
              <w:left w:w="40" w:type="dxa"/>
              <w:bottom w:w="40" w:type="dxa"/>
              <w:right w:w="40" w:type="dxa"/>
            </w:tcMar>
            <w:vAlign w:val="center"/>
          </w:tcPr>
          <w:p w14:paraId="42A13E0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E0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000000"/>
            </w:tcBorders>
            <w:shd w:val="clear" w:color="auto" w:fill="auto"/>
            <w:tcMar>
              <w:top w:w="40" w:type="dxa"/>
              <w:left w:w="40" w:type="dxa"/>
              <w:bottom w:w="40" w:type="dxa"/>
            </w:tcMar>
            <w:vAlign w:val="center"/>
          </w:tcPr>
          <w:p w14:paraId="42A13E0A"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Fiscal Year Ended January 31, 2019</w:t>
            </w:r>
          </w:p>
        </w:tc>
      </w:tr>
      <w:tr w:rsidR="00BB68E1" w14:paraId="42A13E17" w14:textId="77777777">
        <w:tc>
          <w:tcPr>
            <w:tcW w:w="0" w:type="auto"/>
            <w:shd w:val="clear" w:color="auto" w:fill="auto"/>
            <w:tcMar>
              <w:top w:w="40" w:type="dxa"/>
              <w:left w:w="40" w:type="dxa"/>
              <w:bottom w:w="40" w:type="dxa"/>
              <w:right w:w="40" w:type="dxa"/>
            </w:tcMar>
            <w:vAlign w:val="center"/>
          </w:tcPr>
          <w:p w14:paraId="42A13E0C"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3E0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3E0E"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Q1</w:t>
            </w:r>
          </w:p>
        </w:tc>
        <w:tc>
          <w:tcPr>
            <w:tcW w:w="0" w:type="auto"/>
            <w:shd w:val="clear" w:color="auto" w:fill="auto"/>
            <w:tcMar>
              <w:top w:w="40" w:type="dxa"/>
              <w:left w:w="40" w:type="dxa"/>
              <w:bottom w:w="40" w:type="dxa"/>
              <w:right w:w="40" w:type="dxa"/>
            </w:tcMar>
            <w:vAlign w:val="bottom"/>
          </w:tcPr>
          <w:p w14:paraId="42A13E0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3E10"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Q2</w:t>
            </w:r>
          </w:p>
        </w:tc>
        <w:tc>
          <w:tcPr>
            <w:tcW w:w="0" w:type="auto"/>
            <w:shd w:val="clear" w:color="auto" w:fill="auto"/>
            <w:tcMar>
              <w:top w:w="40" w:type="dxa"/>
              <w:left w:w="40" w:type="dxa"/>
              <w:bottom w:w="40" w:type="dxa"/>
              <w:right w:w="40" w:type="dxa"/>
            </w:tcMar>
            <w:vAlign w:val="bottom"/>
          </w:tcPr>
          <w:p w14:paraId="42A13E1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3E12"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Q3</w:t>
            </w:r>
          </w:p>
        </w:tc>
        <w:tc>
          <w:tcPr>
            <w:tcW w:w="0" w:type="auto"/>
            <w:shd w:val="clear" w:color="auto" w:fill="auto"/>
            <w:tcMar>
              <w:top w:w="40" w:type="dxa"/>
              <w:left w:w="40" w:type="dxa"/>
              <w:bottom w:w="40" w:type="dxa"/>
              <w:right w:w="40" w:type="dxa"/>
            </w:tcMar>
            <w:vAlign w:val="bottom"/>
          </w:tcPr>
          <w:p w14:paraId="42A13E1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3E14"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Q4</w:t>
            </w:r>
          </w:p>
        </w:tc>
        <w:tc>
          <w:tcPr>
            <w:tcW w:w="0" w:type="auto"/>
            <w:shd w:val="clear" w:color="auto" w:fill="auto"/>
            <w:tcMar>
              <w:top w:w="40" w:type="dxa"/>
              <w:left w:w="40" w:type="dxa"/>
              <w:bottom w:w="40" w:type="dxa"/>
              <w:right w:w="40" w:type="dxa"/>
            </w:tcMar>
            <w:vAlign w:val="bottom"/>
          </w:tcPr>
          <w:p w14:paraId="42A13E1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2A13E16" w14:textId="77777777" w:rsidR="00BB68E1" w:rsidRDefault="005D2D5E">
            <w:pPr>
              <w:jc w:val="center"/>
              <w:textAlignment w:val="center"/>
              <w:rPr>
                <w:rFonts w:ascii="Times New Roman" w:hAnsi="Times New Roman"/>
                <w:sz w:val="16"/>
                <w:szCs w:val="16"/>
              </w:rPr>
            </w:pPr>
            <w:r>
              <w:rPr>
                <w:rFonts w:ascii="Times New Roman" w:eastAsia="宋体" w:hAnsi="Times New Roman"/>
                <w:b/>
                <w:bCs/>
                <w:sz w:val="16"/>
                <w:szCs w:val="16"/>
              </w:rPr>
              <w:t>Total</w:t>
            </w:r>
          </w:p>
        </w:tc>
      </w:tr>
      <w:tr w:rsidR="00BB68E1" w14:paraId="42A13E2D" w14:textId="77777777">
        <w:tc>
          <w:tcPr>
            <w:tcW w:w="0" w:type="auto"/>
            <w:shd w:val="clear" w:color="auto" w:fill="CCEEFF"/>
            <w:tcMar>
              <w:top w:w="40" w:type="dxa"/>
              <w:left w:w="40" w:type="dxa"/>
              <w:bottom w:w="40" w:type="dxa"/>
              <w:right w:w="40" w:type="dxa"/>
            </w:tcMar>
            <w:vAlign w:val="center"/>
          </w:tcPr>
          <w:p w14:paraId="42A13E18"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Total revenues</w:t>
            </w:r>
          </w:p>
        </w:tc>
        <w:tc>
          <w:tcPr>
            <w:tcW w:w="0" w:type="auto"/>
            <w:shd w:val="clear" w:color="auto" w:fill="CCEEFF"/>
            <w:tcMar>
              <w:top w:w="40" w:type="dxa"/>
              <w:left w:w="40" w:type="dxa"/>
              <w:bottom w:w="40" w:type="dxa"/>
              <w:right w:w="40" w:type="dxa"/>
            </w:tcMar>
            <w:vAlign w:val="bottom"/>
          </w:tcPr>
          <w:p w14:paraId="42A13E1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E1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E1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122,690</w:t>
            </w:r>
          </w:p>
        </w:tc>
        <w:tc>
          <w:tcPr>
            <w:tcW w:w="0" w:type="auto"/>
            <w:shd w:val="clear" w:color="auto" w:fill="CCEEFF"/>
            <w:vAlign w:val="bottom"/>
          </w:tcPr>
          <w:p w14:paraId="42A13E1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E1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E1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E1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128,028</w:t>
            </w:r>
          </w:p>
        </w:tc>
        <w:tc>
          <w:tcPr>
            <w:tcW w:w="0" w:type="auto"/>
            <w:shd w:val="clear" w:color="auto" w:fill="CCEEFF"/>
            <w:vAlign w:val="bottom"/>
          </w:tcPr>
          <w:p w14:paraId="42A13E20"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E2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E2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E2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124,894</w:t>
            </w:r>
          </w:p>
        </w:tc>
        <w:tc>
          <w:tcPr>
            <w:tcW w:w="0" w:type="auto"/>
            <w:shd w:val="clear" w:color="auto" w:fill="CCEEFF"/>
            <w:vAlign w:val="bottom"/>
          </w:tcPr>
          <w:p w14:paraId="42A13E2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E2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E2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E2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138,793</w:t>
            </w:r>
          </w:p>
        </w:tc>
        <w:tc>
          <w:tcPr>
            <w:tcW w:w="0" w:type="auto"/>
            <w:shd w:val="clear" w:color="auto" w:fill="CCEEFF"/>
            <w:vAlign w:val="bottom"/>
          </w:tcPr>
          <w:p w14:paraId="42A13E2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E2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2A13E2A"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2A13E2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514,405</w:t>
            </w:r>
          </w:p>
        </w:tc>
        <w:tc>
          <w:tcPr>
            <w:tcW w:w="0" w:type="auto"/>
            <w:shd w:val="clear" w:color="auto" w:fill="CCEEFF"/>
            <w:vAlign w:val="bottom"/>
          </w:tcPr>
          <w:p w14:paraId="42A13E2C" w14:textId="77777777" w:rsidR="00BB68E1" w:rsidRDefault="00BB68E1">
            <w:pPr>
              <w:textAlignment w:val="bottom"/>
              <w:rPr>
                <w:rFonts w:ascii="Times New Roman" w:hAnsi="Times New Roman"/>
                <w:sz w:val="20"/>
                <w:szCs w:val="20"/>
              </w:rPr>
            </w:pPr>
          </w:p>
        </w:tc>
      </w:tr>
      <w:tr w:rsidR="00BB68E1" w14:paraId="42A13E3E" w14:textId="77777777">
        <w:tc>
          <w:tcPr>
            <w:tcW w:w="0" w:type="auto"/>
            <w:shd w:val="clear" w:color="auto" w:fill="auto"/>
            <w:tcMar>
              <w:top w:w="40" w:type="dxa"/>
              <w:left w:w="40" w:type="dxa"/>
              <w:bottom w:w="40" w:type="dxa"/>
              <w:right w:w="40" w:type="dxa"/>
            </w:tcMar>
            <w:vAlign w:val="center"/>
          </w:tcPr>
          <w:p w14:paraId="42A13E2E"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auto"/>
            <w:tcMar>
              <w:top w:w="40" w:type="dxa"/>
              <w:left w:w="40" w:type="dxa"/>
              <w:bottom w:w="40" w:type="dxa"/>
              <w:right w:w="40" w:type="dxa"/>
            </w:tcMar>
            <w:vAlign w:val="bottom"/>
          </w:tcPr>
          <w:p w14:paraId="42A13E2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E30"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121,630</w:t>
            </w:r>
          </w:p>
        </w:tc>
        <w:tc>
          <w:tcPr>
            <w:tcW w:w="0" w:type="auto"/>
            <w:shd w:val="clear" w:color="auto" w:fill="auto"/>
            <w:vAlign w:val="bottom"/>
          </w:tcPr>
          <w:p w14:paraId="42A13E31"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E3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E3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127,059</w:t>
            </w:r>
          </w:p>
        </w:tc>
        <w:tc>
          <w:tcPr>
            <w:tcW w:w="0" w:type="auto"/>
            <w:shd w:val="clear" w:color="auto" w:fill="auto"/>
            <w:vAlign w:val="bottom"/>
          </w:tcPr>
          <w:p w14:paraId="42A13E34"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E3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E3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123,897</w:t>
            </w:r>
          </w:p>
        </w:tc>
        <w:tc>
          <w:tcPr>
            <w:tcW w:w="0" w:type="auto"/>
            <w:shd w:val="clear" w:color="auto" w:fill="auto"/>
            <w:vAlign w:val="bottom"/>
          </w:tcPr>
          <w:p w14:paraId="42A13E37"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E3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E3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137,743</w:t>
            </w:r>
          </w:p>
        </w:tc>
        <w:tc>
          <w:tcPr>
            <w:tcW w:w="0" w:type="auto"/>
            <w:shd w:val="clear" w:color="auto" w:fill="auto"/>
            <w:vAlign w:val="bottom"/>
          </w:tcPr>
          <w:p w14:paraId="42A13E3A"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E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E3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510,329</w:t>
            </w:r>
          </w:p>
        </w:tc>
        <w:tc>
          <w:tcPr>
            <w:tcW w:w="0" w:type="auto"/>
            <w:shd w:val="clear" w:color="auto" w:fill="auto"/>
            <w:vAlign w:val="bottom"/>
          </w:tcPr>
          <w:p w14:paraId="42A13E3D" w14:textId="77777777" w:rsidR="00BB68E1" w:rsidRDefault="00BB68E1">
            <w:pPr>
              <w:textAlignment w:val="bottom"/>
              <w:rPr>
                <w:rFonts w:ascii="Times New Roman" w:hAnsi="Times New Roman"/>
                <w:sz w:val="20"/>
                <w:szCs w:val="20"/>
              </w:rPr>
            </w:pPr>
          </w:p>
        </w:tc>
      </w:tr>
      <w:tr w:rsidR="00BB68E1" w14:paraId="42A13E4F" w14:textId="77777777">
        <w:tc>
          <w:tcPr>
            <w:tcW w:w="0" w:type="auto"/>
            <w:shd w:val="clear" w:color="auto" w:fill="CCEEFF"/>
            <w:tcMar>
              <w:top w:w="40" w:type="dxa"/>
              <w:left w:w="40" w:type="dxa"/>
              <w:bottom w:w="40" w:type="dxa"/>
              <w:right w:w="40" w:type="dxa"/>
            </w:tcMar>
            <w:vAlign w:val="center"/>
          </w:tcPr>
          <w:p w14:paraId="42A13E3F"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Cost of sales</w:t>
            </w:r>
          </w:p>
        </w:tc>
        <w:tc>
          <w:tcPr>
            <w:tcW w:w="0" w:type="auto"/>
            <w:shd w:val="clear" w:color="auto" w:fill="CCEEFF"/>
            <w:tcMar>
              <w:top w:w="40" w:type="dxa"/>
              <w:left w:w="40" w:type="dxa"/>
              <w:bottom w:w="40" w:type="dxa"/>
              <w:right w:w="40" w:type="dxa"/>
            </w:tcMar>
            <w:vAlign w:val="bottom"/>
          </w:tcPr>
          <w:p w14:paraId="42A13E4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E41"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91,707</w:t>
            </w:r>
          </w:p>
        </w:tc>
        <w:tc>
          <w:tcPr>
            <w:tcW w:w="0" w:type="auto"/>
            <w:shd w:val="clear" w:color="auto" w:fill="CCEEFF"/>
            <w:vAlign w:val="bottom"/>
          </w:tcPr>
          <w:p w14:paraId="42A13E42"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E4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E44"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95,571</w:t>
            </w:r>
          </w:p>
        </w:tc>
        <w:tc>
          <w:tcPr>
            <w:tcW w:w="0" w:type="auto"/>
            <w:shd w:val="clear" w:color="auto" w:fill="CCEEFF"/>
            <w:vAlign w:val="bottom"/>
          </w:tcPr>
          <w:p w14:paraId="42A13E45"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E4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E47"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93,116</w:t>
            </w:r>
          </w:p>
        </w:tc>
        <w:tc>
          <w:tcPr>
            <w:tcW w:w="0" w:type="auto"/>
            <w:shd w:val="clear" w:color="auto" w:fill="CCEEFF"/>
            <w:vAlign w:val="bottom"/>
          </w:tcPr>
          <w:p w14:paraId="42A13E48"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E4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E4A"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104,907</w:t>
            </w:r>
          </w:p>
        </w:tc>
        <w:tc>
          <w:tcPr>
            <w:tcW w:w="0" w:type="auto"/>
            <w:shd w:val="clear" w:color="auto" w:fill="CCEEFF"/>
            <w:vAlign w:val="bottom"/>
          </w:tcPr>
          <w:p w14:paraId="42A13E4B"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E4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E4D"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385,301</w:t>
            </w:r>
          </w:p>
        </w:tc>
        <w:tc>
          <w:tcPr>
            <w:tcW w:w="0" w:type="auto"/>
            <w:shd w:val="clear" w:color="auto" w:fill="CCEEFF"/>
            <w:vAlign w:val="bottom"/>
          </w:tcPr>
          <w:p w14:paraId="42A13E4E" w14:textId="77777777" w:rsidR="00BB68E1" w:rsidRDefault="00BB68E1">
            <w:pPr>
              <w:textAlignment w:val="bottom"/>
              <w:rPr>
                <w:rFonts w:ascii="Times New Roman" w:hAnsi="Times New Roman"/>
                <w:sz w:val="20"/>
                <w:szCs w:val="20"/>
              </w:rPr>
            </w:pPr>
          </w:p>
        </w:tc>
      </w:tr>
      <w:tr w:rsidR="00BB68E1" w14:paraId="42A13E60" w14:textId="77777777">
        <w:tc>
          <w:tcPr>
            <w:tcW w:w="0" w:type="auto"/>
            <w:shd w:val="clear" w:color="auto" w:fill="auto"/>
            <w:tcMar>
              <w:top w:w="40" w:type="dxa"/>
              <w:left w:w="40" w:type="dxa"/>
              <w:bottom w:w="40" w:type="dxa"/>
              <w:right w:w="40" w:type="dxa"/>
            </w:tcMar>
            <w:vAlign w:val="center"/>
          </w:tcPr>
          <w:p w14:paraId="42A13E50"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Consolidated net income (loss)</w:t>
            </w:r>
          </w:p>
        </w:tc>
        <w:tc>
          <w:tcPr>
            <w:tcW w:w="0" w:type="auto"/>
            <w:shd w:val="clear" w:color="auto" w:fill="auto"/>
            <w:tcMar>
              <w:top w:w="40" w:type="dxa"/>
              <w:left w:w="40" w:type="dxa"/>
              <w:bottom w:w="40" w:type="dxa"/>
              <w:right w:w="40" w:type="dxa"/>
            </w:tcMar>
            <w:vAlign w:val="bottom"/>
          </w:tcPr>
          <w:p w14:paraId="42A13E5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E52"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2,276</w:t>
            </w:r>
          </w:p>
        </w:tc>
        <w:tc>
          <w:tcPr>
            <w:tcW w:w="0" w:type="auto"/>
            <w:shd w:val="clear" w:color="auto" w:fill="auto"/>
            <w:vAlign w:val="bottom"/>
          </w:tcPr>
          <w:p w14:paraId="42A13E53"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E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E55"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(727</w:t>
            </w:r>
          </w:p>
        </w:tc>
        <w:tc>
          <w:tcPr>
            <w:tcW w:w="0" w:type="auto"/>
            <w:shd w:val="clear" w:color="auto" w:fill="auto"/>
            <w:tcMar>
              <w:top w:w="40" w:type="dxa"/>
              <w:bottom w:w="40" w:type="dxa"/>
              <w:right w:w="40" w:type="dxa"/>
            </w:tcMar>
            <w:vAlign w:val="center"/>
          </w:tcPr>
          <w:p w14:paraId="42A13E56"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3E5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E58"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1,817</w:t>
            </w:r>
          </w:p>
        </w:tc>
        <w:tc>
          <w:tcPr>
            <w:tcW w:w="0" w:type="auto"/>
            <w:shd w:val="clear" w:color="auto" w:fill="auto"/>
            <w:vAlign w:val="bottom"/>
          </w:tcPr>
          <w:p w14:paraId="42A13E59"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E5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E5B"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3,813</w:t>
            </w:r>
          </w:p>
        </w:tc>
        <w:tc>
          <w:tcPr>
            <w:tcW w:w="0" w:type="auto"/>
            <w:shd w:val="clear" w:color="auto" w:fill="auto"/>
            <w:vAlign w:val="bottom"/>
          </w:tcPr>
          <w:p w14:paraId="42A13E5C"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E5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2A13E5E"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7,179</w:t>
            </w:r>
          </w:p>
        </w:tc>
        <w:tc>
          <w:tcPr>
            <w:tcW w:w="0" w:type="auto"/>
            <w:shd w:val="clear" w:color="auto" w:fill="auto"/>
            <w:vAlign w:val="bottom"/>
          </w:tcPr>
          <w:p w14:paraId="42A13E5F" w14:textId="77777777" w:rsidR="00BB68E1" w:rsidRDefault="00BB68E1">
            <w:pPr>
              <w:textAlignment w:val="bottom"/>
              <w:rPr>
                <w:rFonts w:ascii="Times New Roman" w:hAnsi="Times New Roman"/>
                <w:sz w:val="20"/>
                <w:szCs w:val="20"/>
              </w:rPr>
            </w:pPr>
          </w:p>
        </w:tc>
      </w:tr>
      <w:tr w:rsidR="00BB68E1" w14:paraId="42A13E71" w14:textId="77777777">
        <w:tc>
          <w:tcPr>
            <w:tcW w:w="0" w:type="auto"/>
            <w:shd w:val="clear" w:color="auto" w:fill="CCEEFF"/>
            <w:tcMar>
              <w:top w:w="40" w:type="dxa"/>
              <w:left w:w="40" w:type="dxa"/>
              <w:bottom w:w="40" w:type="dxa"/>
              <w:right w:w="40" w:type="dxa"/>
            </w:tcMar>
            <w:vAlign w:val="center"/>
          </w:tcPr>
          <w:p w14:paraId="42A13E61"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Consolidated net income (loss) attributable to Walmart</w:t>
            </w:r>
          </w:p>
        </w:tc>
        <w:tc>
          <w:tcPr>
            <w:tcW w:w="0" w:type="auto"/>
            <w:shd w:val="clear" w:color="auto" w:fill="CCEEFF"/>
            <w:tcMar>
              <w:top w:w="40" w:type="dxa"/>
              <w:left w:w="40" w:type="dxa"/>
              <w:bottom w:w="40" w:type="dxa"/>
              <w:right w:w="40" w:type="dxa"/>
            </w:tcMar>
            <w:vAlign w:val="bottom"/>
          </w:tcPr>
          <w:p w14:paraId="42A13E6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E63"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2,134</w:t>
            </w:r>
          </w:p>
        </w:tc>
        <w:tc>
          <w:tcPr>
            <w:tcW w:w="0" w:type="auto"/>
            <w:shd w:val="clear" w:color="auto" w:fill="CCEEFF"/>
            <w:vAlign w:val="bottom"/>
          </w:tcPr>
          <w:p w14:paraId="42A13E64"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E6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E66"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(861</w:t>
            </w:r>
          </w:p>
        </w:tc>
        <w:tc>
          <w:tcPr>
            <w:tcW w:w="0" w:type="auto"/>
            <w:shd w:val="clear" w:color="auto" w:fill="CCEEFF"/>
            <w:tcMar>
              <w:top w:w="40" w:type="dxa"/>
              <w:bottom w:w="40" w:type="dxa"/>
              <w:right w:w="40" w:type="dxa"/>
            </w:tcMar>
            <w:vAlign w:val="center"/>
          </w:tcPr>
          <w:p w14:paraId="42A13E67"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E6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E69"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1,710</w:t>
            </w:r>
          </w:p>
        </w:tc>
        <w:tc>
          <w:tcPr>
            <w:tcW w:w="0" w:type="auto"/>
            <w:shd w:val="clear" w:color="auto" w:fill="CCEEFF"/>
            <w:vAlign w:val="bottom"/>
          </w:tcPr>
          <w:p w14:paraId="42A13E6A"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E6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E6C"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3,687</w:t>
            </w:r>
          </w:p>
        </w:tc>
        <w:tc>
          <w:tcPr>
            <w:tcW w:w="0" w:type="auto"/>
            <w:shd w:val="clear" w:color="auto" w:fill="CCEEFF"/>
            <w:vAlign w:val="bottom"/>
          </w:tcPr>
          <w:p w14:paraId="42A13E6D"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E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2A13E6F" w14:textId="77777777" w:rsidR="00BB68E1" w:rsidRDefault="005D2D5E">
            <w:pPr>
              <w:jc w:val="right"/>
              <w:textAlignment w:val="center"/>
              <w:rPr>
                <w:rFonts w:ascii="Times New Roman" w:hAnsi="Times New Roman"/>
                <w:sz w:val="16"/>
                <w:szCs w:val="16"/>
              </w:rPr>
            </w:pPr>
            <w:r>
              <w:rPr>
                <w:rFonts w:ascii="Times New Roman" w:eastAsia="宋体" w:hAnsi="Times New Roman"/>
                <w:sz w:val="16"/>
                <w:szCs w:val="16"/>
              </w:rPr>
              <w:t>6,670</w:t>
            </w:r>
          </w:p>
        </w:tc>
        <w:tc>
          <w:tcPr>
            <w:tcW w:w="0" w:type="auto"/>
            <w:shd w:val="clear" w:color="auto" w:fill="CCEEFF"/>
            <w:vAlign w:val="bottom"/>
          </w:tcPr>
          <w:p w14:paraId="42A13E70" w14:textId="77777777" w:rsidR="00BB68E1" w:rsidRDefault="00BB68E1">
            <w:pPr>
              <w:textAlignment w:val="bottom"/>
              <w:rPr>
                <w:rFonts w:ascii="Times New Roman" w:hAnsi="Times New Roman"/>
                <w:sz w:val="20"/>
                <w:szCs w:val="20"/>
              </w:rPr>
            </w:pPr>
          </w:p>
        </w:tc>
      </w:tr>
      <w:tr w:rsidR="00BB68E1" w14:paraId="42A13E82" w14:textId="77777777">
        <w:tc>
          <w:tcPr>
            <w:tcW w:w="0" w:type="auto"/>
            <w:shd w:val="clear" w:color="auto" w:fill="auto"/>
            <w:tcMar>
              <w:top w:w="40" w:type="dxa"/>
              <w:left w:w="40" w:type="dxa"/>
              <w:bottom w:w="40" w:type="dxa"/>
              <w:right w:w="40" w:type="dxa"/>
            </w:tcMar>
            <w:vAlign w:val="center"/>
          </w:tcPr>
          <w:p w14:paraId="42A13E72"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Basic net income (loss) per common share attributable to Walmart</w:t>
            </w:r>
            <w:r>
              <w:rPr>
                <w:rFonts w:ascii="Times New Roman" w:eastAsia="宋体" w:hAnsi="Times New Roman"/>
                <w:sz w:val="10"/>
                <w:szCs w:val="10"/>
              </w:rPr>
              <w:t>(1)</w:t>
            </w:r>
          </w:p>
        </w:tc>
        <w:tc>
          <w:tcPr>
            <w:tcW w:w="0" w:type="auto"/>
            <w:shd w:val="clear" w:color="auto" w:fill="auto"/>
            <w:tcMar>
              <w:top w:w="40" w:type="dxa"/>
              <w:left w:w="40" w:type="dxa"/>
              <w:bottom w:w="40" w:type="dxa"/>
              <w:right w:w="40" w:type="dxa"/>
            </w:tcMar>
            <w:vAlign w:val="bottom"/>
          </w:tcPr>
          <w:p w14:paraId="42A13E7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E74"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0.72</w:t>
            </w:r>
          </w:p>
        </w:tc>
        <w:tc>
          <w:tcPr>
            <w:tcW w:w="0" w:type="auto"/>
            <w:shd w:val="clear" w:color="auto" w:fill="auto"/>
            <w:vAlign w:val="bottom"/>
          </w:tcPr>
          <w:p w14:paraId="42A13E75"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E7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E77"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(0.29</w:t>
            </w:r>
          </w:p>
        </w:tc>
        <w:tc>
          <w:tcPr>
            <w:tcW w:w="0" w:type="auto"/>
            <w:shd w:val="clear" w:color="auto" w:fill="auto"/>
            <w:tcMar>
              <w:top w:w="40" w:type="dxa"/>
              <w:bottom w:w="40" w:type="dxa"/>
              <w:right w:w="40" w:type="dxa"/>
            </w:tcMar>
            <w:vAlign w:val="bottom"/>
          </w:tcPr>
          <w:p w14:paraId="42A13E78"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3E7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E7A"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0.58</w:t>
            </w:r>
          </w:p>
        </w:tc>
        <w:tc>
          <w:tcPr>
            <w:tcW w:w="0" w:type="auto"/>
            <w:shd w:val="clear" w:color="auto" w:fill="auto"/>
            <w:vAlign w:val="bottom"/>
          </w:tcPr>
          <w:p w14:paraId="42A13E7B"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E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E7D"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1.27</w:t>
            </w:r>
          </w:p>
        </w:tc>
        <w:tc>
          <w:tcPr>
            <w:tcW w:w="0" w:type="auto"/>
            <w:shd w:val="clear" w:color="auto" w:fill="auto"/>
            <w:vAlign w:val="bottom"/>
          </w:tcPr>
          <w:p w14:paraId="42A13E7E" w14:textId="77777777" w:rsidR="00BB68E1" w:rsidRDefault="00BB68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2A13E7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2A13E80"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2.28</w:t>
            </w:r>
          </w:p>
        </w:tc>
        <w:tc>
          <w:tcPr>
            <w:tcW w:w="0" w:type="auto"/>
            <w:shd w:val="clear" w:color="auto" w:fill="auto"/>
            <w:vAlign w:val="bottom"/>
          </w:tcPr>
          <w:p w14:paraId="42A13E81" w14:textId="77777777" w:rsidR="00BB68E1" w:rsidRDefault="00BB68E1">
            <w:pPr>
              <w:textAlignment w:val="bottom"/>
              <w:rPr>
                <w:rFonts w:ascii="Times New Roman" w:hAnsi="Times New Roman"/>
                <w:sz w:val="20"/>
                <w:szCs w:val="20"/>
              </w:rPr>
            </w:pPr>
          </w:p>
        </w:tc>
      </w:tr>
      <w:tr w:rsidR="00BB68E1" w14:paraId="42A13E93" w14:textId="77777777">
        <w:tc>
          <w:tcPr>
            <w:tcW w:w="0" w:type="auto"/>
            <w:shd w:val="clear" w:color="auto" w:fill="CCEEFF"/>
            <w:tcMar>
              <w:top w:w="40" w:type="dxa"/>
              <w:left w:w="40" w:type="dxa"/>
              <w:bottom w:w="40" w:type="dxa"/>
              <w:right w:w="40" w:type="dxa"/>
            </w:tcMar>
            <w:vAlign w:val="center"/>
          </w:tcPr>
          <w:p w14:paraId="42A13E83" w14:textId="77777777" w:rsidR="00BB68E1" w:rsidRDefault="005D2D5E">
            <w:pPr>
              <w:textAlignment w:val="center"/>
              <w:rPr>
                <w:rFonts w:ascii="Times New Roman" w:hAnsi="Times New Roman"/>
                <w:sz w:val="16"/>
                <w:szCs w:val="16"/>
              </w:rPr>
            </w:pPr>
            <w:r>
              <w:rPr>
                <w:rFonts w:ascii="Times New Roman" w:eastAsia="宋体" w:hAnsi="Times New Roman"/>
                <w:sz w:val="16"/>
                <w:szCs w:val="16"/>
              </w:rPr>
              <w:t xml:space="preserve">Diluted net income (loss) per </w:t>
            </w:r>
            <w:r>
              <w:rPr>
                <w:rFonts w:ascii="Times New Roman" w:eastAsia="宋体" w:hAnsi="Times New Roman"/>
                <w:sz w:val="16"/>
                <w:szCs w:val="16"/>
              </w:rPr>
              <w:t>common share attributable to Walmart</w:t>
            </w:r>
            <w:r>
              <w:rPr>
                <w:rFonts w:ascii="Times New Roman" w:eastAsia="宋体" w:hAnsi="Times New Roman"/>
                <w:sz w:val="10"/>
                <w:szCs w:val="10"/>
              </w:rPr>
              <w:t>(1)</w:t>
            </w:r>
          </w:p>
        </w:tc>
        <w:tc>
          <w:tcPr>
            <w:tcW w:w="0" w:type="auto"/>
            <w:shd w:val="clear" w:color="auto" w:fill="CCEEFF"/>
            <w:tcMar>
              <w:top w:w="40" w:type="dxa"/>
              <w:left w:w="40" w:type="dxa"/>
              <w:bottom w:w="40" w:type="dxa"/>
              <w:right w:w="40" w:type="dxa"/>
            </w:tcMar>
            <w:vAlign w:val="bottom"/>
          </w:tcPr>
          <w:p w14:paraId="42A13E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E85"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0.72</w:t>
            </w:r>
          </w:p>
        </w:tc>
        <w:tc>
          <w:tcPr>
            <w:tcW w:w="0" w:type="auto"/>
            <w:shd w:val="clear" w:color="auto" w:fill="CCEEFF"/>
            <w:vAlign w:val="bottom"/>
          </w:tcPr>
          <w:p w14:paraId="42A13E86"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E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E88"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(0.29</w:t>
            </w:r>
          </w:p>
        </w:tc>
        <w:tc>
          <w:tcPr>
            <w:tcW w:w="0" w:type="auto"/>
            <w:shd w:val="clear" w:color="auto" w:fill="CCEEFF"/>
            <w:tcMar>
              <w:top w:w="40" w:type="dxa"/>
              <w:bottom w:w="40" w:type="dxa"/>
              <w:right w:w="40" w:type="dxa"/>
            </w:tcMar>
            <w:vAlign w:val="bottom"/>
          </w:tcPr>
          <w:p w14:paraId="42A13E8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2A13E8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E8B"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0.58</w:t>
            </w:r>
          </w:p>
        </w:tc>
        <w:tc>
          <w:tcPr>
            <w:tcW w:w="0" w:type="auto"/>
            <w:shd w:val="clear" w:color="auto" w:fill="CCEEFF"/>
            <w:vAlign w:val="bottom"/>
          </w:tcPr>
          <w:p w14:paraId="42A13E8C"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E8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E8E"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1.27</w:t>
            </w:r>
          </w:p>
        </w:tc>
        <w:tc>
          <w:tcPr>
            <w:tcW w:w="0" w:type="auto"/>
            <w:shd w:val="clear" w:color="auto" w:fill="CCEEFF"/>
            <w:vAlign w:val="bottom"/>
          </w:tcPr>
          <w:p w14:paraId="42A13E8F" w14:textId="77777777" w:rsidR="00BB68E1" w:rsidRDefault="00BB68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2A13E9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2A13E91" w14:textId="77777777" w:rsidR="00BB68E1" w:rsidRDefault="005D2D5E">
            <w:pPr>
              <w:jc w:val="right"/>
              <w:textAlignment w:val="bottom"/>
              <w:rPr>
                <w:rFonts w:ascii="Times New Roman" w:hAnsi="Times New Roman"/>
                <w:sz w:val="16"/>
                <w:szCs w:val="16"/>
              </w:rPr>
            </w:pPr>
            <w:r>
              <w:rPr>
                <w:rFonts w:ascii="Times New Roman" w:eastAsia="宋体" w:hAnsi="Times New Roman"/>
                <w:sz w:val="16"/>
                <w:szCs w:val="16"/>
              </w:rPr>
              <w:t>2.26</w:t>
            </w:r>
          </w:p>
        </w:tc>
        <w:tc>
          <w:tcPr>
            <w:tcW w:w="0" w:type="auto"/>
            <w:shd w:val="clear" w:color="auto" w:fill="CCEEFF"/>
            <w:vAlign w:val="bottom"/>
          </w:tcPr>
          <w:p w14:paraId="42A13E92" w14:textId="77777777" w:rsidR="00BB68E1" w:rsidRDefault="00BB68E1">
            <w:pPr>
              <w:textAlignment w:val="bottom"/>
              <w:rPr>
                <w:rFonts w:ascii="Times New Roman" w:hAnsi="Times New Roman"/>
                <w:sz w:val="20"/>
                <w:szCs w:val="20"/>
              </w:rPr>
            </w:pPr>
          </w:p>
        </w:tc>
      </w:tr>
    </w:tbl>
    <w:p w14:paraId="42A13E94" w14:textId="77777777" w:rsidR="00BB68E1" w:rsidRDefault="00BB68E1">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BB68E1" w14:paraId="42A13E97" w14:textId="77777777">
        <w:trPr>
          <w:tblCellSpacing w:w="0" w:type="dxa"/>
        </w:trPr>
        <w:tc>
          <w:tcPr>
            <w:tcW w:w="480" w:type="dxa"/>
            <w:shd w:val="clear" w:color="auto" w:fill="auto"/>
            <w:vAlign w:val="center"/>
          </w:tcPr>
          <w:p w14:paraId="42A13E95" w14:textId="77777777" w:rsidR="00BB68E1" w:rsidRDefault="00BB68E1">
            <w:pPr>
              <w:rPr>
                <w:rFonts w:ascii="Times New Roman" w:hAnsi="Times New Roman"/>
                <w:sz w:val="20"/>
                <w:szCs w:val="20"/>
              </w:rPr>
            </w:pPr>
          </w:p>
        </w:tc>
        <w:tc>
          <w:tcPr>
            <w:tcW w:w="0" w:type="auto"/>
            <w:shd w:val="clear" w:color="auto" w:fill="auto"/>
            <w:vAlign w:val="center"/>
          </w:tcPr>
          <w:p w14:paraId="42A13E96" w14:textId="77777777" w:rsidR="00BB68E1" w:rsidRDefault="00BB68E1">
            <w:pPr>
              <w:rPr>
                <w:rFonts w:ascii="Times New Roman" w:hAnsi="Times New Roman"/>
                <w:sz w:val="20"/>
                <w:szCs w:val="20"/>
              </w:rPr>
            </w:pPr>
          </w:p>
        </w:tc>
      </w:tr>
      <w:tr w:rsidR="00BB68E1" w14:paraId="42A13E9A" w14:textId="77777777">
        <w:trPr>
          <w:tblCellSpacing w:w="0" w:type="dxa"/>
        </w:trPr>
        <w:tc>
          <w:tcPr>
            <w:tcW w:w="0" w:type="auto"/>
            <w:shd w:val="clear" w:color="auto" w:fill="auto"/>
          </w:tcPr>
          <w:p w14:paraId="42A13E98"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(1)</w:t>
            </w:r>
          </w:p>
        </w:tc>
        <w:tc>
          <w:tcPr>
            <w:tcW w:w="0" w:type="auto"/>
            <w:shd w:val="clear" w:color="auto" w:fill="auto"/>
          </w:tcPr>
          <w:p w14:paraId="42A13E99" w14:textId="77777777" w:rsidR="00BB68E1" w:rsidRDefault="005D2D5E">
            <w:pPr>
              <w:spacing w:line="288" w:lineRule="auto"/>
              <w:textAlignment w:val="top"/>
              <w:rPr>
                <w:rFonts w:ascii="Times New Roman" w:hAnsi="Times New Roman"/>
                <w:sz w:val="16"/>
                <w:szCs w:val="16"/>
              </w:rPr>
            </w:pPr>
            <w:r>
              <w:rPr>
                <w:rFonts w:ascii="Times New Roman" w:eastAsia="宋体" w:hAnsi="Times New Roman"/>
                <w:sz w:val="16"/>
                <w:szCs w:val="16"/>
              </w:rPr>
              <w:t>The sum of quarterly amounts may not agree to annual amount due to rounding and the impact of a decreasing amount of shares outstanding during the year.</w:t>
            </w:r>
          </w:p>
        </w:tc>
      </w:tr>
    </w:tbl>
    <w:p w14:paraId="42A13E9B" w14:textId="77777777" w:rsidR="00BB68E1" w:rsidRDefault="00BB68E1">
      <w:pPr>
        <w:rPr>
          <w:rFonts w:ascii="Times New Roman" w:hAnsi="Times New Roman"/>
          <w:sz w:val="20"/>
          <w:szCs w:val="20"/>
        </w:rPr>
      </w:pPr>
    </w:p>
    <w:p w14:paraId="42A13E9C"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77</w:t>
      </w:r>
    </w:p>
    <w:p w14:paraId="42A13E9D" w14:textId="77777777" w:rsidR="00BB68E1" w:rsidRDefault="00BB68E1">
      <w:pPr>
        <w:spacing w:line="288" w:lineRule="auto"/>
        <w:jc w:val="center"/>
        <w:rPr>
          <w:rFonts w:ascii="Times New Roman" w:hAnsi="Times New Roman"/>
          <w:sz w:val="20"/>
          <w:szCs w:val="20"/>
        </w:rPr>
      </w:pPr>
    </w:p>
    <w:p w14:paraId="42A13E9E" w14:textId="77777777" w:rsidR="00BB68E1" w:rsidRDefault="005D2D5E">
      <w:r>
        <w:rPr>
          <w:rFonts w:ascii="Times New Roman" w:hAnsi="Times New Roman"/>
          <w:sz w:val="20"/>
          <w:szCs w:val="20"/>
        </w:rPr>
        <w:pict w14:anchorId="42A142C4">
          <v:rect id="_x0000_i1101" style="width:415.3pt;height:1.5pt" o:hralign="center" o:hrstd="t" o:hr="t" fillcolor="#a0a0a0" stroked="f"/>
        </w:pict>
      </w:r>
    </w:p>
    <w:p w14:paraId="42A13E9F" w14:textId="77777777" w:rsidR="00BB68E1" w:rsidRDefault="00BB68E1">
      <w:pPr>
        <w:spacing w:line="288" w:lineRule="auto"/>
        <w:rPr>
          <w:rFonts w:ascii="Times New Roman" w:hAnsi="Times New Roman"/>
          <w:sz w:val="20"/>
          <w:szCs w:val="20"/>
        </w:rPr>
      </w:pPr>
    </w:p>
    <w:p w14:paraId="42A13EA0" w14:textId="77777777" w:rsidR="00BB68E1" w:rsidRDefault="00BB68E1">
      <w:pPr>
        <w:rPr>
          <w:rFonts w:ascii="Times New Roman" w:hAnsi="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BB68E1" w14:paraId="42A13EA2" w14:textId="77777777">
        <w:tc>
          <w:tcPr>
            <w:tcW w:w="0" w:type="auto"/>
            <w:gridSpan w:val="2"/>
            <w:shd w:val="clear" w:color="auto" w:fill="auto"/>
            <w:vAlign w:val="center"/>
          </w:tcPr>
          <w:p w14:paraId="42A13EA1" w14:textId="77777777" w:rsidR="00BB68E1" w:rsidRDefault="00BB68E1">
            <w:pPr>
              <w:rPr>
                <w:rFonts w:ascii="Times New Roman" w:hAnsi="Times New Roman"/>
                <w:sz w:val="20"/>
                <w:szCs w:val="20"/>
              </w:rPr>
            </w:pPr>
          </w:p>
        </w:tc>
      </w:tr>
      <w:tr w:rsidR="00BB68E1" w14:paraId="42A13EA5" w14:textId="77777777">
        <w:tc>
          <w:tcPr>
            <w:tcW w:w="550" w:type="pct"/>
            <w:shd w:val="clear" w:color="auto" w:fill="auto"/>
            <w:vAlign w:val="center"/>
          </w:tcPr>
          <w:p w14:paraId="42A13EA3" w14:textId="77777777" w:rsidR="00BB68E1" w:rsidRDefault="00BB68E1">
            <w:pPr>
              <w:rPr>
                <w:rFonts w:ascii="Times New Roman" w:hAnsi="Times New Roman"/>
                <w:sz w:val="20"/>
                <w:szCs w:val="20"/>
              </w:rPr>
            </w:pPr>
          </w:p>
        </w:tc>
        <w:tc>
          <w:tcPr>
            <w:tcW w:w="4450" w:type="pct"/>
            <w:shd w:val="clear" w:color="auto" w:fill="auto"/>
            <w:vAlign w:val="center"/>
          </w:tcPr>
          <w:p w14:paraId="42A13EA4" w14:textId="77777777" w:rsidR="00BB68E1" w:rsidRDefault="00BB68E1">
            <w:pPr>
              <w:rPr>
                <w:rFonts w:ascii="Times New Roman" w:hAnsi="Times New Roman"/>
                <w:sz w:val="20"/>
                <w:szCs w:val="20"/>
              </w:rPr>
            </w:pPr>
          </w:p>
        </w:tc>
      </w:tr>
      <w:tr w:rsidR="00BB68E1" w14:paraId="42A13EA8" w14:textId="77777777">
        <w:tc>
          <w:tcPr>
            <w:tcW w:w="0" w:type="auto"/>
            <w:shd w:val="clear" w:color="auto" w:fill="auto"/>
            <w:tcMar>
              <w:top w:w="40" w:type="dxa"/>
              <w:left w:w="40" w:type="dxa"/>
              <w:bottom w:w="40" w:type="dxa"/>
              <w:right w:w="40" w:type="dxa"/>
            </w:tcMar>
          </w:tcPr>
          <w:p w14:paraId="42A13EA6"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9.</w:t>
            </w:r>
          </w:p>
        </w:tc>
        <w:tc>
          <w:tcPr>
            <w:tcW w:w="0" w:type="auto"/>
            <w:shd w:val="clear" w:color="auto" w:fill="auto"/>
            <w:tcMar>
              <w:top w:w="40" w:type="dxa"/>
              <w:left w:w="40" w:type="dxa"/>
              <w:bottom w:w="40" w:type="dxa"/>
              <w:right w:w="40" w:type="dxa"/>
            </w:tcMar>
          </w:tcPr>
          <w:p w14:paraId="42A13EA7"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CHANGES IN AND DISAGREEMENTS WITH ACCOUNTANTS ON ACCOUNTING AND FINANCIAL DISCLOSURE</w:t>
            </w:r>
          </w:p>
        </w:tc>
      </w:tr>
    </w:tbl>
    <w:p w14:paraId="42A13EA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None.</w:t>
      </w:r>
    </w:p>
    <w:tbl>
      <w:tblPr>
        <w:tblW w:w="4990" w:type="pct"/>
        <w:tblCellMar>
          <w:left w:w="0" w:type="dxa"/>
          <w:right w:w="0" w:type="dxa"/>
        </w:tblCellMar>
        <w:tblLook w:val="04A0" w:firstRow="1" w:lastRow="0" w:firstColumn="1" w:lastColumn="0" w:noHBand="0" w:noVBand="1"/>
      </w:tblPr>
      <w:tblGrid>
        <w:gridCol w:w="958"/>
        <w:gridCol w:w="7331"/>
      </w:tblGrid>
      <w:tr w:rsidR="00BB68E1" w14:paraId="42A13EAB" w14:textId="77777777">
        <w:tc>
          <w:tcPr>
            <w:tcW w:w="0" w:type="auto"/>
            <w:gridSpan w:val="2"/>
            <w:shd w:val="clear" w:color="auto" w:fill="auto"/>
            <w:vAlign w:val="center"/>
          </w:tcPr>
          <w:p w14:paraId="42A13EAA" w14:textId="77777777" w:rsidR="00BB68E1" w:rsidRDefault="00BB68E1">
            <w:pPr>
              <w:rPr>
                <w:rFonts w:ascii="Times New Roman" w:hAnsi="Times New Roman"/>
                <w:sz w:val="20"/>
                <w:szCs w:val="20"/>
              </w:rPr>
            </w:pPr>
          </w:p>
        </w:tc>
      </w:tr>
      <w:tr w:rsidR="00BB68E1" w14:paraId="42A13EAE" w14:textId="77777777">
        <w:tc>
          <w:tcPr>
            <w:tcW w:w="550" w:type="pct"/>
            <w:shd w:val="clear" w:color="auto" w:fill="auto"/>
            <w:vAlign w:val="center"/>
          </w:tcPr>
          <w:p w14:paraId="42A13EAC" w14:textId="77777777" w:rsidR="00BB68E1" w:rsidRDefault="00BB68E1">
            <w:pPr>
              <w:rPr>
                <w:rFonts w:ascii="Times New Roman" w:hAnsi="Times New Roman"/>
                <w:sz w:val="20"/>
                <w:szCs w:val="20"/>
              </w:rPr>
            </w:pPr>
          </w:p>
        </w:tc>
        <w:tc>
          <w:tcPr>
            <w:tcW w:w="4450" w:type="pct"/>
            <w:shd w:val="clear" w:color="auto" w:fill="auto"/>
            <w:vAlign w:val="center"/>
          </w:tcPr>
          <w:p w14:paraId="42A13EAD" w14:textId="77777777" w:rsidR="00BB68E1" w:rsidRDefault="00BB68E1">
            <w:pPr>
              <w:rPr>
                <w:rFonts w:ascii="Times New Roman" w:hAnsi="Times New Roman"/>
                <w:sz w:val="20"/>
                <w:szCs w:val="20"/>
              </w:rPr>
            </w:pPr>
          </w:p>
        </w:tc>
      </w:tr>
      <w:tr w:rsidR="00BB68E1" w14:paraId="42A13EB1" w14:textId="77777777">
        <w:tc>
          <w:tcPr>
            <w:tcW w:w="0" w:type="auto"/>
            <w:shd w:val="clear" w:color="auto" w:fill="auto"/>
            <w:tcMar>
              <w:top w:w="40" w:type="dxa"/>
              <w:left w:w="40" w:type="dxa"/>
              <w:bottom w:w="40" w:type="dxa"/>
              <w:right w:w="40" w:type="dxa"/>
            </w:tcMar>
          </w:tcPr>
          <w:p w14:paraId="42A13EAF"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9A.</w:t>
            </w:r>
          </w:p>
        </w:tc>
        <w:tc>
          <w:tcPr>
            <w:tcW w:w="0" w:type="auto"/>
            <w:shd w:val="clear" w:color="auto" w:fill="auto"/>
            <w:tcMar>
              <w:top w:w="40" w:type="dxa"/>
              <w:left w:w="40" w:type="dxa"/>
              <w:bottom w:w="40" w:type="dxa"/>
              <w:right w:w="40" w:type="dxa"/>
            </w:tcMar>
          </w:tcPr>
          <w:p w14:paraId="42A13EB0"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CONTROLS AND PROCEDURES</w:t>
            </w:r>
          </w:p>
        </w:tc>
      </w:tr>
    </w:tbl>
    <w:p w14:paraId="42A13EB2"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Evaluation of Disclosure Controls and Procedures</w:t>
      </w:r>
    </w:p>
    <w:p w14:paraId="42A13EB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We maintain disclosure controls and procedures that are </w:t>
      </w:r>
      <w:r>
        <w:rPr>
          <w:rFonts w:ascii="Times New Roman" w:eastAsia="宋体" w:hAnsi="Times New Roman"/>
          <w:sz w:val="20"/>
          <w:szCs w:val="20"/>
        </w:rPr>
        <w:t>designed to provide reasonable assurance that information, which is required to be timely disclosed, is accumulated and communicated to management in a timely fashion. In designing and evaluating such controls and procedures, we recognize that any controls</w:t>
      </w:r>
      <w:r>
        <w:rPr>
          <w:rFonts w:ascii="Times New Roman" w:eastAsia="宋体" w:hAnsi="Times New Roman"/>
          <w:sz w:val="20"/>
          <w:szCs w:val="20"/>
        </w:rPr>
        <w:t xml:space="preserve"> and procedures, no matter how well designed and operated, can provide only reasonable assurance of achieving the desired control objectives. Our management is necessarily required to use judgment in evaluating controls and procedures. Also, we have invest</w:t>
      </w:r>
      <w:r>
        <w:rPr>
          <w:rFonts w:ascii="Times New Roman" w:eastAsia="宋体" w:hAnsi="Times New Roman"/>
          <w:sz w:val="20"/>
          <w:szCs w:val="20"/>
        </w:rPr>
        <w:t>ments in unconsolidated entities. Since we do not control or manage those entities, our controls and procedures with respect to those entities are substantially more limited than those we maintain with respect to our consolidated subsidiaries.</w:t>
      </w:r>
    </w:p>
    <w:p w14:paraId="42A13EB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In the ordin</w:t>
      </w:r>
      <w:r>
        <w:rPr>
          <w:rFonts w:ascii="Times New Roman" w:eastAsia="宋体" w:hAnsi="Times New Roman"/>
          <w:sz w:val="20"/>
          <w:szCs w:val="20"/>
        </w:rPr>
        <w:t>ary course of business, we review our internal control over financial reporting and make changes to our systems and processes to improve such controls and increase efficiency, while ensuring that we maintain an effective internal control environment. Chang</w:t>
      </w:r>
      <w:r>
        <w:rPr>
          <w:rFonts w:ascii="Times New Roman" w:eastAsia="宋体" w:hAnsi="Times New Roman"/>
          <w:sz w:val="20"/>
          <w:szCs w:val="20"/>
        </w:rPr>
        <w:t xml:space="preserve">es may include such activities as implementing new, more efficient systems, updating existing systems, automating manual processes, standardizing controls globally, migrating certain processes to our shared services organizations and increasing monitoring </w:t>
      </w:r>
      <w:r>
        <w:rPr>
          <w:rFonts w:ascii="Times New Roman" w:eastAsia="宋体" w:hAnsi="Times New Roman"/>
          <w:sz w:val="20"/>
          <w:szCs w:val="20"/>
        </w:rPr>
        <w:t>controls. These changes have not materially affected, and are not reasonably likely to materially affect, the Company's internal control over financial reporting. However, they allow us to continue to enhance our internal control over financial reporting a</w:t>
      </w:r>
      <w:r>
        <w:rPr>
          <w:rFonts w:ascii="Times New Roman" w:eastAsia="宋体" w:hAnsi="Times New Roman"/>
          <w:sz w:val="20"/>
          <w:szCs w:val="20"/>
        </w:rPr>
        <w:t>nd ensure that our internal control environment remains effective.</w:t>
      </w:r>
    </w:p>
    <w:p w14:paraId="42A13EB5"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An evaluation of the effectiveness of the design and operation of our disclosure controls and procedures as of the end of the period covered by this report was performed under the supervisi</w:t>
      </w:r>
      <w:r>
        <w:rPr>
          <w:rFonts w:ascii="Times New Roman" w:eastAsia="宋体" w:hAnsi="Times New Roman"/>
          <w:sz w:val="20"/>
          <w:szCs w:val="20"/>
        </w:rPr>
        <w:t>on and with the participation of management, including our Chief Executive Officer and Chief Financial Officer. Based upon that evaluation, our Chief Executive Officer and Chief Financial Officer concluded that our disclosure controls and procedures are ef</w:t>
      </w:r>
      <w:r>
        <w:rPr>
          <w:rFonts w:ascii="Times New Roman" w:eastAsia="宋体" w:hAnsi="Times New Roman"/>
          <w:sz w:val="20"/>
          <w:szCs w:val="20"/>
        </w:rPr>
        <w:t>fective to provide reasonable assurance that information required to be disclosed by the Company in the reports that it files or submits under the Securities Exchange Act of 1934, as amended, is accumulated and communicated to management, including our Chi</w:t>
      </w:r>
      <w:r>
        <w:rPr>
          <w:rFonts w:ascii="Times New Roman" w:eastAsia="宋体" w:hAnsi="Times New Roman"/>
          <w:sz w:val="20"/>
          <w:szCs w:val="20"/>
        </w:rPr>
        <w:t>ef Executive Officer and Chief Financial Officer, as appropriate, to allow timely decisions regarding required disclosure and are effective to provide reasonable assurance that such information is recorded, processed, summarized and reported within the tim</w:t>
      </w:r>
      <w:r>
        <w:rPr>
          <w:rFonts w:ascii="Times New Roman" w:eastAsia="宋体" w:hAnsi="Times New Roman"/>
          <w:sz w:val="20"/>
          <w:szCs w:val="20"/>
        </w:rPr>
        <w:t>e periods specified by the SEC's rules and forms.</w:t>
      </w:r>
    </w:p>
    <w:p w14:paraId="42A13EB6"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Report on Internal Control Over Financial Reporting</w:t>
      </w:r>
    </w:p>
    <w:p w14:paraId="42A13EB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Management has responsibility for establishing and maintaining adequate internal control over financial reporting. Internal control over financial reporti</w:t>
      </w:r>
      <w:r>
        <w:rPr>
          <w:rFonts w:ascii="Times New Roman" w:eastAsia="宋体" w:hAnsi="Times New Roman"/>
          <w:sz w:val="20"/>
          <w:szCs w:val="20"/>
        </w:rPr>
        <w:t xml:space="preserve">ng is a process designed to provide reasonable assurance regarding the reliability of financial reporting and the preparation of financial statements for external reporting purposes in accordance with accounting principles generally accepted in the United </w:t>
      </w:r>
      <w:r>
        <w:rPr>
          <w:rFonts w:ascii="Times New Roman" w:eastAsia="宋体" w:hAnsi="Times New Roman"/>
          <w:sz w:val="20"/>
          <w:szCs w:val="20"/>
        </w:rPr>
        <w:t xml:space="preserve">States. Because of its inherent limitations, internal control over financial reporting may not prevent or detect misstatements. Management has assessed the effectiveness of the Company's internal control over financial reporting as of January 31, 2020. In </w:t>
      </w:r>
      <w:r>
        <w:rPr>
          <w:rFonts w:ascii="Times New Roman" w:eastAsia="宋体" w:hAnsi="Times New Roman"/>
          <w:sz w:val="20"/>
          <w:szCs w:val="20"/>
        </w:rPr>
        <w:t>making its assessment, management has utilized the criteria set forth by the Committee of Sponsoring Organizations ("COSO") of the Treadway Commission in Internal Control-Integrated Framework (2013). Management concluded that based on its assessment, Walma</w:t>
      </w:r>
      <w:r>
        <w:rPr>
          <w:rFonts w:ascii="Times New Roman" w:eastAsia="宋体" w:hAnsi="Times New Roman"/>
          <w:sz w:val="20"/>
          <w:szCs w:val="20"/>
        </w:rPr>
        <w:t>rt's internal control over financial reporting was effective as of January 31, 2020. The Company's internal control over financial reporting as of January 31, 2020, has been audited by Ernst &amp; Young LLP as stated in their report which appears herein.</w:t>
      </w:r>
    </w:p>
    <w:p w14:paraId="42A13EB8" w14:textId="77777777" w:rsidR="00BB68E1" w:rsidRDefault="005D2D5E">
      <w:pPr>
        <w:spacing w:line="288" w:lineRule="auto"/>
        <w:rPr>
          <w:rFonts w:ascii="Times New Roman" w:hAnsi="Times New Roman"/>
          <w:sz w:val="20"/>
          <w:szCs w:val="20"/>
        </w:rPr>
      </w:pPr>
      <w:r>
        <w:rPr>
          <w:rFonts w:ascii="Times New Roman" w:eastAsia="宋体" w:hAnsi="Times New Roman"/>
          <w:b/>
          <w:bCs/>
          <w:sz w:val="20"/>
          <w:szCs w:val="20"/>
        </w:rPr>
        <w:t>Chang</w:t>
      </w:r>
      <w:r>
        <w:rPr>
          <w:rFonts w:ascii="Times New Roman" w:eastAsia="宋体" w:hAnsi="Times New Roman"/>
          <w:b/>
          <w:bCs/>
          <w:sz w:val="20"/>
          <w:szCs w:val="20"/>
        </w:rPr>
        <w:t>es in Internal Control Over Financial Reporting</w:t>
      </w:r>
    </w:p>
    <w:p w14:paraId="42A13EB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There has been no change in the Company's internal control over financial reporting as of January 31, 2020, that has materially affected, or is reasonably likely to materially affect, the Company's internal c</w:t>
      </w:r>
      <w:r>
        <w:rPr>
          <w:rFonts w:ascii="Times New Roman" w:eastAsia="宋体" w:hAnsi="Times New Roman"/>
          <w:sz w:val="20"/>
          <w:szCs w:val="20"/>
        </w:rPr>
        <w:t>ontrol over financial reporting.</w:t>
      </w:r>
    </w:p>
    <w:tbl>
      <w:tblPr>
        <w:tblW w:w="4990" w:type="pct"/>
        <w:tblCellMar>
          <w:left w:w="0" w:type="dxa"/>
          <w:right w:w="0" w:type="dxa"/>
        </w:tblCellMar>
        <w:tblLook w:val="04A0" w:firstRow="1" w:lastRow="0" w:firstColumn="1" w:lastColumn="0" w:noHBand="0" w:noVBand="1"/>
      </w:tblPr>
      <w:tblGrid>
        <w:gridCol w:w="947"/>
        <w:gridCol w:w="7342"/>
      </w:tblGrid>
      <w:tr w:rsidR="00BB68E1" w14:paraId="42A13EBB" w14:textId="77777777">
        <w:tc>
          <w:tcPr>
            <w:tcW w:w="0" w:type="auto"/>
            <w:gridSpan w:val="2"/>
            <w:shd w:val="clear" w:color="auto" w:fill="auto"/>
            <w:vAlign w:val="center"/>
          </w:tcPr>
          <w:p w14:paraId="42A13EBA" w14:textId="77777777" w:rsidR="00BB68E1" w:rsidRDefault="00BB68E1">
            <w:pPr>
              <w:rPr>
                <w:rFonts w:ascii="Times New Roman" w:hAnsi="Times New Roman"/>
                <w:sz w:val="20"/>
                <w:szCs w:val="20"/>
              </w:rPr>
            </w:pPr>
          </w:p>
        </w:tc>
      </w:tr>
      <w:tr w:rsidR="00BB68E1" w14:paraId="42A13EBE" w14:textId="77777777">
        <w:tc>
          <w:tcPr>
            <w:tcW w:w="550" w:type="pct"/>
            <w:shd w:val="clear" w:color="auto" w:fill="auto"/>
            <w:vAlign w:val="center"/>
          </w:tcPr>
          <w:p w14:paraId="42A13EBC" w14:textId="77777777" w:rsidR="00BB68E1" w:rsidRDefault="00BB68E1">
            <w:pPr>
              <w:rPr>
                <w:rFonts w:ascii="Times New Roman" w:hAnsi="Times New Roman"/>
                <w:sz w:val="20"/>
                <w:szCs w:val="20"/>
              </w:rPr>
            </w:pPr>
          </w:p>
        </w:tc>
        <w:tc>
          <w:tcPr>
            <w:tcW w:w="4450" w:type="pct"/>
            <w:shd w:val="clear" w:color="auto" w:fill="auto"/>
            <w:vAlign w:val="center"/>
          </w:tcPr>
          <w:p w14:paraId="42A13EBD" w14:textId="77777777" w:rsidR="00BB68E1" w:rsidRDefault="00BB68E1">
            <w:pPr>
              <w:rPr>
                <w:rFonts w:ascii="Times New Roman" w:hAnsi="Times New Roman"/>
                <w:sz w:val="20"/>
                <w:szCs w:val="20"/>
              </w:rPr>
            </w:pPr>
          </w:p>
        </w:tc>
      </w:tr>
      <w:tr w:rsidR="00BB68E1" w14:paraId="42A13EC1" w14:textId="77777777">
        <w:tc>
          <w:tcPr>
            <w:tcW w:w="0" w:type="auto"/>
            <w:shd w:val="clear" w:color="auto" w:fill="auto"/>
            <w:tcMar>
              <w:top w:w="40" w:type="dxa"/>
              <w:left w:w="40" w:type="dxa"/>
              <w:bottom w:w="40" w:type="dxa"/>
              <w:right w:w="40" w:type="dxa"/>
            </w:tcMar>
          </w:tcPr>
          <w:p w14:paraId="42A13EBF"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9B.</w:t>
            </w:r>
          </w:p>
        </w:tc>
        <w:tc>
          <w:tcPr>
            <w:tcW w:w="0" w:type="auto"/>
            <w:shd w:val="clear" w:color="auto" w:fill="auto"/>
            <w:tcMar>
              <w:top w:w="40" w:type="dxa"/>
              <w:left w:w="40" w:type="dxa"/>
              <w:bottom w:w="40" w:type="dxa"/>
              <w:right w:w="40" w:type="dxa"/>
            </w:tcMar>
          </w:tcPr>
          <w:p w14:paraId="42A13EC0"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OTHER INFORMATION</w:t>
            </w:r>
          </w:p>
        </w:tc>
      </w:tr>
    </w:tbl>
    <w:p w14:paraId="42A13EC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None.</w:t>
      </w:r>
    </w:p>
    <w:p w14:paraId="42A13EC3" w14:textId="77777777" w:rsidR="00BB68E1" w:rsidRDefault="00BB68E1">
      <w:pPr>
        <w:rPr>
          <w:rFonts w:ascii="Times New Roman" w:hAnsi="Times New Roman"/>
          <w:sz w:val="20"/>
          <w:szCs w:val="20"/>
        </w:rPr>
      </w:pPr>
    </w:p>
    <w:p w14:paraId="42A13EC4"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78</w:t>
      </w:r>
    </w:p>
    <w:p w14:paraId="42A13EC5" w14:textId="77777777" w:rsidR="00BB68E1" w:rsidRDefault="00BB68E1">
      <w:pPr>
        <w:spacing w:line="288" w:lineRule="auto"/>
        <w:jc w:val="center"/>
        <w:rPr>
          <w:rFonts w:ascii="Times New Roman" w:hAnsi="Times New Roman"/>
          <w:sz w:val="20"/>
          <w:szCs w:val="20"/>
        </w:rPr>
      </w:pPr>
    </w:p>
    <w:p w14:paraId="42A13EC6" w14:textId="77777777" w:rsidR="00BB68E1" w:rsidRDefault="005D2D5E">
      <w:r>
        <w:rPr>
          <w:rFonts w:ascii="Times New Roman" w:hAnsi="Times New Roman"/>
          <w:sz w:val="20"/>
          <w:szCs w:val="20"/>
        </w:rPr>
        <w:pict w14:anchorId="42A142C5">
          <v:rect id="_x0000_i1102" style="width:415.3pt;height:1.5pt" o:hralign="center" o:hrstd="t" o:hr="t" fillcolor="#a0a0a0" stroked="f"/>
        </w:pict>
      </w:r>
    </w:p>
    <w:p w14:paraId="42A13EC7" w14:textId="77777777" w:rsidR="00BB68E1" w:rsidRDefault="00BB68E1">
      <w:pPr>
        <w:spacing w:line="288" w:lineRule="auto"/>
        <w:rPr>
          <w:rFonts w:ascii="Times New Roman" w:hAnsi="Times New Roman"/>
          <w:sz w:val="20"/>
          <w:szCs w:val="20"/>
        </w:rPr>
      </w:pPr>
    </w:p>
    <w:p w14:paraId="42A13EC8" w14:textId="77777777" w:rsidR="00BB68E1" w:rsidRDefault="00BB68E1">
      <w:pPr>
        <w:rPr>
          <w:rFonts w:ascii="Times New Roman" w:hAnsi="Times New Roman"/>
          <w:sz w:val="20"/>
          <w:szCs w:val="20"/>
        </w:rPr>
      </w:pPr>
    </w:p>
    <w:p w14:paraId="42A13EC9"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u w:val="single"/>
        </w:rPr>
        <w:t>PART III</w:t>
      </w:r>
    </w:p>
    <w:tbl>
      <w:tblPr>
        <w:tblW w:w="4990" w:type="pct"/>
        <w:tblCellMar>
          <w:left w:w="0" w:type="dxa"/>
          <w:right w:w="0" w:type="dxa"/>
        </w:tblCellMar>
        <w:tblLook w:val="04A0" w:firstRow="1" w:lastRow="0" w:firstColumn="1" w:lastColumn="0" w:noHBand="0" w:noVBand="1"/>
      </w:tblPr>
      <w:tblGrid>
        <w:gridCol w:w="914"/>
        <w:gridCol w:w="7375"/>
      </w:tblGrid>
      <w:tr w:rsidR="00BB68E1" w14:paraId="42A13ECB" w14:textId="77777777">
        <w:tc>
          <w:tcPr>
            <w:tcW w:w="0" w:type="auto"/>
            <w:gridSpan w:val="2"/>
            <w:shd w:val="clear" w:color="auto" w:fill="auto"/>
            <w:vAlign w:val="center"/>
          </w:tcPr>
          <w:p w14:paraId="42A13ECA" w14:textId="77777777" w:rsidR="00BB68E1" w:rsidRDefault="00BB68E1">
            <w:pPr>
              <w:rPr>
                <w:rFonts w:ascii="Times New Roman" w:hAnsi="Times New Roman"/>
                <w:sz w:val="20"/>
                <w:szCs w:val="20"/>
              </w:rPr>
            </w:pPr>
          </w:p>
        </w:tc>
      </w:tr>
      <w:tr w:rsidR="00BB68E1" w14:paraId="42A13ECE" w14:textId="77777777">
        <w:tc>
          <w:tcPr>
            <w:tcW w:w="550" w:type="pct"/>
            <w:shd w:val="clear" w:color="auto" w:fill="auto"/>
            <w:vAlign w:val="center"/>
          </w:tcPr>
          <w:p w14:paraId="42A13ECC" w14:textId="77777777" w:rsidR="00BB68E1" w:rsidRDefault="00BB68E1">
            <w:pPr>
              <w:rPr>
                <w:rFonts w:ascii="Times New Roman" w:hAnsi="Times New Roman"/>
                <w:sz w:val="20"/>
                <w:szCs w:val="20"/>
              </w:rPr>
            </w:pPr>
          </w:p>
        </w:tc>
        <w:tc>
          <w:tcPr>
            <w:tcW w:w="4450" w:type="pct"/>
            <w:shd w:val="clear" w:color="auto" w:fill="auto"/>
            <w:vAlign w:val="center"/>
          </w:tcPr>
          <w:p w14:paraId="42A13ECD" w14:textId="77777777" w:rsidR="00BB68E1" w:rsidRDefault="00BB68E1">
            <w:pPr>
              <w:rPr>
                <w:rFonts w:ascii="Times New Roman" w:hAnsi="Times New Roman"/>
                <w:sz w:val="20"/>
                <w:szCs w:val="20"/>
              </w:rPr>
            </w:pPr>
          </w:p>
        </w:tc>
      </w:tr>
      <w:tr w:rsidR="00BB68E1" w14:paraId="42A13ED1" w14:textId="77777777">
        <w:tc>
          <w:tcPr>
            <w:tcW w:w="0" w:type="auto"/>
            <w:shd w:val="clear" w:color="auto" w:fill="auto"/>
            <w:tcMar>
              <w:top w:w="40" w:type="dxa"/>
              <w:left w:w="40" w:type="dxa"/>
              <w:bottom w:w="40" w:type="dxa"/>
              <w:right w:w="40" w:type="dxa"/>
            </w:tcMar>
          </w:tcPr>
          <w:p w14:paraId="42A13ECF"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10.</w:t>
            </w:r>
          </w:p>
        </w:tc>
        <w:tc>
          <w:tcPr>
            <w:tcW w:w="0" w:type="auto"/>
            <w:shd w:val="clear" w:color="auto" w:fill="auto"/>
            <w:tcMar>
              <w:top w:w="40" w:type="dxa"/>
              <w:left w:w="40" w:type="dxa"/>
              <w:bottom w:w="40" w:type="dxa"/>
              <w:right w:w="40" w:type="dxa"/>
            </w:tcMar>
          </w:tcPr>
          <w:p w14:paraId="42A13ED0"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DIRECTORS, EXECUTIVE OFFICERS AND CORPORATE GOVERNANCE</w:t>
            </w:r>
          </w:p>
        </w:tc>
      </w:tr>
    </w:tbl>
    <w:p w14:paraId="42A13ED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Please see the information concerning our executive officers contained in </w:t>
      </w:r>
      <w:hyperlink r:id="rId136" w:anchor="s56BB582E1F7151349909909831A40BD4" w:history="1">
        <w:r>
          <w:rPr>
            <w:rStyle w:val="a5"/>
            <w:rFonts w:ascii="Times New Roman" w:eastAsia="宋体" w:hAnsi="Times New Roman"/>
            <w:sz w:val="20"/>
            <w:szCs w:val="20"/>
          </w:rPr>
          <w:t>Part I, Item 1</w:t>
        </w:r>
      </w:hyperlink>
      <w:r>
        <w:rPr>
          <w:rFonts w:ascii="Times New Roman" w:eastAsia="宋体" w:hAnsi="Times New Roman"/>
          <w:sz w:val="20"/>
          <w:szCs w:val="20"/>
        </w:rPr>
        <w:t xml:space="preserve"> herein und</w:t>
      </w:r>
      <w:r>
        <w:rPr>
          <w:rFonts w:ascii="Times New Roman" w:eastAsia="宋体" w:hAnsi="Times New Roman"/>
          <w:sz w:val="20"/>
          <w:szCs w:val="20"/>
        </w:rPr>
        <w:t>er the caption "Information About Our Executive Officers," which is included there in accordance with Instruction 3 to Item 401(b) of the SEC's Regulation S-K.</w:t>
      </w:r>
    </w:p>
    <w:p w14:paraId="42A13ED3"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Information required by this Item 10 with respect to the Company's directors and certain family </w:t>
      </w:r>
      <w:r>
        <w:rPr>
          <w:rFonts w:ascii="Times New Roman" w:eastAsia="宋体" w:hAnsi="Times New Roman"/>
          <w:sz w:val="20"/>
          <w:szCs w:val="20"/>
        </w:rPr>
        <w:t>relationships is incorporated by reference to such information under the caption "Proposal No. 1 – Election of Directors" included in our Proxy Statement relating to our 2020 Annual Meeting of Shareholders (our "Proxy Statement").</w:t>
      </w:r>
    </w:p>
    <w:p w14:paraId="42A13ED4"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No material changes have </w:t>
      </w:r>
      <w:r>
        <w:rPr>
          <w:rFonts w:ascii="Times New Roman" w:eastAsia="宋体" w:hAnsi="Times New Roman"/>
          <w:sz w:val="20"/>
          <w:szCs w:val="20"/>
        </w:rPr>
        <w:t>been made to the procedures by which shareholders of the Company may recommend nominees to our board of directors since those procedures were disclosed in our proxy statement relating to our 2020 Annual Shareholders' Meeting as previously filed with the SE</w:t>
      </w:r>
      <w:r>
        <w:rPr>
          <w:rFonts w:ascii="Times New Roman" w:eastAsia="宋体" w:hAnsi="Times New Roman"/>
          <w:sz w:val="20"/>
          <w:szCs w:val="20"/>
        </w:rPr>
        <w:t>C.</w:t>
      </w:r>
    </w:p>
    <w:p w14:paraId="42A13ED5"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information regarding our Audit Committee, including our audit committee financial experts and our Codes of Ethics for the CEO and senior financial officers and our Statement of Ethics applicable to all of our associates, including our Chief Executi</w:t>
      </w:r>
      <w:r>
        <w:rPr>
          <w:rFonts w:ascii="Times New Roman" w:eastAsia="宋体" w:hAnsi="Times New Roman"/>
          <w:sz w:val="20"/>
          <w:szCs w:val="20"/>
        </w:rPr>
        <w:t>ve Officer, Chief Financial Officer and our Controller, who is our principal accounting officer, required by this Item is incorporated herein by reference to the information under the captions "Corporate Governance" and "Proposal No. 3: Ratification of Ind</w:t>
      </w:r>
      <w:r>
        <w:rPr>
          <w:rFonts w:ascii="Times New Roman" w:eastAsia="宋体" w:hAnsi="Times New Roman"/>
          <w:sz w:val="20"/>
          <w:szCs w:val="20"/>
        </w:rPr>
        <w:t>ependent Accountants" included in our Proxy Statement. "</w:t>
      </w:r>
      <w:hyperlink r:id="rId137" w:anchor="s56BB582E1F7151349909909831A40BD4" w:history="1">
        <w:r>
          <w:rPr>
            <w:rStyle w:val="a5"/>
            <w:rFonts w:ascii="Times New Roman" w:eastAsia="宋体" w:hAnsi="Times New Roman"/>
            <w:sz w:val="20"/>
            <w:szCs w:val="20"/>
          </w:rPr>
          <w:t>Item 1. Business</w:t>
        </w:r>
      </w:hyperlink>
      <w:r>
        <w:rPr>
          <w:rFonts w:ascii="Times New Roman" w:eastAsia="宋体" w:hAnsi="Times New Roman"/>
          <w:sz w:val="20"/>
          <w:szCs w:val="20"/>
        </w:rPr>
        <w:t>" above contains informatio</w:t>
      </w:r>
      <w:r>
        <w:rPr>
          <w:rFonts w:ascii="Times New Roman" w:eastAsia="宋体" w:hAnsi="Times New Roman"/>
          <w:sz w:val="20"/>
          <w:szCs w:val="20"/>
        </w:rPr>
        <w:t>n relating to the availability of a copy of our Code of Ethics for our CEO and senior financial officers and our Statement of Ethics and the posting of amendments to and any waivers of the Code of Ethics for our CEO and senior financial officers and our St</w:t>
      </w:r>
      <w:r>
        <w:rPr>
          <w:rFonts w:ascii="Times New Roman" w:eastAsia="宋体" w:hAnsi="Times New Roman"/>
          <w:sz w:val="20"/>
          <w:szCs w:val="20"/>
        </w:rPr>
        <w:t>atement of Ethics on our website.</w:t>
      </w:r>
    </w:p>
    <w:tbl>
      <w:tblPr>
        <w:tblW w:w="4990" w:type="pct"/>
        <w:tblCellMar>
          <w:left w:w="0" w:type="dxa"/>
          <w:right w:w="0" w:type="dxa"/>
        </w:tblCellMar>
        <w:tblLook w:val="04A0" w:firstRow="1" w:lastRow="0" w:firstColumn="1" w:lastColumn="0" w:noHBand="0" w:noVBand="1"/>
      </w:tblPr>
      <w:tblGrid>
        <w:gridCol w:w="914"/>
        <w:gridCol w:w="7375"/>
      </w:tblGrid>
      <w:tr w:rsidR="00BB68E1" w14:paraId="42A13ED7" w14:textId="77777777">
        <w:tc>
          <w:tcPr>
            <w:tcW w:w="0" w:type="auto"/>
            <w:gridSpan w:val="2"/>
            <w:shd w:val="clear" w:color="auto" w:fill="auto"/>
            <w:vAlign w:val="center"/>
          </w:tcPr>
          <w:p w14:paraId="42A13ED6" w14:textId="77777777" w:rsidR="00BB68E1" w:rsidRDefault="00BB68E1">
            <w:pPr>
              <w:rPr>
                <w:rFonts w:ascii="Times New Roman" w:hAnsi="Times New Roman"/>
                <w:sz w:val="20"/>
                <w:szCs w:val="20"/>
              </w:rPr>
            </w:pPr>
          </w:p>
        </w:tc>
      </w:tr>
      <w:tr w:rsidR="00BB68E1" w14:paraId="42A13EDA" w14:textId="77777777">
        <w:tc>
          <w:tcPr>
            <w:tcW w:w="550" w:type="pct"/>
            <w:shd w:val="clear" w:color="auto" w:fill="auto"/>
            <w:vAlign w:val="center"/>
          </w:tcPr>
          <w:p w14:paraId="42A13ED8" w14:textId="77777777" w:rsidR="00BB68E1" w:rsidRDefault="00BB68E1">
            <w:pPr>
              <w:rPr>
                <w:rFonts w:ascii="Times New Roman" w:hAnsi="Times New Roman"/>
                <w:sz w:val="20"/>
                <w:szCs w:val="20"/>
              </w:rPr>
            </w:pPr>
          </w:p>
        </w:tc>
        <w:tc>
          <w:tcPr>
            <w:tcW w:w="4450" w:type="pct"/>
            <w:shd w:val="clear" w:color="auto" w:fill="auto"/>
            <w:vAlign w:val="center"/>
          </w:tcPr>
          <w:p w14:paraId="42A13ED9" w14:textId="77777777" w:rsidR="00BB68E1" w:rsidRDefault="00BB68E1">
            <w:pPr>
              <w:rPr>
                <w:rFonts w:ascii="Times New Roman" w:hAnsi="Times New Roman"/>
                <w:sz w:val="20"/>
                <w:szCs w:val="20"/>
              </w:rPr>
            </w:pPr>
          </w:p>
        </w:tc>
      </w:tr>
      <w:tr w:rsidR="00BB68E1" w14:paraId="42A13EDD" w14:textId="77777777">
        <w:tc>
          <w:tcPr>
            <w:tcW w:w="0" w:type="auto"/>
            <w:shd w:val="clear" w:color="auto" w:fill="auto"/>
            <w:tcMar>
              <w:top w:w="40" w:type="dxa"/>
              <w:left w:w="40" w:type="dxa"/>
              <w:bottom w:w="40" w:type="dxa"/>
              <w:right w:w="40" w:type="dxa"/>
            </w:tcMar>
          </w:tcPr>
          <w:p w14:paraId="42A13EDB"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11.</w:t>
            </w:r>
          </w:p>
        </w:tc>
        <w:tc>
          <w:tcPr>
            <w:tcW w:w="0" w:type="auto"/>
            <w:shd w:val="clear" w:color="auto" w:fill="auto"/>
            <w:tcMar>
              <w:top w:w="40" w:type="dxa"/>
              <w:left w:w="40" w:type="dxa"/>
              <w:bottom w:w="40" w:type="dxa"/>
              <w:right w:w="40" w:type="dxa"/>
            </w:tcMar>
          </w:tcPr>
          <w:p w14:paraId="42A13EDC"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EXECUTIVE COMPENSATION</w:t>
            </w:r>
          </w:p>
        </w:tc>
      </w:tr>
    </w:tbl>
    <w:p w14:paraId="42A13ED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information required by this Item 11 is incorporated herein by reference to the information under the captions "Corporate Governance – Director Compensation" and "Executive Compensation" included in our Proxy Statement. </w:t>
      </w:r>
    </w:p>
    <w:tbl>
      <w:tblPr>
        <w:tblW w:w="4990" w:type="pct"/>
        <w:tblCellMar>
          <w:left w:w="0" w:type="dxa"/>
          <w:right w:w="0" w:type="dxa"/>
        </w:tblCellMar>
        <w:tblLook w:val="04A0" w:firstRow="1" w:lastRow="0" w:firstColumn="1" w:lastColumn="0" w:noHBand="0" w:noVBand="1"/>
      </w:tblPr>
      <w:tblGrid>
        <w:gridCol w:w="914"/>
        <w:gridCol w:w="7375"/>
      </w:tblGrid>
      <w:tr w:rsidR="00BB68E1" w14:paraId="42A13EE0" w14:textId="77777777">
        <w:tc>
          <w:tcPr>
            <w:tcW w:w="0" w:type="auto"/>
            <w:gridSpan w:val="2"/>
            <w:shd w:val="clear" w:color="auto" w:fill="auto"/>
            <w:vAlign w:val="center"/>
          </w:tcPr>
          <w:p w14:paraId="42A13EDF" w14:textId="77777777" w:rsidR="00BB68E1" w:rsidRDefault="00BB68E1">
            <w:pPr>
              <w:rPr>
                <w:rFonts w:ascii="Times New Roman" w:hAnsi="Times New Roman"/>
                <w:sz w:val="20"/>
                <w:szCs w:val="20"/>
              </w:rPr>
            </w:pPr>
          </w:p>
        </w:tc>
      </w:tr>
      <w:tr w:rsidR="00BB68E1" w14:paraId="42A13EE3" w14:textId="77777777">
        <w:tc>
          <w:tcPr>
            <w:tcW w:w="550" w:type="pct"/>
            <w:shd w:val="clear" w:color="auto" w:fill="auto"/>
            <w:vAlign w:val="center"/>
          </w:tcPr>
          <w:p w14:paraId="42A13EE1" w14:textId="77777777" w:rsidR="00BB68E1" w:rsidRDefault="00BB68E1">
            <w:pPr>
              <w:rPr>
                <w:rFonts w:ascii="Times New Roman" w:hAnsi="Times New Roman"/>
                <w:sz w:val="20"/>
                <w:szCs w:val="20"/>
              </w:rPr>
            </w:pPr>
          </w:p>
        </w:tc>
        <w:tc>
          <w:tcPr>
            <w:tcW w:w="4450" w:type="pct"/>
            <w:shd w:val="clear" w:color="auto" w:fill="auto"/>
            <w:vAlign w:val="center"/>
          </w:tcPr>
          <w:p w14:paraId="42A13EE2" w14:textId="77777777" w:rsidR="00BB68E1" w:rsidRDefault="00BB68E1">
            <w:pPr>
              <w:rPr>
                <w:rFonts w:ascii="Times New Roman" w:hAnsi="Times New Roman"/>
                <w:sz w:val="20"/>
                <w:szCs w:val="20"/>
              </w:rPr>
            </w:pPr>
          </w:p>
        </w:tc>
      </w:tr>
      <w:tr w:rsidR="00BB68E1" w14:paraId="42A13EE6" w14:textId="77777777">
        <w:tc>
          <w:tcPr>
            <w:tcW w:w="0" w:type="auto"/>
            <w:shd w:val="clear" w:color="auto" w:fill="auto"/>
            <w:tcMar>
              <w:top w:w="40" w:type="dxa"/>
              <w:left w:w="40" w:type="dxa"/>
              <w:bottom w:w="40" w:type="dxa"/>
              <w:right w:w="40" w:type="dxa"/>
            </w:tcMar>
          </w:tcPr>
          <w:p w14:paraId="42A13EE4"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12.</w:t>
            </w:r>
          </w:p>
        </w:tc>
        <w:tc>
          <w:tcPr>
            <w:tcW w:w="0" w:type="auto"/>
            <w:shd w:val="clear" w:color="auto" w:fill="auto"/>
            <w:tcMar>
              <w:top w:w="40" w:type="dxa"/>
              <w:left w:w="40" w:type="dxa"/>
              <w:bottom w:w="40" w:type="dxa"/>
              <w:right w:w="40" w:type="dxa"/>
            </w:tcMar>
          </w:tcPr>
          <w:p w14:paraId="42A13EE5"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 xml:space="preserve">SECURITY </w:t>
            </w:r>
            <w:r>
              <w:rPr>
                <w:rFonts w:ascii="Times New Roman" w:eastAsia="宋体" w:hAnsi="Times New Roman"/>
                <w:b/>
                <w:bCs/>
                <w:sz w:val="20"/>
                <w:szCs w:val="20"/>
                <w:u w:val="single"/>
              </w:rPr>
              <w:t>OWNERSHIP OF CERTAIN BENEFICIAL OWNERS AND MANAGEMENT AND RELATED STOCKHOLDER MATTERS</w:t>
            </w:r>
          </w:p>
        </w:tc>
      </w:tr>
    </w:tbl>
    <w:p w14:paraId="42A13EE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The information required by this Item 12 is incorporated herein by reference to  the information that appears under the caption "Stock Ownership" included in our Proxy S</w:t>
      </w:r>
      <w:r>
        <w:rPr>
          <w:rFonts w:ascii="Times New Roman" w:eastAsia="宋体" w:hAnsi="Times New Roman"/>
          <w:sz w:val="20"/>
          <w:szCs w:val="20"/>
        </w:rPr>
        <w:t>tatement.</w:t>
      </w:r>
    </w:p>
    <w:tbl>
      <w:tblPr>
        <w:tblW w:w="4990" w:type="pct"/>
        <w:tblCellMar>
          <w:left w:w="0" w:type="dxa"/>
          <w:right w:w="0" w:type="dxa"/>
        </w:tblCellMar>
        <w:tblLook w:val="04A0" w:firstRow="1" w:lastRow="0" w:firstColumn="1" w:lastColumn="0" w:noHBand="0" w:noVBand="1"/>
      </w:tblPr>
      <w:tblGrid>
        <w:gridCol w:w="914"/>
        <w:gridCol w:w="7375"/>
      </w:tblGrid>
      <w:tr w:rsidR="00BB68E1" w14:paraId="42A13EE9" w14:textId="77777777">
        <w:tc>
          <w:tcPr>
            <w:tcW w:w="0" w:type="auto"/>
            <w:gridSpan w:val="2"/>
            <w:shd w:val="clear" w:color="auto" w:fill="auto"/>
            <w:vAlign w:val="center"/>
          </w:tcPr>
          <w:p w14:paraId="42A13EE8" w14:textId="77777777" w:rsidR="00BB68E1" w:rsidRDefault="00BB68E1">
            <w:pPr>
              <w:rPr>
                <w:rFonts w:ascii="Times New Roman" w:hAnsi="Times New Roman"/>
                <w:sz w:val="20"/>
                <w:szCs w:val="20"/>
              </w:rPr>
            </w:pPr>
          </w:p>
        </w:tc>
      </w:tr>
      <w:tr w:rsidR="00BB68E1" w14:paraId="42A13EEC" w14:textId="77777777">
        <w:tc>
          <w:tcPr>
            <w:tcW w:w="550" w:type="pct"/>
            <w:shd w:val="clear" w:color="auto" w:fill="auto"/>
            <w:vAlign w:val="center"/>
          </w:tcPr>
          <w:p w14:paraId="42A13EEA" w14:textId="77777777" w:rsidR="00BB68E1" w:rsidRDefault="00BB68E1">
            <w:pPr>
              <w:rPr>
                <w:rFonts w:ascii="Times New Roman" w:hAnsi="Times New Roman"/>
                <w:sz w:val="20"/>
                <w:szCs w:val="20"/>
              </w:rPr>
            </w:pPr>
          </w:p>
        </w:tc>
        <w:tc>
          <w:tcPr>
            <w:tcW w:w="4450" w:type="pct"/>
            <w:shd w:val="clear" w:color="auto" w:fill="auto"/>
            <w:vAlign w:val="center"/>
          </w:tcPr>
          <w:p w14:paraId="42A13EEB" w14:textId="77777777" w:rsidR="00BB68E1" w:rsidRDefault="00BB68E1">
            <w:pPr>
              <w:rPr>
                <w:rFonts w:ascii="Times New Roman" w:hAnsi="Times New Roman"/>
                <w:sz w:val="20"/>
                <w:szCs w:val="20"/>
              </w:rPr>
            </w:pPr>
          </w:p>
        </w:tc>
      </w:tr>
      <w:tr w:rsidR="00BB68E1" w14:paraId="42A13EEF" w14:textId="77777777">
        <w:tc>
          <w:tcPr>
            <w:tcW w:w="0" w:type="auto"/>
            <w:shd w:val="clear" w:color="auto" w:fill="auto"/>
            <w:tcMar>
              <w:top w:w="40" w:type="dxa"/>
              <w:left w:w="40" w:type="dxa"/>
              <w:bottom w:w="40" w:type="dxa"/>
              <w:right w:w="40" w:type="dxa"/>
            </w:tcMar>
          </w:tcPr>
          <w:p w14:paraId="42A13EED"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13.</w:t>
            </w:r>
          </w:p>
        </w:tc>
        <w:tc>
          <w:tcPr>
            <w:tcW w:w="0" w:type="auto"/>
            <w:shd w:val="clear" w:color="auto" w:fill="auto"/>
            <w:tcMar>
              <w:top w:w="40" w:type="dxa"/>
              <w:left w:w="40" w:type="dxa"/>
              <w:bottom w:w="40" w:type="dxa"/>
              <w:right w:w="40" w:type="dxa"/>
            </w:tcMar>
          </w:tcPr>
          <w:p w14:paraId="42A13EEE"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CERTAIN RELATIONSHIPS AND RELATED TRANSACTIONS, AND DIRECTOR INDEPENDENCE</w:t>
            </w:r>
          </w:p>
        </w:tc>
      </w:tr>
    </w:tbl>
    <w:p w14:paraId="42A13EF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lastRenderedPageBreak/>
        <w:t xml:space="preserve">The information required by this Item 13 is incorporated herein by reference to the information under the caption "Corporate Governance – Board </w:t>
      </w:r>
      <w:r>
        <w:rPr>
          <w:rFonts w:ascii="Times New Roman" w:eastAsia="宋体" w:hAnsi="Times New Roman"/>
          <w:sz w:val="20"/>
          <w:szCs w:val="20"/>
        </w:rPr>
        <w:t>Processes and Practices"  included in our Proxy Statement.</w:t>
      </w:r>
    </w:p>
    <w:tbl>
      <w:tblPr>
        <w:tblW w:w="4990" w:type="pct"/>
        <w:tblCellMar>
          <w:left w:w="0" w:type="dxa"/>
          <w:right w:w="0" w:type="dxa"/>
        </w:tblCellMar>
        <w:tblLook w:val="04A0" w:firstRow="1" w:lastRow="0" w:firstColumn="1" w:lastColumn="0" w:noHBand="0" w:noVBand="1"/>
      </w:tblPr>
      <w:tblGrid>
        <w:gridCol w:w="914"/>
        <w:gridCol w:w="7375"/>
      </w:tblGrid>
      <w:tr w:rsidR="00BB68E1" w14:paraId="42A13EF2" w14:textId="77777777">
        <w:tc>
          <w:tcPr>
            <w:tcW w:w="0" w:type="auto"/>
            <w:gridSpan w:val="2"/>
            <w:shd w:val="clear" w:color="auto" w:fill="auto"/>
            <w:vAlign w:val="center"/>
          </w:tcPr>
          <w:p w14:paraId="42A13EF1" w14:textId="77777777" w:rsidR="00BB68E1" w:rsidRDefault="00BB68E1">
            <w:pPr>
              <w:rPr>
                <w:rFonts w:ascii="Times New Roman" w:hAnsi="Times New Roman"/>
                <w:sz w:val="20"/>
                <w:szCs w:val="20"/>
              </w:rPr>
            </w:pPr>
          </w:p>
        </w:tc>
      </w:tr>
      <w:tr w:rsidR="00BB68E1" w14:paraId="42A13EF5" w14:textId="77777777">
        <w:tc>
          <w:tcPr>
            <w:tcW w:w="550" w:type="pct"/>
            <w:shd w:val="clear" w:color="auto" w:fill="auto"/>
            <w:vAlign w:val="center"/>
          </w:tcPr>
          <w:p w14:paraId="42A13EF3" w14:textId="77777777" w:rsidR="00BB68E1" w:rsidRDefault="00BB68E1">
            <w:pPr>
              <w:rPr>
                <w:rFonts w:ascii="Times New Roman" w:hAnsi="Times New Roman"/>
                <w:sz w:val="20"/>
                <w:szCs w:val="20"/>
              </w:rPr>
            </w:pPr>
          </w:p>
        </w:tc>
        <w:tc>
          <w:tcPr>
            <w:tcW w:w="4450" w:type="pct"/>
            <w:shd w:val="clear" w:color="auto" w:fill="auto"/>
            <w:vAlign w:val="center"/>
          </w:tcPr>
          <w:p w14:paraId="42A13EF4" w14:textId="77777777" w:rsidR="00BB68E1" w:rsidRDefault="00BB68E1">
            <w:pPr>
              <w:rPr>
                <w:rFonts w:ascii="Times New Roman" w:hAnsi="Times New Roman"/>
                <w:sz w:val="20"/>
                <w:szCs w:val="20"/>
              </w:rPr>
            </w:pPr>
          </w:p>
        </w:tc>
      </w:tr>
      <w:tr w:rsidR="00BB68E1" w14:paraId="42A13EF8" w14:textId="77777777">
        <w:tc>
          <w:tcPr>
            <w:tcW w:w="0" w:type="auto"/>
            <w:shd w:val="clear" w:color="auto" w:fill="auto"/>
            <w:tcMar>
              <w:top w:w="40" w:type="dxa"/>
              <w:left w:w="40" w:type="dxa"/>
              <w:bottom w:w="40" w:type="dxa"/>
              <w:right w:w="40" w:type="dxa"/>
            </w:tcMar>
          </w:tcPr>
          <w:p w14:paraId="42A13EF6"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14.</w:t>
            </w:r>
          </w:p>
        </w:tc>
        <w:tc>
          <w:tcPr>
            <w:tcW w:w="0" w:type="auto"/>
            <w:shd w:val="clear" w:color="auto" w:fill="auto"/>
            <w:tcMar>
              <w:top w:w="40" w:type="dxa"/>
              <w:left w:w="40" w:type="dxa"/>
              <w:bottom w:w="40" w:type="dxa"/>
              <w:right w:w="40" w:type="dxa"/>
            </w:tcMar>
          </w:tcPr>
          <w:p w14:paraId="42A13EF7"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PRINCIPAL ACCOUNTING FEES AND SERVICES</w:t>
            </w:r>
          </w:p>
        </w:tc>
      </w:tr>
    </w:tbl>
    <w:p w14:paraId="42A13EF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The information required by this item 14 is incorporated herein by reference to the information under the caption "Proposal No. 3 – </w:t>
      </w:r>
      <w:r>
        <w:rPr>
          <w:rFonts w:ascii="Times New Roman" w:eastAsia="宋体" w:hAnsi="Times New Roman"/>
          <w:sz w:val="20"/>
          <w:szCs w:val="20"/>
        </w:rPr>
        <w:t>Ratification of Independent Accountants" included in our Proxy Statement.</w:t>
      </w:r>
    </w:p>
    <w:p w14:paraId="42A13EFA" w14:textId="77777777" w:rsidR="00BB68E1" w:rsidRDefault="00BB68E1">
      <w:pPr>
        <w:rPr>
          <w:rFonts w:ascii="Times New Roman" w:hAnsi="Times New Roman"/>
          <w:sz w:val="20"/>
          <w:szCs w:val="20"/>
        </w:rPr>
      </w:pPr>
    </w:p>
    <w:p w14:paraId="42A13EFB"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79</w:t>
      </w:r>
    </w:p>
    <w:p w14:paraId="42A13EFC" w14:textId="77777777" w:rsidR="00BB68E1" w:rsidRDefault="00BB68E1">
      <w:pPr>
        <w:spacing w:line="288" w:lineRule="auto"/>
        <w:jc w:val="center"/>
        <w:rPr>
          <w:rFonts w:ascii="Times New Roman" w:hAnsi="Times New Roman"/>
          <w:sz w:val="20"/>
          <w:szCs w:val="20"/>
        </w:rPr>
      </w:pPr>
    </w:p>
    <w:p w14:paraId="42A13EFD" w14:textId="77777777" w:rsidR="00BB68E1" w:rsidRDefault="005D2D5E">
      <w:r>
        <w:rPr>
          <w:rFonts w:ascii="Times New Roman" w:hAnsi="Times New Roman"/>
          <w:sz w:val="20"/>
          <w:szCs w:val="20"/>
        </w:rPr>
        <w:pict w14:anchorId="42A142C6">
          <v:rect id="_x0000_i1103" style="width:415.3pt;height:1.5pt" o:hralign="center" o:hrstd="t" o:hr="t" fillcolor="#a0a0a0" stroked="f"/>
        </w:pict>
      </w:r>
    </w:p>
    <w:p w14:paraId="42A13EFE" w14:textId="77777777" w:rsidR="00BB68E1" w:rsidRDefault="00BB68E1">
      <w:pPr>
        <w:spacing w:line="288" w:lineRule="auto"/>
        <w:rPr>
          <w:rFonts w:ascii="Times New Roman" w:hAnsi="Times New Roman"/>
          <w:sz w:val="20"/>
          <w:szCs w:val="20"/>
        </w:rPr>
      </w:pPr>
    </w:p>
    <w:p w14:paraId="42A13EFF" w14:textId="77777777" w:rsidR="00BB68E1" w:rsidRDefault="00BB68E1">
      <w:pPr>
        <w:rPr>
          <w:rFonts w:ascii="Times New Roman" w:hAnsi="Times New Roman"/>
          <w:sz w:val="20"/>
          <w:szCs w:val="20"/>
        </w:rPr>
      </w:pPr>
    </w:p>
    <w:p w14:paraId="42A13F00"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u w:val="single"/>
        </w:rPr>
        <w:t>PART IV</w:t>
      </w:r>
    </w:p>
    <w:tbl>
      <w:tblPr>
        <w:tblW w:w="4990" w:type="pct"/>
        <w:tblCellMar>
          <w:left w:w="0" w:type="dxa"/>
          <w:right w:w="0" w:type="dxa"/>
        </w:tblCellMar>
        <w:tblLook w:val="04A0" w:firstRow="1" w:lastRow="0" w:firstColumn="1" w:lastColumn="0" w:noHBand="0" w:noVBand="1"/>
      </w:tblPr>
      <w:tblGrid>
        <w:gridCol w:w="914"/>
        <w:gridCol w:w="7375"/>
      </w:tblGrid>
      <w:tr w:rsidR="00BB68E1" w14:paraId="42A13F02" w14:textId="77777777">
        <w:tc>
          <w:tcPr>
            <w:tcW w:w="0" w:type="auto"/>
            <w:gridSpan w:val="2"/>
            <w:shd w:val="clear" w:color="auto" w:fill="auto"/>
            <w:vAlign w:val="center"/>
          </w:tcPr>
          <w:p w14:paraId="42A13F01" w14:textId="77777777" w:rsidR="00BB68E1" w:rsidRDefault="00BB68E1">
            <w:pPr>
              <w:rPr>
                <w:rFonts w:ascii="Times New Roman" w:hAnsi="Times New Roman"/>
                <w:sz w:val="20"/>
                <w:szCs w:val="20"/>
              </w:rPr>
            </w:pPr>
          </w:p>
        </w:tc>
      </w:tr>
      <w:tr w:rsidR="00BB68E1" w14:paraId="42A13F05" w14:textId="77777777">
        <w:tc>
          <w:tcPr>
            <w:tcW w:w="550" w:type="pct"/>
            <w:shd w:val="clear" w:color="auto" w:fill="auto"/>
            <w:vAlign w:val="center"/>
          </w:tcPr>
          <w:p w14:paraId="42A13F03" w14:textId="77777777" w:rsidR="00BB68E1" w:rsidRDefault="00BB68E1">
            <w:pPr>
              <w:rPr>
                <w:rFonts w:ascii="Times New Roman" w:hAnsi="Times New Roman"/>
                <w:sz w:val="20"/>
                <w:szCs w:val="20"/>
              </w:rPr>
            </w:pPr>
          </w:p>
        </w:tc>
        <w:tc>
          <w:tcPr>
            <w:tcW w:w="4450" w:type="pct"/>
            <w:shd w:val="clear" w:color="auto" w:fill="auto"/>
            <w:vAlign w:val="center"/>
          </w:tcPr>
          <w:p w14:paraId="42A13F04" w14:textId="77777777" w:rsidR="00BB68E1" w:rsidRDefault="00BB68E1">
            <w:pPr>
              <w:rPr>
                <w:rFonts w:ascii="Times New Roman" w:hAnsi="Times New Roman"/>
                <w:sz w:val="20"/>
                <w:szCs w:val="20"/>
              </w:rPr>
            </w:pPr>
          </w:p>
        </w:tc>
      </w:tr>
      <w:tr w:rsidR="00BB68E1" w14:paraId="42A13F08" w14:textId="77777777">
        <w:tc>
          <w:tcPr>
            <w:tcW w:w="0" w:type="auto"/>
            <w:shd w:val="clear" w:color="auto" w:fill="auto"/>
            <w:tcMar>
              <w:top w:w="40" w:type="dxa"/>
              <w:left w:w="40" w:type="dxa"/>
              <w:bottom w:w="40" w:type="dxa"/>
              <w:right w:w="40" w:type="dxa"/>
            </w:tcMar>
          </w:tcPr>
          <w:p w14:paraId="42A13F06"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15.</w:t>
            </w:r>
          </w:p>
        </w:tc>
        <w:tc>
          <w:tcPr>
            <w:tcW w:w="0" w:type="auto"/>
            <w:shd w:val="clear" w:color="auto" w:fill="auto"/>
            <w:tcMar>
              <w:top w:w="40" w:type="dxa"/>
              <w:left w:w="40" w:type="dxa"/>
              <w:bottom w:w="40" w:type="dxa"/>
              <w:right w:w="40" w:type="dxa"/>
            </w:tcMar>
          </w:tcPr>
          <w:p w14:paraId="42A13F07"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EXHIBITS, FINANCIAL STATEMENT SCHEDULES</w:t>
            </w:r>
          </w:p>
        </w:tc>
      </w:tr>
    </w:tbl>
    <w:p w14:paraId="42A13F09"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(a)     Documents filed as part of this report are as follows: </w:t>
      </w:r>
    </w:p>
    <w:p w14:paraId="42A13F0A" w14:textId="77777777" w:rsidR="00BB68E1" w:rsidRDefault="005D2D5E">
      <w:pPr>
        <w:spacing w:line="288" w:lineRule="auto"/>
        <w:ind w:firstLine="960"/>
        <w:rPr>
          <w:rFonts w:ascii="Times New Roman" w:hAnsi="Times New Roman"/>
          <w:sz w:val="20"/>
          <w:szCs w:val="20"/>
        </w:rPr>
      </w:pPr>
      <w:r>
        <w:rPr>
          <w:rFonts w:ascii="Times New Roman" w:eastAsia="宋体" w:hAnsi="Times New Roman"/>
          <w:sz w:val="20"/>
          <w:szCs w:val="20"/>
        </w:rPr>
        <w:t xml:space="preserve">1.     Financial Statements: See the Financial Statements in </w:t>
      </w:r>
      <w:hyperlink r:id="rId138" w:anchor="sFCE629F46DEA5012B13798FF82B77CC9" w:history="1">
        <w:r>
          <w:rPr>
            <w:rStyle w:val="a5"/>
            <w:rFonts w:ascii="Times New Roman" w:eastAsia="宋体" w:hAnsi="Times New Roman"/>
            <w:sz w:val="20"/>
            <w:szCs w:val="20"/>
          </w:rPr>
          <w:t>Part II, Item 8</w:t>
        </w:r>
      </w:hyperlink>
      <w:r>
        <w:rPr>
          <w:rFonts w:ascii="Times New Roman" w:eastAsia="宋体" w:hAnsi="Times New Roman"/>
          <w:sz w:val="20"/>
          <w:szCs w:val="20"/>
        </w:rPr>
        <w:t>.</w:t>
      </w:r>
    </w:p>
    <w:p w14:paraId="42A13F0B" w14:textId="77777777" w:rsidR="00BB68E1" w:rsidRDefault="005D2D5E">
      <w:pPr>
        <w:spacing w:line="288" w:lineRule="auto"/>
        <w:ind w:firstLine="960"/>
        <w:rPr>
          <w:rFonts w:ascii="Times New Roman" w:hAnsi="Times New Roman"/>
          <w:sz w:val="20"/>
          <w:szCs w:val="20"/>
        </w:rPr>
      </w:pPr>
      <w:r>
        <w:rPr>
          <w:rFonts w:ascii="Times New Roman" w:eastAsia="宋体" w:hAnsi="Times New Roman"/>
          <w:sz w:val="20"/>
          <w:szCs w:val="20"/>
        </w:rPr>
        <w:t>2.     Financial Statement Schedules:</w:t>
      </w:r>
    </w:p>
    <w:p w14:paraId="42A13F0C"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Certain schedules have been omitted because the required information is not present or is not present in amounts sufficient to require submission of the schedule, or because t</w:t>
      </w:r>
      <w:r>
        <w:rPr>
          <w:rFonts w:ascii="Times New Roman" w:eastAsia="宋体" w:hAnsi="Times New Roman"/>
          <w:sz w:val="20"/>
          <w:szCs w:val="20"/>
        </w:rPr>
        <w:t>he information required is included in the Consolidated Financial Statements, including the notes thereto.</w:t>
      </w:r>
    </w:p>
    <w:p w14:paraId="42A13F0D" w14:textId="77777777" w:rsidR="00BB68E1" w:rsidRDefault="005D2D5E">
      <w:pPr>
        <w:spacing w:line="288" w:lineRule="auto"/>
        <w:ind w:firstLine="960"/>
        <w:rPr>
          <w:rFonts w:ascii="Times New Roman" w:hAnsi="Times New Roman"/>
          <w:sz w:val="20"/>
          <w:szCs w:val="20"/>
        </w:rPr>
      </w:pPr>
      <w:r>
        <w:rPr>
          <w:rFonts w:ascii="Times New Roman" w:eastAsia="宋体" w:hAnsi="Times New Roman"/>
          <w:sz w:val="20"/>
          <w:szCs w:val="20"/>
        </w:rPr>
        <w:t>3.     Exhibits:</w:t>
      </w:r>
    </w:p>
    <w:p w14:paraId="42A13F0E"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See exhibits listed under part (b) below.</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BB68E1" w14:paraId="42A13F11" w14:textId="77777777">
        <w:trPr>
          <w:tblCellSpacing w:w="0" w:type="dxa"/>
        </w:trPr>
        <w:tc>
          <w:tcPr>
            <w:tcW w:w="960" w:type="dxa"/>
            <w:shd w:val="clear" w:color="auto" w:fill="auto"/>
            <w:vAlign w:val="center"/>
          </w:tcPr>
          <w:p w14:paraId="42A13F0F" w14:textId="77777777" w:rsidR="00BB68E1" w:rsidRDefault="00BB68E1">
            <w:pPr>
              <w:rPr>
                <w:rFonts w:ascii="Times New Roman" w:hAnsi="Times New Roman"/>
                <w:sz w:val="20"/>
                <w:szCs w:val="20"/>
              </w:rPr>
            </w:pPr>
          </w:p>
        </w:tc>
        <w:tc>
          <w:tcPr>
            <w:tcW w:w="0" w:type="auto"/>
            <w:shd w:val="clear" w:color="auto" w:fill="auto"/>
            <w:vAlign w:val="center"/>
          </w:tcPr>
          <w:p w14:paraId="42A13F10" w14:textId="77777777" w:rsidR="00BB68E1" w:rsidRDefault="00BB68E1">
            <w:pPr>
              <w:rPr>
                <w:rFonts w:ascii="Times New Roman" w:hAnsi="Times New Roman"/>
                <w:sz w:val="20"/>
                <w:szCs w:val="20"/>
              </w:rPr>
            </w:pPr>
          </w:p>
        </w:tc>
      </w:tr>
      <w:tr w:rsidR="00BB68E1" w14:paraId="42A13F14" w14:textId="77777777">
        <w:trPr>
          <w:tblCellSpacing w:w="0" w:type="dxa"/>
        </w:trPr>
        <w:tc>
          <w:tcPr>
            <w:tcW w:w="0" w:type="auto"/>
            <w:shd w:val="clear" w:color="auto" w:fill="auto"/>
          </w:tcPr>
          <w:p w14:paraId="42A13F12"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42A13F13" w14:textId="77777777" w:rsidR="00BB68E1" w:rsidRDefault="005D2D5E">
            <w:pPr>
              <w:spacing w:line="288" w:lineRule="auto"/>
              <w:textAlignment w:val="top"/>
              <w:rPr>
                <w:rFonts w:ascii="Times New Roman" w:hAnsi="Times New Roman"/>
                <w:sz w:val="20"/>
                <w:szCs w:val="20"/>
              </w:rPr>
            </w:pPr>
            <w:r>
              <w:rPr>
                <w:rFonts w:ascii="Times New Roman" w:eastAsia="宋体" w:hAnsi="Times New Roman"/>
                <w:sz w:val="20"/>
                <w:szCs w:val="20"/>
              </w:rPr>
              <w:t>The required exhibits are filed as part of this Form 10-K or are incorporated by re</w:t>
            </w:r>
            <w:r>
              <w:rPr>
                <w:rFonts w:ascii="Times New Roman" w:eastAsia="宋体" w:hAnsi="Times New Roman"/>
                <w:sz w:val="20"/>
                <w:szCs w:val="20"/>
              </w:rPr>
              <w:t>ference herein.</w:t>
            </w:r>
            <w:r>
              <w:rPr>
                <w:rFonts w:ascii="Times New Roman" w:eastAsia="宋体" w:hAnsi="Times New Roman"/>
                <w:sz w:val="14"/>
                <w:szCs w:val="14"/>
              </w:rPr>
              <w:t>(1)</w:t>
            </w:r>
            <w:r>
              <w:rPr>
                <w:rFonts w:ascii="Times New Roman" w:eastAsia="宋体" w:hAnsi="Times New Roman"/>
                <w:sz w:val="20"/>
                <w:szCs w:val="20"/>
              </w:rPr>
              <w:t xml:space="preserve"> </w:t>
            </w:r>
          </w:p>
        </w:tc>
      </w:tr>
    </w:tbl>
    <w:p w14:paraId="42A13F15" w14:textId="77777777" w:rsidR="00BB68E1" w:rsidRDefault="00BB68E1">
      <w:pPr>
        <w:rPr>
          <w:vanish/>
        </w:rPr>
      </w:pPr>
    </w:p>
    <w:tbl>
      <w:tblPr>
        <w:tblW w:w="5000" w:type="pct"/>
        <w:jc w:val="center"/>
        <w:tblCellMar>
          <w:left w:w="0" w:type="dxa"/>
          <w:right w:w="0" w:type="dxa"/>
        </w:tblCellMar>
        <w:tblLook w:val="04A0" w:firstRow="1" w:lastRow="0" w:firstColumn="1" w:lastColumn="0" w:noHBand="0" w:noVBand="1"/>
      </w:tblPr>
      <w:tblGrid>
        <w:gridCol w:w="890"/>
        <w:gridCol w:w="130"/>
        <w:gridCol w:w="7286"/>
      </w:tblGrid>
      <w:tr w:rsidR="00BB68E1" w14:paraId="42A13F17" w14:textId="77777777">
        <w:trPr>
          <w:jc w:val="center"/>
        </w:trPr>
        <w:tc>
          <w:tcPr>
            <w:tcW w:w="0" w:type="auto"/>
            <w:gridSpan w:val="3"/>
            <w:shd w:val="clear" w:color="auto" w:fill="auto"/>
            <w:vAlign w:val="center"/>
          </w:tcPr>
          <w:p w14:paraId="42A13F16" w14:textId="77777777" w:rsidR="00BB68E1" w:rsidRDefault="00BB68E1">
            <w:pPr>
              <w:rPr>
                <w:rFonts w:ascii="Times New Roman" w:hAnsi="Times New Roman"/>
                <w:sz w:val="20"/>
                <w:szCs w:val="20"/>
              </w:rPr>
            </w:pPr>
          </w:p>
        </w:tc>
      </w:tr>
      <w:tr w:rsidR="00BB68E1" w14:paraId="42A13F1B" w14:textId="77777777">
        <w:trPr>
          <w:jc w:val="center"/>
        </w:trPr>
        <w:tc>
          <w:tcPr>
            <w:tcW w:w="550" w:type="pct"/>
            <w:shd w:val="clear" w:color="auto" w:fill="auto"/>
            <w:vAlign w:val="center"/>
          </w:tcPr>
          <w:p w14:paraId="42A13F18" w14:textId="77777777" w:rsidR="00BB68E1" w:rsidRDefault="00BB68E1">
            <w:pPr>
              <w:rPr>
                <w:rFonts w:ascii="Times New Roman" w:hAnsi="Times New Roman"/>
                <w:sz w:val="20"/>
                <w:szCs w:val="20"/>
              </w:rPr>
            </w:pPr>
          </w:p>
        </w:tc>
        <w:tc>
          <w:tcPr>
            <w:tcW w:w="50" w:type="pct"/>
            <w:shd w:val="clear" w:color="auto" w:fill="auto"/>
            <w:vAlign w:val="center"/>
          </w:tcPr>
          <w:p w14:paraId="42A13F19" w14:textId="77777777" w:rsidR="00BB68E1" w:rsidRDefault="00BB68E1">
            <w:pPr>
              <w:rPr>
                <w:rFonts w:ascii="Times New Roman" w:hAnsi="Times New Roman"/>
                <w:sz w:val="20"/>
                <w:szCs w:val="20"/>
              </w:rPr>
            </w:pPr>
          </w:p>
        </w:tc>
        <w:tc>
          <w:tcPr>
            <w:tcW w:w="4400" w:type="pct"/>
            <w:shd w:val="clear" w:color="auto" w:fill="auto"/>
            <w:vAlign w:val="center"/>
          </w:tcPr>
          <w:p w14:paraId="42A13F1A" w14:textId="77777777" w:rsidR="00BB68E1" w:rsidRDefault="00BB68E1">
            <w:pPr>
              <w:rPr>
                <w:rFonts w:ascii="Times New Roman" w:hAnsi="Times New Roman"/>
                <w:sz w:val="20"/>
                <w:szCs w:val="20"/>
              </w:rPr>
            </w:pPr>
          </w:p>
        </w:tc>
      </w:tr>
      <w:tr w:rsidR="00BB68E1" w14:paraId="42A13F1F" w14:textId="77777777">
        <w:trPr>
          <w:jc w:val="center"/>
        </w:trPr>
        <w:tc>
          <w:tcPr>
            <w:tcW w:w="0" w:type="auto"/>
            <w:shd w:val="clear" w:color="auto" w:fill="auto"/>
            <w:tcMar>
              <w:top w:w="40" w:type="dxa"/>
              <w:left w:w="40" w:type="dxa"/>
              <w:bottom w:w="40" w:type="dxa"/>
              <w:right w:w="40" w:type="dxa"/>
            </w:tcMar>
          </w:tcPr>
          <w:p w14:paraId="42A13F1C"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tcMar>
              <w:top w:w="40" w:type="dxa"/>
              <w:left w:w="40" w:type="dxa"/>
              <w:bottom w:w="40" w:type="dxa"/>
              <w:right w:w="40" w:type="dxa"/>
            </w:tcMar>
            <w:vAlign w:val="bottom"/>
          </w:tcPr>
          <w:p w14:paraId="42A13F1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1E" w14:textId="77777777" w:rsidR="00BB68E1" w:rsidRDefault="005D2D5E">
            <w:pPr>
              <w:textAlignment w:val="top"/>
              <w:rPr>
                <w:rFonts w:ascii="Times New Roman" w:hAnsi="Times New Roman"/>
                <w:sz w:val="20"/>
                <w:szCs w:val="20"/>
              </w:rPr>
            </w:pPr>
            <w:hyperlink r:id="rId139" w:history="1">
              <w:r>
                <w:rPr>
                  <w:rStyle w:val="a5"/>
                  <w:rFonts w:ascii="Times New Roman" w:eastAsia="宋体" w:hAnsi="Times New Roman"/>
                  <w:sz w:val="20"/>
                  <w:szCs w:val="20"/>
                </w:rPr>
                <w:t xml:space="preserve">Restated Certificate of Incorporation of the Company dated February 1, 2018 is incorporated herein by reference to </w:t>
              </w:r>
              <w:r>
                <w:rPr>
                  <w:rStyle w:val="a5"/>
                  <w:rFonts w:ascii="Times New Roman" w:eastAsia="宋体" w:hAnsi="Times New Roman"/>
                  <w:sz w:val="20"/>
                  <w:szCs w:val="20"/>
                </w:rPr>
                <w:t>Exhibit 3.1 to the Report on Form 8-K filed by the Company on February 1, 2018</w:t>
              </w:r>
            </w:hyperlink>
          </w:p>
        </w:tc>
      </w:tr>
      <w:tr w:rsidR="00BB68E1" w14:paraId="42A13F22" w14:textId="77777777">
        <w:trPr>
          <w:jc w:val="center"/>
        </w:trPr>
        <w:tc>
          <w:tcPr>
            <w:tcW w:w="0" w:type="auto"/>
            <w:shd w:val="clear" w:color="auto" w:fill="auto"/>
            <w:tcMar>
              <w:top w:w="40" w:type="dxa"/>
              <w:left w:w="40" w:type="dxa"/>
              <w:bottom w:w="40" w:type="dxa"/>
              <w:right w:w="40" w:type="dxa"/>
            </w:tcMar>
            <w:vAlign w:val="bottom"/>
          </w:tcPr>
          <w:p w14:paraId="42A13F2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3F2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26" w14:textId="77777777">
        <w:trPr>
          <w:jc w:val="center"/>
        </w:trPr>
        <w:tc>
          <w:tcPr>
            <w:tcW w:w="0" w:type="auto"/>
            <w:shd w:val="clear" w:color="auto" w:fill="auto"/>
            <w:tcMar>
              <w:top w:w="40" w:type="dxa"/>
              <w:left w:w="40" w:type="dxa"/>
              <w:bottom w:w="40" w:type="dxa"/>
              <w:right w:w="40" w:type="dxa"/>
            </w:tcMar>
          </w:tcPr>
          <w:p w14:paraId="42A13F23"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3.2</w:t>
            </w:r>
          </w:p>
        </w:tc>
        <w:tc>
          <w:tcPr>
            <w:tcW w:w="0" w:type="auto"/>
            <w:shd w:val="clear" w:color="auto" w:fill="auto"/>
            <w:tcMar>
              <w:top w:w="40" w:type="dxa"/>
              <w:left w:w="40" w:type="dxa"/>
              <w:bottom w:w="40" w:type="dxa"/>
              <w:right w:w="40" w:type="dxa"/>
            </w:tcMar>
            <w:vAlign w:val="bottom"/>
          </w:tcPr>
          <w:p w14:paraId="42A13F2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25" w14:textId="77777777" w:rsidR="00BB68E1" w:rsidRDefault="005D2D5E">
            <w:pPr>
              <w:textAlignment w:val="top"/>
              <w:rPr>
                <w:rFonts w:ascii="Times New Roman" w:hAnsi="Times New Roman"/>
                <w:sz w:val="20"/>
                <w:szCs w:val="20"/>
              </w:rPr>
            </w:pPr>
            <w:hyperlink r:id="rId140" w:history="1">
              <w:r>
                <w:rPr>
                  <w:rStyle w:val="a5"/>
                  <w:rFonts w:ascii="Times New Roman" w:eastAsia="宋体" w:hAnsi="Times New Roman"/>
                  <w:sz w:val="20"/>
                  <w:szCs w:val="20"/>
                </w:rPr>
                <w:t xml:space="preserve">Amended and Restated Bylaws of the Company dated July 23, 2019 </w:t>
              </w:r>
              <w:r>
                <w:rPr>
                  <w:rStyle w:val="a5"/>
                  <w:rFonts w:ascii="Times New Roman" w:eastAsia="宋体" w:hAnsi="Times New Roman"/>
                  <w:sz w:val="20"/>
                  <w:szCs w:val="20"/>
                </w:rPr>
                <w:t>are incorporated herein by reference to Exhibit 3.1 to the Report on Form 8-K filed by the Company on July 26, 2019</w:t>
              </w:r>
            </w:hyperlink>
          </w:p>
        </w:tc>
      </w:tr>
      <w:tr w:rsidR="00BB68E1" w14:paraId="42A13F29" w14:textId="77777777">
        <w:trPr>
          <w:jc w:val="center"/>
        </w:trPr>
        <w:tc>
          <w:tcPr>
            <w:tcW w:w="0" w:type="auto"/>
            <w:shd w:val="clear" w:color="auto" w:fill="auto"/>
            <w:tcMar>
              <w:top w:w="40" w:type="dxa"/>
              <w:left w:w="40" w:type="dxa"/>
              <w:bottom w:w="40" w:type="dxa"/>
              <w:right w:w="40" w:type="dxa"/>
            </w:tcMar>
            <w:vAlign w:val="bottom"/>
          </w:tcPr>
          <w:p w14:paraId="42A13F2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3F2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2D" w14:textId="77777777">
        <w:trPr>
          <w:jc w:val="center"/>
        </w:trPr>
        <w:tc>
          <w:tcPr>
            <w:tcW w:w="0" w:type="auto"/>
            <w:shd w:val="clear" w:color="auto" w:fill="auto"/>
            <w:tcMar>
              <w:top w:w="40" w:type="dxa"/>
              <w:left w:w="40" w:type="dxa"/>
              <w:bottom w:w="40" w:type="dxa"/>
              <w:right w:w="40" w:type="dxa"/>
            </w:tcMar>
          </w:tcPr>
          <w:p w14:paraId="42A13F2A"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4.1</w:t>
            </w:r>
          </w:p>
        </w:tc>
        <w:tc>
          <w:tcPr>
            <w:tcW w:w="0" w:type="auto"/>
            <w:shd w:val="clear" w:color="auto" w:fill="auto"/>
            <w:tcMar>
              <w:top w:w="40" w:type="dxa"/>
              <w:left w:w="40" w:type="dxa"/>
              <w:bottom w:w="40" w:type="dxa"/>
              <w:right w:w="40" w:type="dxa"/>
            </w:tcMar>
            <w:vAlign w:val="bottom"/>
          </w:tcPr>
          <w:p w14:paraId="42A13F2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2C"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Indenture dated as of April 1, 1991, between the Company and J.P. Morgan Trust Company, National Association, as successor trustee to Bank One Trust Company, NA, as successor trustee to The First National Bank of Chicago, Trustee, is incorporated herein by</w:t>
            </w:r>
            <w:r>
              <w:rPr>
                <w:rFonts w:ascii="Times New Roman" w:eastAsia="宋体" w:hAnsi="Times New Roman"/>
                <w:sz w:val="20"/>
                <w:szCs w:val="20"/>
              </w:rPr>
              <w:t xml:space="preserve"> reference to Exhibit 4(a) to Registration Statement on Form S-3 (File Number 33-51344) </w:t>
            </w:r>
            <w:r>
              <w:rPr>
                <w:rFonts w:ascii="Times New Roman" w:eastAsia="宋体" w:hAnsi="Times New Roman"/>
                <w:sz w:val="14"/>
                <w:szCs w:val="14"/>
              </w:rPr>
              <w:t>(P)</w:t>
            </w:r>
          </w:p>
        </w:tc>
      </w:tr>
      <w:tr w:rsidR="00BB68E1" w14:paraId="42A13F30" w14:textId="77777777">
        <w:trPr>
          <w:jc w:val="center"/>
        </w:trPr>
        <w:tc>
          <w:tcPr>
            <w:tcW w:w="0" w:type="auto"/>
            <w:shd w:val="clear" w:color="auto" w:fill="auto"/>
            <w:tcMar>
              <w:top w:w="40" w:type="dxa"/>
              <w:left w:w="40" w:type="dxa"/>
              <w:bottom w:w="40" w:type="dxa"/>
              <w:right w:w="40" w:type="dxa"/>
            </w:tcMar>
            <w:vAlign w:val="bottom"/>
          </w:tcPr>
          <w:p w14:paraId="42A13F2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3F2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34" w14:textId="77777777">
        <w:trPr>
          <w:jc w:val="center"/>
        </w:trPr>
        <w:tc>
          <w:tcPr>
            <w:tcW w:w="0" w:type="auto"/>
            <w:shd w:val="clear" w:color="auto" w:fill="auto"/>
            <w:tcMar>
              <w:top w:w="40" w:type="dxa"/>
              <w:left w:w="40" w:type="dxa"/>
              <w:bottom w:w="40" w:type="dxa"/>
              <w:right w:w="40" w:type="dxa"/>
            </w:tcMar>
          </w:tcPr>
          <w:p w14:paraId="42A13F31"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4.2</w:t>
            </w:r>
          </w:p>
        </w:tc>
        <w:tc>
          <w:tcPr>
            <w:tcW w:w="0" w:type="auto"/>
            <w:shd w:val="clear" w:color="auto" w:fill="auto"/>
            <w:tcMar>
              <w:top w:w="40" w:type="dxa"/>
              <w:left w:w="40" w:type="dxa"/>
              <w:bottom w:w="40" w:type="dxa"/>
              <w:right w:w="40" w:type="dxa"/>
            </w:tcMar>
            <w:vAlign w:val="bottom"/>
          </w:tcPr>
          <w:p w14:paraId="42A13F3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33"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First Supplemental Indenture dated as of September 9, 1992, to the Indenture dated as of April 1, 1991, between the Company and J.P. Morgan Trust Compan</w:t>
            </w:r>
            <w:r>
              <w:rPr>
                <w:rFonts w:ascii="Times New Roman" w:eastAsia="宋体" w:hAnsi="Times New Roman"/>
                <w:sz w:val="20"/>
                <w:szCs w:val="20"/>
              </w:rPr>
              <w:t>y, National Association, as successor trustee to Bank One Trust Company, NA, as successor trustee to The First National Bank of Chicago, Trustee, is incorporated herein by reference to Exhibit 4(b) to Registration Statement on Form S-3 (File Number 33-5134</w:t>
            </w:r>
            <w:r>
              <w:rPr>
                <w:rFonts w:ascii="Times New Roman" w:eastAsia="宋体" w:hAnsi="Times New Roman"/>
                <w:sz w:val="20"/>
                <w:szCs w:val="20"/>
              </w:rPr>
              <w:t xml:space="preserve">4) </w:t>
            </w:r>
            <w:r>
              <w:rPr>
                <w:rFonts w:ascii="Times New Roman" w:eastAsia="宋体" w:hAnsi="Times New Roman"/>
                <w:sz w:val="14"/>
                <w:szCs w:val="14"/>
              </w:rPr>
              <w:t>(P)</w:t>
            </w:r>
          </w:p>
        </w:tc>
      </w:tr>
      <w:tr w:rsidR="00BB68E1" w14:paraId="42A13F37" w14:textId="77777777">
        <w:trPr>
          <w:jc w:val="center"/>
        </w:trPr>
        <w:tc>
          <w:tcPr>
            <w:tcW w:w="0" w:type="auto"/>
            <w:shd w:val="clear" w:color="auto" w:fill="auto"/>
            <w:tcMar>
              <w:top w:w="40" w:type="dxa"/>
              <w:left w:w="40" w:type="dxa"/>
              <w:bottom w:w="40" w:type="dxa"/>
              <w:right w:w="40" w:type="dxa"/>
            </w:tcMar>
            <w:vAlign w:val="bottom"/>
          </w:tcPr>
          <w:p w14:paraId="42A13F3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3F3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3B" w14:textId="77777777">
        <w:trPr>
          <w:jc w:val="center"/>
        </w:trPr>
        <w:tc>
          <w:tcPr>
            <w:tcW w:w="0" w:type="auto"/>
            <w:shd w:val="clear" w:color="auto" w:fill="auto"/>
            <w:tcMar>
              <w:top w:w="40" w:type="dxa"/>
              <w:left w:w="40" w:type="dxa"/>
              <w:bottom w:w="40" w:type="dxa"/>
              <w:right w:w="40" w:type="dxa"/>
            </w:tcMar>
          </w:tcPr>
          <w:p w14:paraId="42A13F38"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lastRenderedPageBreak/>
              <w:t>4.3</w:t>
            </w:r>
          </w:p>
        </w:tc>
        <w:tc>
          <w:tcPr>
            <w:tcW w:w="0" w:type="auto"/>
            <w:shd w:val="clear" w:color="auto" w:fill="auto"/>
            <w:tcMar>
              <w:top w:w="40" w:type="dxa"/>
              <w:left w:w="40" w:type="dxa"/>
              <w:bottom w:w="40" w:type="dxa"/>
              <w:right w:w="40" w:type="dxa"/>
            </w:tcMar>
            <w:vAlign w:val="bottom"/>
          </w:tcPr>
          <w:p w14:paraId="42A13F3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3A" w14:textId="77777777" w:rsidR="00BB68E1" w:rsidRDefault="005D2D5E">
            <w:pPr>
              <w:textAlignment w:val="top"/>
              <w:rPr>
                <w:rFonts w:ascii="Times New Roman" w:hAnsi="Times New Roman"/>
                <w:sz w:val="20"/>
                <w:szCs w:val="20"/>
              </w:rPr>
            </w:pPr>
            <w:hyperlink r:id="rId141" w:history="1">
              <w:r>
                <w:rPr>
                  <w:rStyle w:val="a5"/>
                  <w:rFonts w:ascii="Times New Roman" w:eastAsia="宋体" w:hAnsi="Times New Roman"/>
                  <w:sz w:val="20"/>
                  <w:szCs w:val="20"/>
                </w:rPr>
                <w:t xml:space="preserve">Indenture dated as of December 11, 2002, between the Company and J.P. Morgan Trust Company, National Association, as successor trustee to Bank One </w:t>
              </w:r>
              <w:r>
                <w:rPr>
                  <w:rStyle w:val="a5"/>
                  <w:rFonts w:ascii="Times New Roman" w:eastAsia="宋体" w:hAnsi="Times New Roman"/>
                  <w:sz w:val="20"/>
                  <w:szCs w:val="20"/>
                </w:rPr>
                <w:t>Trust Company, NA, is incorporated by reference to Exhibit 4.5 to Registration Statement on Form S-3 (File Number 333-101847)</w:t>
              </w:r>
            </w:hyperlink>
          </w:p>
        </w:tc>
      </w:tr>
      <w:tr w:rsidR="00BB68E1" w14:paraId="42A13F3F" w14:textId="77777777">
        <w:trPr>
          <w:jc w:val="center"/>
        </w:trPr>
        <w:tc>
          <w:tcPr>
            <w:tcW w:w="0" w:type="auto"/>
            <w:shd w:val="clear" w:color="auto" w:fill="auto"/>
            <w:tcMar>
              <w:top w:w="40" w:type="dxa"/>
              <w:left w:w="40" w:type="dxa"/>
              <w:bottom w:w="40" w:type="dxa"/>
              <w:right w:w="40" w:type="dxa"/>
            </w:tcMar>
            <w:vAlign w:val="bottom"/>
          </w:tcPr>
          <w:p w14:paraId="42A13F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3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3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43" w14:textId="77777777">
        <w:trPr>
          <w:jc w:val="center"/>
        </w:trPr>
        <w:tc>
          <w:tcPr>
            <w:tcW w:w="0" w:type="auto"/>
            <w:shd w:val="clear" w:color="auto" w:fill="auto"/>
            <w:tcMar>
              <w:top w:w="40" w:type="dxa"/>
              <w:left w:w="40" w:type="dxa"/>
              <w:bottom w:w="40" w:type="dxa"/>
              <w:right w:w="40" w:type="dxa"/>
            </w:tcMar>
          </w:tcPr>
          <w:p w14:paraId="42A13F40"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4.4</w:t>
            </w:r>
          </w:p>
        </w:tc>
        <w:tc>
          <w:tcPr>
            <w:tcW w:w="0" w:type="auto"/>
            <w:shd w:val="clear" w:color="auto" w:fill="auto"/>
            <w:tcMar>
              <w:top w:w="40" w:type="dxa"/>
              <w:left w:w="40" w:type="dxa"/>
              <w:bottom w:w="40" w:type="dxa"/>
              <w:right w:w="40" w:type="dxa"/>
            </w:tcMar>
            <w:vAlign w:val="bottom"/>
          </w:tcPr>
          <w:p w14:paraId="42A13F4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42" w14:textId="77777777" w:rsidR="00BB68E1" w:rsidRDefault="005D2D5E">
            <w:pPr>
              <w:textAlignment w:val="top"/>
              <w:rPr>
                <w:rFonts w:ascii="Times New Roman" w:hAnsi="Times New Roman"/>
                <w:sz w:val="20"/>
                <w:szCs w:val="20"/>
              </w:rPr>
            </w:pPr>
            <w:hyperlink r:id="rId142" w:history="1">
              <w:r>
                <w:rPr>
                  <w:rStyle w:val="a5"/>
                  <w:rFonts w:ascii="Times New Roman" w:eastAsia="宋体" w:hAnsi="Times New Roman"/>
                  <w:sz w:val="20"/>
                  <w:szCs w:val="20"/>
                </w:rPr>
                <w:t>Indenture dated as of July 19, 2005, between the Company and J.P. Morgan Trust Company, National Association is incorporated by reference to Exhibit 4.5 to Registration</w:t>
              </w:r>
              <w:r>
                <w:rPr>
                  <w:rStyle w:val="a5"/>
                  <w:rFonts w:ascii="Times New Roman" w:eastAsia="宋体" w:hAnsi="Times New Roman"/>
                  <w:sz w:val="20"/>
                  <w:szCs w:val="20"/>
                </w:rPr>
                <w:t xml:space="preserve"> Statement on Form S-3 (File Number 333-126512)</w:t>
              </w:r>
            </w:hyperlink>
          </w:p>
        </w:tc>
      </w:tr>
      <w:tr w:rsidR="00BB68E1" w14:paraId="42A13F46" w14:textId="77777777">
        <w:trPr>
          <w:jc w:val="center"/>
        </w:trPr>
        <w:tc>
          <w:tcPr>
            <w:tcW w:w="0" w:type="auto"/>
            <w:shd w:val="clear" w:color="auto" w:fill="auto"/>
            <w:tcMar>
              <w:top w:w="40" w:type="dxa"/>
              <w:left w:w="40" w:type="dxa"/>
              <w:bottom w:w="40" w:type="dxa"/>
              <w:right w:w="40" w:type="dxa"/>
            </w:tcMar>
            <w:vAlign w:val="bottom"/>
          </w:tcPr>
          <w:p w14:paraId="42A13F4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3F4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4A" w14:textId="77777777">
        <w:trPr>
          <w:jc w:val="center"/>
        </w:trPr>
        <w:tc>
          <w:tcPr>
            <w:tcW w:w="0" w:type="auto"/>
            <w:shd w:val="clear" w:color="auto" w:fill="auto"/>
            <w:tcMar>
              <w:top w:w="40" w:type="dxa"/>
              <w:left w:w="40" w:type="dxa"/>
              <w:bottom w:w="40" w:type="dxa"/>
              <w:right w:w="40" w:type="dxa"/>
            </w:tcMar>
          </w:tcPr>
          <w:p w14:paraId="42A13F47"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tcMar>
              <w:top w:w="40" w:type="dxa"/>
              <w:left w:w="40" w:type="dxa"/>
              <w:bottom w:w="40" w:type="dxa"/>
              <w:right w:w="40" w:type="dxa"/>
            </w:tcMar>
            <w:vAlign w:val="bottom"/>
          </w:tcPr>
          <w:p w14:paraId="42A13F4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49" w14:textId="77777777" w:rsidR="00BB68E1" w:rsidRDefault="005D2D5E">
            <w:pPr>
              <w:textAlignment w:val="top"/>
              <w:rPr>
                <w:rFonts w:ascii="Times New Roman" w:hAnsi="Times New Roman"/>
                <w:sz w:val="20"/>
                <w:szCs w:val="20"/>
              </w:rPr>
            </w:pPr>
            <w:hyperlink r:id="rId143" w:history="1">
              <w:r>
                <w:rPr>
                  <w:rStyle w:val="a5"/>
                  <w:rFonts w:ascii="Times New Roman" w:eastAsia="宋体" w:hAnsi="Times New Roman"/>
                  <w:sz w:val="20"/>
                  <w:szCs w:val="20"/>
                </w:rPr>
                <w:t xml:space="preserve">First Supplemental Indenture, dated December 1, 2006, between the Company and The Bank of New York </w:t>
              </w:r>
              <w:r>
                <w:rPr>
                  <w:rStyle w:val="a5"/>
                  <w:rFonts w:ascii="Times New Roman" w:eastAsia="宋体" w:hAnsi="Times New Roman"/>
                  <w:sz w:val="20"/>
                  <w:szCs w:val="20"/>
                </w:rPr>
                <w:t>Trust Company, N.A., as successor-in-interest to J.P. Morgan Trust Company, National Association, as Trustee, under the Indenture, dated as of July 19, 2005, between the Company and J.P. Morgan Trust Company, National Association, as Trustee, is incorporat</w:t>
              </w:r>
              <w:r>
                <w:rPr>
                  <w:rStyle w:val="a5"/>
                  <w:rFonts w:ascii="Times New Roman" w:eastAsia="宋体" w:hAnsi="Times New Roman"/>
                  <w:sz w:val="20"/>
                  <w:szCs w:val="20"/>
                </w:rPr>
                <w:t>ed herein by reference to Exhibit 4.6 to Post-Effective Amendment No. 1 to Registration Statement on Form S-3 (File Number 333-130569)</w:t>
              </w:r>
            </w:hyperlink>
          </w:p>
        </w:tc>
      </w:tr>
      <w:tr w:rsidR="00BB68E1" w14:paraId="42A13F4E" w14:textId="77777777">
        <w:trPr>
          <w:jc w:val="center"/>
        </w:trPr>
        <w:tc>
          <w:tcPr>
            <w:tcW w:w="0" w:type="auto"/>
            <w:shd w:val="clear" w:color="auto" w:fill="auto"/>
            <w:tcMar>
              <w:top w:w="40" w:type="dxa"/>
              <w:left w:w="40" w:type="dxa"/>
              <w:bottom w:w="40" w:type="dxa"/>
              <w:right w:w="40" w:type="dxa"/>
            </w:tcMar>
            <w:vAlign w:val="bottom"/>
          </w:tcPr>
          <w:p w14:paraId="42A13F4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4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52" w14:textId="77777777">
        <w:trPr>
          <w:jc w:val="center"/>
        </w:trPr>
        <w:tc>
          <w:tcPr>
            <w:tcW w:w="0" w:type="auto"/>
            <w:shd w:val="clear" w:color="auto" w:fill="auto"/>
            <w:tcMar>
              <w:top w:w="40" w:type="dxa"/>
              <w:left w:w="40" w:type="dxa"/>
              <w:bottom w:w="40" w:type="dxa"/>
              <w:right w:w="40" w:type="dxa"/>
            </w:tcMar>
          </w:tcPr>
          <w:p w14:paraId="42A13F4F"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4.6</w:t>
            </w:r>
          </w:p>
        </w:tc>
        <w:tc>
          <w:tcPr>
            <w:tcW w:w="0" w:type="auto"/>
            <w:shd w:val="clear" w:color="auto" w:fill="auto"/>
            <w:tcMar>
              <w:top w:w="40" w:type="dxa"/>
              <w:left w:w="40" w:type="dxa"/>
              <w:bottom w:w="40" w:type="dxa"/>
              <w:right w:w="40" w:type="dxa"/>
            </w:tcMar>
            <w:vAlign w:val="bottom"/>
          </w:tcPr>
          <w:p w14:paraId="42A13F5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51" w14:textId="77777777" w:rsidR="00BB68E1" w:rsidRDefault="005D2D5E">
            <w:pPr>
              <w:textAlignment w:val="top"/>
              <w:rPr>
                <w:rFonts w:ascii="Times New Roman" w:hAnsi="Times New Roman"/>
                <w:sz w:val="20"/>
                <w:szCs w:val="20"/>
              </w:rPr>
            </w:pPr>
            <w:hyperlink r:id="rId144" w:history="1">
              <w:r>
                <w:rPr>
                  <w:rStyle w:val="a5"/>
                  <w:rFonts w:ascii="Times New Roman" w:eastAsia="宋体" w:hAnsi="Times New Roman"/>
                  <w:sz w:val="20"/>
                  <w:szCs w:val="20"/>
                </w:rPr>
                <w:t>Second Supplemental Indenture, dated December 19, 2014, between the Company and The Bank of New York Trust Company, N.A., as successor-in-interest to J.P. Morgan</w:t>
              </w:r>
              <w:r>
                <w:rPr>
                  <w:rStyle w:val="a5"/>
                  <w:rFonts w:ascii="Times New Roman" w:eastAsia="宋体" w:hAnsi="Times New Roman"/>
                  <w:sz w:val="20"/>
                  <w:szCs w:val="20"/>
                </w:rPr>
                <w:t xml:space="preserve"> Trust Company, National Association, as Trustee, under the Indenture, dated as of July 19, 2005, between the Company and J.P. Morgan Trust Company, National Association, as Trustee, is incorporated herein by reference to Exhibit 4.3 to Registration Statem</w:t>
              </w:r>
              <w:r>
                <w:rPr>
                  <w:rStyle w:val="a5"/>
                  <w:rFonts w:ascii="Times New Roman" w:eastAsia="宋体" w:hAnsi="Times New Roman"/>
                  <w:sz w:val="20"/>
                  <w:szCs w:val="20"/>
                </w:rPr>
                <w:t>ent on Form S-3 (File Number 333-201074)</w:t>
              </w:r>
            </w:hyperlink>
          </w:p>
        </w:tc>
      </w:tr>
      <w:tr w:rsidR="00BB68E1" w14:paraId="42A13F56" w14:textId="77777777">
        <w:trPr>
          <w:jc w:val="center"/>
        </w:trPr>
        <w:tc>
          <w:tcPr>
            <w:tcW w:w="0" w:type="auto"/>
            <w:shd w:val="clear" w:color="auto" w:fill="auto"/>
            <w:tcMar>
              <w:top w:w="40" w:type="dxa"/>
              <w:left w:w="40" w:type="dxa"/>
              <w:bottom w:w="40" w:type="dxa"/>
              <w:right w:w="40" w:type="dxa"/>
            </w:tcMar>
            <w:vAlign w:val="bottom"/>
          </w:tcPr>
          <w:p w14:paraId="42A13F5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5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5A" w14:textId="77777777">
        <w:trPr>
          <w:jc w:val="center"/>
        </w:trPr>
        <w:tc>
          <w:tcPr>
            <w:tcW w:w="0" w:type="auto"/>
            <w:shd w:val="clear" w:color="auto" w:fill="auto"/>
            <w:tcMar>
              <w:top w:w="40" w:type="dxa"/>
              <w:left w:w="40" w:type="dxa"/>
              <w:bottom w:w="40" w:type="dxa"/>
              <w:right w:w="40" w:type="dxa"/>
            </w:tcMar>
          </w:tcPr>
          <w:p w14:paraId="42A13F57"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4.7</w:t>
            </w:r>
          </w:p>
        </w:tc>
        <w:tc>
          <w:tcPr>
            <w:tcW w:w="0" w:type="auto"/>
            <w:shd w:val="clear" w:color="auto" w:fill="auto"/>
            <w:tcMar>
              <w:top w:w="40" w:type="dxa"/>
              <w:left w:w="40" w:type="dxa"/>
              <w:bottom w:w="40" w:type="dxa"/>
              <w:right w:w="40" w:type="dxa"/>
            </w:tcMar>
            <w:vAlign w:val="bottom"/>
          </w:tcPr>
          <w:p w14:paraId="42A13F5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59" w14:textId="77777777" w:rsidR="00BB68E1" w:rsidRDefault="005D2D5E">
            <w:pPr>
              <w:textAlignment w:val="top"/>
              <w:rPr>
                <w:rFonts w:ascii="Times New Roman" w:hAnsi="Times New Roman"/>
                <w:sz w:val="20"/>
                <w:szCs w:val="20"/>
              </w:rPr>
            </w:pPr>
            <w:hyperlink r:id="rId145" w:history="1">
              <w:r>
                <w:rPr>
                  <w:rStyle w:val="a5"/>
                  <w:rFonts w:ascii="Times New Roman" w:eastAsia="宋体" w:hAnsi="Times New Roman"/>
                  <w:sz w:val="20"/>
                  <w:szCs w:val="20"/>
                </w:rPr>
                <w:t xml:space="preserve">Third Supplemental Indenture, dated June 26, 2018, between the Company and The Bank of New York </w:t>
              </w:r>
              <w:r>
                <w:rPr>
                  <w:rStyle w:val="a5"/>
                  <w:rFonts w:ascii="Times New Roman" w:eastAsia="宋体" w:hAnsi="Times New Roman"/>
                  <w:sz w:val="20"/>
                  <w:szCs w:val="20"/>
                </w:rPr>
                <w:t>Trust Company, N.A., as successor-in-interest to J.P. Morgan Trust Company, National Association, as Trustee, under the Indenture, dated as of July 19, 2005, between the Company and J.P. Morgan Trust Company, National Association, as Trustee, is incorporat</w:t>
              </w:r>
              <w:r>
                <w:rPr>
                  <w:rStyle w:val="a5"/>
                  <w:rFonts w:ascii="Times New Roman" w:eastAsia="宋体" w:hAnsi="Times New Roman"/>
                  <w:sz w:val="20"/>
                  <w:szCs w:val="20"/>
                </w:rPr>
                <w:t>ed herein by reference to Exhibit 4(S) to Current Report on Form 8-K filed on June 26, 2018.</w:t>
              </w:r>
            </w:hyperlink>
          </w:p>
        </w:tc>
      </w:tr>
      <w:tr w:rsidR="00BB68E1" w14:paraId="42A13F5E" w14:textId="77777777">
        <w:trPr>
          <w:jc w:val="center"/>
        </w:trPr>
        <w:tc>
          <w:tcPr>
            <w:tcW w:w="0" w:type="auto"/>
            <w:shd w:val="clear" w:color="auto" w:fill="auto"/>
            <w:tcMar>
              <w:top w:w="40" w:type="dxa"/>
              <w:left w:w="40" w:type="dxa"/>
              <w:bottom w:w="40" w:type="dxa"/>
              <w:right w:w="40" w:type="dxa"/>
            </w:tcMar>
            <w:vAlign w:val="bottom"/>
          </w:tcPr>
          <w:p w14:paraId="42A13F5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5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5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62" w14:textId="77777777">
        <w:trPr>
          <w:jc w:val="center"/>
        </w:trPr>
        <w:tc>
          <w:tcPr>
            <w:tcW w:w="0" w:type="auto"/>
            <w:shd w:val="clear" w:color="auto" w:fill="auto"/>
            <w:tcMar>
              <w:top w:w="40" w:type="dxa"/>
              <w:left w:w="40" w:type="dxa"/>
              <w:bottom w:w="40" w:type="dxa"/>
              <w:right w:w="40" w:type="dxa"/>
            </w:tcMar>
          </w:tcPr>
          <w:p w14:paraId="42A13F5F"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4.8*</w:t>
            </w:r>
          </w:p>
        </w:tc>
        <w:tc>
          <w:tcPr>
            <w:tcW w:w="0" w:type="auto"/>
            <w:shd w:val="clear" w:color="auto" w:fill="auto"/>
            <w:tcMar>
              <w:top w:w="40" w:type="dxa"/>
              <w:left w:w="40" w:type="dxa"/>
              <w:bottom w:w="40" w:type="dxa"/>
              <w:right w:w="40" w:type="dxa"/>
            </w:tcMar>
            <w:vAlign w:val="bottom"/>
          </w:tcPr>
          <w:p w14:paraId="42A13F6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61" w14:textId="77777777" w:rsidR="00BB68E1" w:rsidRDefault="005D2D5E">
            <w:pPr>
              <w:textAlignment w:val="top"/>
              <w:rPr>
                <w:rFonts w:ascii="Times New Roman" w:hAnsi="Times New Roman"/>
                <w:sz w:val="20"/>
                <w:szCs w:val="20"/>
              </w:rPr>
            </w:pPr>
            <w:hyperlink r:id="rId146" w:history="1">
              <w:r>
                <w:rPr>
                  <w:rStyle w:val="a5"/>
                  <w:rFonts w:ascii="Times New Roman" w:eastAsia="宋体" w:hAnsi="Times New Roman"/>
                  <w:sz w:val="20"/>
                  <w:szCs w:val="20"/>
                </w:rPr>
                <w:t>Description of Registrant's Securities</w:t>
              </w:r>
            </w:hyperlink>
          </w:p>
        </w:tc>
      </w:tr>
    </w:tbl>
    <w:p w14:paraId="42A13F63" w14:textId="77777777" w:rsidR="00BB68E1" w:rsidRDefault="00BB68E1">
      <w:pPr>
        <w:rPr>
          <w:rFonts w:ascii="Times New Roman" w:hAnsi="Times New Roman"/>
          <w:sz w:val="20"/>
          <w:szCs w:val="20"/>
        </w:rPr>
      </w:pPr>
    </w:p>
    <w:p w14:paraId="42A13F64"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80</w:t>
      </w:r>
    </w:p>
    <w:p w14:paraId="42A13F65" w14:textId="77777777" w:rsidR="00BB68E1" w:rsidRDefault="00BB68E1">
      <w:pPr>
        <w:spacing w:line="288" w:lineRule="auto"/>
        <w:jc w:val="center"/>
        <w:rPr>
          <w:rFonts w:ascii="Times New Roman" w:hAnsi="Times New Roman"/>
          <w:sz w:val="20"/>
          <w:szCs w:val="20"/>
        </w:rPr>
      </w:pPr>
    </w:p>
    <w:p w14:paraId="42A13F66" w14:textId="77777777" w:rsidR="00BB68E1" w:rsidRDefault="005D2D5E">
      <w:r>
        <w:rPr>
          <w:rFonts w:ascii="Times New Roman" w:hAnsi="Times New Roman"/>
          <w:sz w:val="20"/>
          <w:szCs w:val="20"/>
        </w:rPr>
        <w:pict w14:anchorId="42A142C7">
          <v:rect id="_x0000_i1104" style="width:415.3pt;height:1.5pt" o:hralign="center" o:hrstd="t" o:hr="t" fillcolor="#a0a0a0" stroked="f"/>
        </w:pict>
      </w:r>
    </w:p>
    <w:p w14:paraId="42A13F67" w14:textId="77777777" w:rsidR="00BB68E1" w:rsidRDefault="00BB68E1">
      <w:pPr>
        <w:spacing w:line="288" w:lineRule="auto"/>
        <w:rPr>
          <w:rFonts w:ascii="Times New Roman" w:hAnsi="Times New Roman"/>
          <w:sz w:val="20"/>
          <w:szCs w:val="20"/>
        </w:rPr>
      </w:pPr>
    </w:p>
    <w:p w14:paraId="42A13F68" w14:textId="77777777" w:rsidR="00BB68E1" w:rsidRDefault="00BB68E1">
      <w:pPr>
        <w:rPr>
          <w:rFonts w:ascii="Times New Roman" w:hAnsi="Times New Roman"/>
          <w:sz w:val="20"/>
          <w:szCs w:val="20"/>
        </w:rPr>
      </w:pPr>
    </w:p>
    <w:tbl>
      <w:tblPr>
        <w:tblW w:w="4990" w:type="pct"/>
        <w:jc w:val="center"/>
        <w:tblCellMar>
          <w:left w:w="0" w:type="dxa"/>
          <w:right w:w="0" w:type="dxa"/>
        </w:tblCellMar>
        <w:tblLook w:val="04A0" w:firstRow="1" w:lastRow="0" w:firstColumn="1" w:lastColumn="0" w:noHBand="0" w:noVBand="1"/>
      </w:tblPr>
      <w:tblGrid>
        <w:gridCol w:w="888"/>
        <w:gridCol w:w="130"/>
        <w:gridCol w:w="7271"/>
      </w:tblGrid>
      <w:tr w:rsidR="00BB68E1" w14:paraId="42A13F6A" w14:textId="77777777">
        <w:trPr>
          <w:jc w:val="center"/>
        </w:trPr>
        <w:tc>
          <w:tcPr>
            <w:tcW w:w="0" w:type="auto"/>
            <w:gridSpan w:val="3"/>
            <w:shd w:val="clear" w:color="auto" w:fill="auto"/>
            <w:vAlign w:val="center"/>
          </w:tcPr>
          <w:p w14:paraId="42A13F69" w14:textId="77777777" w:rsidR="00BB68E1" w:rsidRDefault="00BB68E1">
            <w:pPr>
              <w:rPr>
                <w:rFonts w:ascii="Times New Roman" w:hAnsi="Times New Roman"/>
                <w:sz w:val="20"/>
                <w:szCs w:val="20"/>
              </w:rPr>
            </w:pPr>
          </w:p>
        </w:tc>
      </w:tr>
      <w:tr w:rsidR="00BB68E1" w14:paraId="42A13F6E" w14:textId="77777777">
        <w:trPr>
          <w:jc w:val="center"/>
        </w:trPr>
        <w:tc>
          <w:tcPr>
            <w:tcW w:w="550" w:type="pct"/>
            <w:shd w:val="clear" w:color="auto" w:fill="auto"/>
            <w:vAlign w:val="center"/>
          </w:tcPr>
          <w:p w14:paraId="42A13F6B" w14:textId="77777777" w:rsidR="00BB68E1" w:rsidRDefault="00BB68E1">
            <w:pPr>
              <w:rPr>
                <w:rFonts w:ascii="Times New Roman" w:hAnsi="Times New Roman"/>
                <w:sz w:val="20"/>
                <w:szCs w:val="20"/>
              </w:rPr>
            </w:pPr>
          </w:p>
        </w:tc>
        <w:tc>
          <w:tcPr>
            <w:tcW w:w="50" w:type="pct"/>
            <w:shd w:val="clear" w:color="auto" w:fill="auto"/>
            <w:vAlign w:val="center"/>
          </w:tcPr>
          <w:p w14:paraId="42A13F6C" w14:textId="77777777" w:rsidR="00BB68E1" w:rsidRDefault="00BB68E1">
            <w:pPr>
              <w:rPr>
                <w:rFonts w:ascii="Times New Roman" w:hAnsi="Times New Roman"/>
                <w:sz w:val="20"/>
                <w:szCs w:val="20"/>
              </w:rPr>
            </w:pPr>
          </w:p>
        </w:tc>
        <w:tc>
          <w:tcPr>
            <w:tcW w:w="4400" w:type="pct"/>
            <w:shd w:val="clear" w:color="auto" w:fill="auto"/>
            <w:vAlign w:val="center"/>
          </w:tcPr>
          <w:p w14:paraId="42A13F6D" w14:textId="77777777" w:rsidR="00BB68E1" w:rsidRDefault="00BB68E1">
            <w:pPr>
              <w:rPr>
                <w:rFonts w:ascii="Times New Roman" w:hAnsi="Times New Roman"/>
                <w:sz w:val="20"/>
                <w:szCs w:val="20"/>
              </w:rPr>
            </w:pPr>
          </w:p>
        </w:tc>
      </w:tr>
      <w:tr w:rsidR="00BB68E1" w14:paraId="42A13F72" w14:textId="77777777">
        <w:trPr>
          <w:jc w:val="center"/>
        </w:trPr>
        <w:tc>
          <w:tcPr>
            <w:tcW w:w="0" w:type="auto"/>
            <w:shd w:val="clear" w:color="auto" w:fill="auto"/>
            <w:tcMar>
              <w:top w:w="40" w:type="dxa"/>
              <w:left w:w="40" w:type="dxa"/>
              <w:bottom w:w="40" w:type="dxa"/>
              <w:right w:w="40" w:type="dxa"/>
            </w:tcMar>
          </w:tcPr>
          <w:p w14:paraId="42A13F6F"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10.1</w:t>
            </w:r>
          </w:p>
        </w:tc>
        <w:tc>
          <w:tcPr>
            <w:tcW w:w="0" w:type="auto"/>
            <w:shd w:val="clear" w:color="auto" w:fill="auto"/>
            <w:tcMar>
              <w:top w:w="40" w:type="dxa"/>
              <w:left w:w="40" w:type="dxa"/>
              <w:bottom w:w="40" w:type="dxa"/>
              <w:right w:w="40" w:type="dxa"/>
            </w:tcMar>
            <w:vAlign w:val="bottom"/>
          </w:tcPr>
          <w:p w14:paraId="42A13F7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71" w14:textId="77777777" w:rsidR="00BB68E1" w:rsidRDefault="005D2D5E">
            <w:pPr>
              <w:textAlignment w:val="top"/>
              <w:rPr>
                <w:rFonts w:ascii="Times New Roman" w:hAnsi="Times New Roman"/>
                <w:sz w:val="20"/>
                <w:szCs w:val="20"/>
              </w:rPr>
            </w:pPr>
            <w:hyperlink r:id="rId147" w:history="1">
              <w:r>
                <w:rPr>
                  <w:rStyle w:val="a5"/>
                  <w:rFonts w:ascii="Times New Roman" w:eastAsia="宋体" w:hAnsi="Times New Roman"/>
                  <w:sz w:val="20"/>
                  <w:szCs w:val="20"/>
                </w:rPr>
                <w:t>Walmart Inc. Officer Deferred Compensation Plan, as amended effective February 1, 2019 is incorporated by reference to Exhibit 10(a) to the Annual Report o</w:t>
              </w:r>
              <w:r>
                <w:rPr>
                  <w:rStyle w:val="a5"/>
                  <w:rFonts w:ascii="Times New Roman" w:eastAsia="宋体" w:hAnsi="Times New Roman"/>
                  <w:sz w:val="20"/>
                  <w:szCs w:val="20"/>
                </w:rPr>
                <w:t>n Form 10-K of the Company for the fiscal year ended January 31, 2019, filed on March 30, 2019</w:t>
              </w:r>
            </w:hyperlink>
            <w:r>
              <w:rPr>
                <w:rFonts w:ascii="Times New Roman" w:eastAsia="宋体" w:hAnsi="Times New Roman"/>
                <w:sz w:val="14"/>
                <w:szCs w:val="14"/>
              </w:rPr>
              <w:t> (C)</w:t>
            </w:r>
          </w:p>
        </w:tc>
      </w:tr>
      <w:tr w:rsidR="00BB68E1" w14:paraId="42A13F76" w14:textId="77777777">
        <w:trPr>
          <w:jc w:val="center"/>
        </w:trPr>
        <w:tc>
          <w:tcPr>
            <w:tcW w:w="0" w:type="auto"/>
            <w:shd w:val="clear" w:color="auto" w:fill="auto"/>
            <w:tcMar>
              <w:top w:w="40" w:type="dxa"/>
              <w:left w:w="40" w:type="dxa"/>
              <w:bottom w:w="40" w:type="dxa"/>
              <w:right w:w="40" w:type="dxa"/>
            </w:tcMar>
            <w:vAlign w:val="bottom"/>
          </w:tcPr>
          <w:p w14:paraId="42A13F7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7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7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7A" w14:textId="77777777">
        <w:trPr>
          <w:jc w:val="center"/>
        </w:trPr>
        <w:tc>
          <w:tcPr>
            <w:tcW w:w="0" w:type="auto"/>
            <w:shd w:val="clear" w:color="auto" w:fill="auto"/>
            <w:tcMar>
              <w:top w:w="40" w:type="dxa"/>
              <w:left w:w="40" w:type="dxa"/>
              <w:bottom w:w="40" w:type="dxa"/>
              <w:right w:w="40" w:type="dxa"/>
            </w:tcMar>
          </w:tcPr>
          <w:p w14:paraId="42A13F77"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10.2</w:t>
            </w:r>
          </w:p>
        </w:tc>
        <w:tc>
          <w:tcPr>
            <w:tcW w:w="0" w:type="auto"/>
            <w:shd w:val="clear" w:color="auto" w:fill="auto"/>
            <w:tcMar>
              <w:top w:w="40" w:type="dxa"/>
              <w:left w:w="40" w:type="dxa"/>
              <w:bottom w:w="40" w:type="dxa"/>
              <w:right w:w="40" w:type="dxa"/>
            </w:tcMar>
            <w:vAlign w:val="bottom"/>
          </w:tcPr>
          <w:p w14:paraId="42A13F7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79" w14:textId="77777777" w:rsidR="00BB68E1" w:rsidRDefault="005D2D5E">
            <w:pPr>
              <w:textAlignment w:val="top"/>
              <w:rPr>
                <w:rFonts w:ascii="Times New Roman" w:hAnsi="Times New Roman"/>
                <w:sz w:val="20"/>
                <w:szCs w:val="20"/>
              </w:rPr>
            </w:pPr>
            <w:hyperlink r:id="rId148" w:history="1">
              <w:r>
                <w:rPr>
                  <w:rStyle w:val="a5"/>
                  <w:rFonts w:ascii="Times New Roman" w:eastAsia="宋体" w:hAnsi="Times New Roman"/>
                  <w:sz w:val="20"/>
                  <w:szCs w:val="20"/>
                </w:rPr>
                <w:t xml:space="preserve">Walmart Inc. Management Incentive Plan, as </w:t>
              </w:r>
              <w:r>
                <w:rPr>
                  <w:rStyle w:val="a5"/>
                  <w:rFonts w:ascii="Times New Roman" w:eastAsia="宋体" w:hAnsi="Times New Roman"/>
                  <w:sz w:val="20"/>
                  <w:szCs w:val="20"/>
                </w:rPr>
                <w:t>amended effective February 1, 2018 is incorporated by reference to Exhibit 10(b) to the Annual Report on Form 10-K of the Company for the fiscal year ended January 31, 2018, filed on March 30, 2018</w:t>
              </w:r>
            </w:hyperlink>
            <w:r>
              <w:rPr>
                <w:rFonts w:ascii="Times New Roman" w:eastAsia="宋体" w:hAnsi="Times New Roman"/>
                <w:sz w:val="14"/>
                <w:szCs w:val="14"/>
              </w:rPr>
              <w:t> (C)</w:t>
            </w:r>
          </w:p>
        </w:tc>
      </w:tr>
      <w:tr w:rsidR="00BB68E1" w14:paraId="42A13F7E" w14:textId="77777777">
        <w:trPr>
          <w:jc w:val="center"/>
        </w:trPr>
        <w:tc>
          <w:tcPr>
            <w:tcW w:w="0" w:type="auto"/>
            <w:shd w:val="clear" w:color="auto" w:fill="auto"/>
            <w:tcMar>
              <w:top w:w="40" w:type="dxa"/>
              <w:left w:w="40" w:type="dxa"/>
              <w:bottom w:w="40" w:type="dxa"/>
              <w:right w:w="40" w:type="dxa"/>
            </w:tcMar>
            <w:vAlign w:val="bottom"/>
          </w:tcPr>
          <w:p w14:paraId="42A13F7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7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82" w14:textId="77777777">
        <w:trPr>
          <w:jc w:val="center"/>
        </w:trPr>
        <w:tc>
          <w:tcPr>
            <w:tcW w:w="0" w:type="auto"/>
            <w:shd w:val="clear" w:color="auto" w:fill="auto"/>
            <w:tcMar>
              <w:top w:w="40" w:type="dxa"/>
              <w:left w:w="40" w:type="dxa"/>
              <w:bottom w:w="40" w:type="dxa"/>
              <w:right w:w="40" w:type="dxa"/>
            </w:tcMar>
          </w:tcPr>
          <w:p w14:paraId="42A13F7F"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10.3</w:t>
            </w:r>
          </w:p>
        </w:tc>
        <w:tc>
          <w:tcPr>
            <w:tcW w:w="0" w:type="auto"/>
            <w:shd w:val="clear" w:color="auto" w:fill="auto"/>
            <w:tcMar>
              <w:top w:w="40" w:type="dxa"/>
              <w:left w:w="40" w:type="dxa"/>
              <w:bottom w:w="40" w:type="dxa"/>
              <w:right w:w="40" w:type="dxa"/>
            </w:tcMar>
            <w:vAlign w:val="bottom"/>
          </w:tcPr>
          <w:p w14:paraId="42A13F8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81" w14:textId="77777777" w:rsidR="00BB68E1" w:rsidRDefault="005D2D5E">
            <w:pPr>
              <w:textAlignment w:val="top"/>
              <w:rPr>
                <w:rFonts w:ascii="Times New Roman" w:hAnsi="Times New Roman"/>
                <w:sz w:val="20"/>
                <w:szCs w:val="20"/>
              </w:rPr>
            </w:pPr>
            <w:hyperlink r:id="rId149" w:history="1">
              <w:r>
                <w:rPr>
                  <w:rStyle w:val="a5"/>
                  <w:rFonts w:ascii="Times New Roman" w:eastAsia="宋体" w:hAnsi="Times New Roman"/>
                  <w:sz w:val="20"/>
                  <w:szCs w:val="20"/>
                </w:rPr>
                <w:t>Walmart Inc. 2016 Associate Stock Purchase Plan, as amended effective February 1, 2018 is incorporated by reference to Exhibit 10(c) to the Annual Report on Form 1</w:t>
              </w:r>
              <w:r>
                <w:rPr>
                  <w:rStyle w:val="a5"/>
                  <w:rFonts w:ascii="Times New Roman" w:eastAsia="宋体" w:hAnsi="Times New Roman"/>
                  <w:sz w:val="20"/>
                  <w:szCs w:val="20"/>
                </w:rPr>
                <w:t>0-K of the Company for the fiscal year ended January 31, 2018, filed on March 30, 2018</w:t>
              </w:r>
            </w:hyperlink>
            <w:r>
              <w:rPr>
                <w:rFonts w:ascii="Times New Roman" w:eastAsia="宋体" w:hAnsi="Times New Roman"/>
                <w:sz w:val="14"/>
                <w:szCs w:val="14"/>
              </w:rPr>
              <w:t> (C)</w:t>
            </w:r>
          </w:p>
        </w:tc>
      </w:tr>
      <w:tr w:rsidR="00BB68E1" w14:paraId="42A13F85" w14:textId="77777777">
        <w:trPr>
          <w:jc w:val="center"/>
        </w:trPr>
        <w:tc>
          <w:tcPr>
            <w:tcW w:w="0" w:type="auto"/>
            <w:shd w:val="clear" w:color="auto" w:fill="auto"/>
            <w:tcMar>
              <w:top w:w="40" w:type="dxa"/>
              <w:left w:w="40" w:type="dxa"/>
              <w:bottom w:w="40" w:type="dxa"/>
              <w:right w:w="40" w:type="dxa"/>
            </w:tcMar>
            <w:vAlign w:val="bottom"/>
          </w:tcPr>
          <w:p w14:paraId="42A13F8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3F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89" w14:textId="77777777">
        <w:trPr>
          <w:jc w:val="center"/>
        </w:trPr>
        <w:tc>
          <w:tcPr>
            <w:tcW w:w="0" w:type="auto"/>
            <w:shd w:val="clear" w:color="auto" w:fill="auto"/>
            <w:tcMar>
              <w:top w:w="40" w:type="dxa"/>
              <w:left w:w="40" w:type="dxa"/>
              <w:bottom w:w="40" w:type="dxa"/>
              <w:right w:w="40" w:type="dxa"/>
            </w:tcMar>
          </w:tcPr>
          <w:p w14:paraId="42A13F86"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10.4</w:t>
            </w:r>
          </w:p>
        </w:tc>
        <w:tc>
          <w:tcPr>
            <w:tcW w:w="0" w:type="auto"/>
            <w:shd w:val="clear" w:color="auto" w:fill="auto"/>
            <w:tcMar>
              <w:top w:w="40" w:type="dxa"/>
              <w:left w:w="40" w:type="dxa"/>
              <w:bottom w:w="40" w:type="dxa"/>
              <w:right w:w="40" w:type="dxa"/>
            </w:tcMar>
            <w:vAlign w:val="bottom"/>
          </w:tcPr>
          <w:p w14:paraId="42A13F8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88" w14:textId="77777777" w:rsidR="00BB68E1" w:rsidRDefault="005D2D5E">
            <w:pPr>
              <w:textAlignment w:val="top"/>
              <w:rPr>
                <w:rFonts w:ascii="Times New Roman" w:hAnsi="Times New Roman"/>
                <w:sz w:val="20"/>
                <w:szCs w:val="20"/>
              </w:rPr>
            </w:pPr>
            <w:hyperlink r:id="rId150" w:history="1">
              <w:r>
                <w:rPr>
                  <w:rStyle w:val="a5"/>
                  <w:rFonts w:ascii="Times New Roman" w:eastAsia="宋体" w:hAnsi="Times New Roman"/>
                  <w:sz w:val="20"/>
                  <w:szCs w:val="20"/>
                </w:rPr>
                <w:t>Walmart Inc. Stock Incentive Plan of 2015, as amended effective February 1, 2018 is incorporated by reference to Exhibit 10(d) to the Annual Report on Form 10-K of</w:t>
              </w:r>
              <w:r>
                <w:rPr>
                  <w:rStyle w:val="a5"/>
                  <w:rFonts w:ascii="Times New Roman" w:eastAsia="宋体" w:hAnsi="Times New Roman"/>
                  <w:sz w:val="20"/>
                  <w:szCs w:val="20"/>
                </w:rPr>
                <w:t xml:space="preserve"> the </w:t>
              </w:r>
              <w:r>
                <w:rPr>
                  <w:rStyle w:val="a5"/>
                  <w:rFonts w:ascii="Times New Roman" w:eastAsia="宋体" w:hAnsi="Times New Roman"/>
                  <w:sz w:val="20"/>
                  <w:szCs w:val="20"/>
                </w:rPr>
                <w:lastRenderedPageBreak/>
                <w:t>Company for the fiscal year ended January 31, 2018, filed on March 30, 2018</w:t>
              </w:r>
            </w:hyperlink>
            <w:r>
              <w:rPr>
                <w:rFonts w:ascii="Times New Roman" w:eastAsia="宋体" w:hAnsi="Times New Roman"/>
                <w:sz w:val="14"/>
                <w:szCs w:val="14"/>
              </w:rPr>
              <w:t> (C)</w:t>
            </w:r>
          </w:p>
        </w:tc>
      </w:tr>
      <w:tr w:rsidR="00BB68E1" w14:paraId="42A13F8C" w14:textId="77777777">
        <w:trPr>
          <w:jc w:val="center"/>
        </w:trPr>
        <w:tc>
          <w:tcPr>
            <w:tcW w:w="0" w:type="auto"/>
            <w:shd w:val="clear" w:color="auto" w:fill="auto"/>
            <w:tcMar>
              <w:top w:w="40" w:type="dxa"/>
              <w:left w:w="40" w:type="dxa"/>
              <w:bottom w:w="40" w:type="dxa"/>
              <w:right w:w="40" w:type="dxa"/>
            </w:tcMar>
            <w:vAlign w:val="bottom"/>
          </w:tcPr>
          <w:p w14:paraId="42A13F8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gridSpan w:val="2"/>
            <w:shd w:val="clear" w:color="auto" w:fill="auto"/>
            <w:tcMar>
              <w:top w:w="40" w:type="dxa"/>
              <w:left w:w="40" w:type="dxa"/>
              <w:bottom w:w="40" w:type="dxa"/>
              <w:right w:w="40" w:type="dxa"/>
            </w:tcMar>
            <w:vAlign w:val="bottom"/>
          </w:tcPr>
          <w:p w14:paraId="42A13F8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90" w14:textId="77777777">
        <w:trPr>
          <w:jc w:val="center"/>
        </w:trPr>
        <w:tc>
          <w:tcPr>
            <w:tcW w:w="0" w:type="auto"/>
            <w:shd w:val="clear" w:color="auto" w:fill="auto"/>
            <w:tcMar>
              <w:top w:w="40" w:type="dxa"/>
              <w:left w:w="40" w:type="dxa"/>
              <w:bottom w:w="40" w:type="dxa"/>
              <w:right w:w="40" w:type="dxa"/>
            </w:tcMar>
          </w:tcPr>
          <w:p w14:paraId="42A13F8D"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10.5</w:t>
            </w:r>
          </w:p>
        </w:tc>
        <w:tc>
          <w:tcPr>
            <w:tcW w:w="0" w:type="auto"/>
            <w:shd w:val="clear" w:color="auto" w:fill="auto"/>
            <w:tcMar>
              <w:top w:w="40" w:type="dxa"/>
              <w:left w:w="40" w:type="dxa"/>
              <w:bottom w:w="40" w:type="dxa"/>
              <w:right w:w="40" w:type="dxa"/>
            </w:tcMar>
            <w:vAlign w:val="bottom"/>
          </w:tcPr>
          <w:p w14:paraId="42A13F8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8F" w14:textId="77777777" w:rsidR="00BB68E1" w:rsidRDefault="005D2D5E">
            <w:pPr>
              <w:textAlignment w:val="top"/>
              <w:rPr>
                <w:rFonts w:ascii="Times New Roman" w:hAnsi="Times New Roman"/>
                <w:sz w:val="20"/>
                <w:szCs w:val="20"/>
              </w:rPr>
            </w:pPr>
            <w:hyperlink r:id="rId151" w:history="1">
              <w:r>
                <w:rPr>
                  <w:rStyle w:val="a5"/>
                  <w:rFonts w:ascii="Times New Roman" w:eastAsia="宋体" w:hAnsi="Times New Roman"/>
                  <w:sz w:val="20"/>
                  <w:szCs w:val="20"/>
                </w:rPr>
                <w:t>Walmart Inc. Supplemental Executive Retirement Plan, as amende</w:t>
              </w:r>
              <w:r>
                <w:rPr>
                  <w:rStyle w:val="a5"/>
                  <w:rFonts w:ascii="Times New Roman" w:eastAsia="宋体" w:hAnsi="Times New Roman"/>
                  <w:sz w:val="20"/>
                  <w:szCs w:val="20"/>
                </w:rPr>
                <w:t>d effective February 1, 2018 is incorporated by reference to Exhibit 10(e) to the Annual Report on Form 10-K of the Company for the fiscal year ended January 31, 2018, filed on March 30, 2018</w:t>
              </w:r>
            </w:hyperlink>
            <w:r>
              <w:rPr>
                <w:rFonts w:ascii="Times New Roman" w:eastAsia="宋体" w:hAnsi="Times New Roman"/>
                <w:sz w:val="14"/>
                <w:szCs w:val="14"/>
              </w:rPr>
              <w:t> (C)</w:t>
            </w:r>
          </w:p>
        </w:tc>
      </w:tr>
      <w:tr w:rsidR="00BB68E1" w14:paraId="42A13F94" w14:textId="77777777">
        <w:trPr>
          <w:jc w:val="center"/>
        </w:trPr>
        <w:tc>
          <w:tcPr>
            <w:tcW w:w="0" w:type="auto"/>
            <w:shd w:val="clear" w:color="auto" w:fill="auto"/>
            <w:tcMar>
              <w:top w:w="40" w:type="dxa"/>
              <w:left w:w="40" w:type="dxa"/>
              <w:bottom w:w="40" w:type="dxa"/>
              <w:right w:w="40" w:type="dxa"/>
            </w:tcMar>
            <w:vAlign w:val="bottom"/>
          </w:tcPr>
          <w:p w14:paraId="42A13F9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9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9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98" w14:textId="77777777">
        <w:trPr>
          <w:jc w:val="center"/>
        </w:trPr>
        <w:tc>
          <w:tcPr>
            <w:tcW w:w="0" w:type="auto"/>
            <w:shd w:val="clear" w:color="auto" w:fill="auto"/>
            <w:tcMar>
              <w:top w:w="40" w:type="dxa"/>
              <w:left w:w="40" w:type="dxa"/>
              <w:bottom w:w="40" w:type="dxa"/>
              <w:right w:w="40" w:type="dxa"/>
            </w:tcMar>
          </w:tcPr>
          <w:p w14:paraId="42A13F95"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10.6</w:t>
            </w:r>
          </w:p>
        </w:tc>
        <w:tc>
          <w:tcPr>
            <w:tcW w:w="0" w:type="auto"/>
            <w:shd w:val="clear" w:color="auto" w:fill="auto"/>
            <w:tcMar>
              <w:top w:w="40" w:type="dxa"/>
              <w:left w:w="40" w:type="dxa"/>
              <w:bottom w:w="40" w:type="dxa"/>
              <w:right w:w="40" w:type="dxa"/>
            </w:tcMar>
            <w:vAlign w:val="bottom"/>
          </w:tcPr>
          <w:p w14:paraId="42A13F9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97" w14:textId="77777777" w:rsidR="00BB68E1" w:rsidRDefault="005D2D5E">
            <w:pPr>
              <w:textAlignment w:val="top"/>
              <w:rPr>
                <w:rFonts w:ascii="Times New Roman" w:hAnsi="Times New Roman"/>
                <w:sz w:val="20"/>
                <w:szCs w:val="20"/>
              </w:rPr>
            </w:pPr>
            <w:hyperlink r:id="rId152" w:history="1">
              <w:r>
                <w:rPr>
                  <w:rStyle w:val="a5"/>
                  <w:rFonts w:ascii="Times New Roman" w:eastAsia="宋体" w:hAnsi="Times New Roman"/>
                  <w:sz w:val="20"/>
                  <w:szCs w:val="20"/>
                </w:rPr>
                <w:t xml:space="preserve">Walmart Inc. Director Compensation Deferral Plan, as amended effective February 1, 2018 is incorporated by reference to Exhibit 10(f) to the Annual Report on Form </w:t>
              </w:r>
              <w:r>
                <w:rPr>
                  <w:rStyle w:val="a5"/>
                  <w:rFonts w:ascii="Times New Roman" w:eastAsia="宋体" w:hAnsi="Times New Roman"/>
                  <w:sz w:val="20"/>
                  <w:szCs w:val="20"/>
                </w:rPr>
                <w:t>10-K of the Company for the fiscal year ended January 31, 2018, filed on March 30, 2018</w:t>
              </w:r>
            </w:hyperlink>
            <w:r>
              <w:rPr>
                <w:rFonts w:ascii="Times New Roman" w:eastAsia="宋体" w:hAnsi="Times New Roman"/>
                <w:sz w:val="14"/>
                <w:szCs w:val="14"/>
              </w:rPr>
              <w:t> (C)</w:t>
            </w:r>
          </w:p>
        </w:tc>
      </w:tr>
      <w:tr w:rsidR="00BB68E1" w14:paraId="42A13F9B" w14:textId="77777777">
        <w:trPr>
          <w:jc w:val="center"/>
        </w:trPr>
        <w:tc>
          <w:tcPr>
            <w:tcW w:w="0" w:type="auto"/>
            <w:shd w:val="clear" w:color="auto" w:fill="auto"/>
            <w:tcMar>
              <w:top w:w="40" w:type="dxa"/>
              <w:left w:w="40" w:type="dxa"/>
              <w:bottom w:w="40" w:type="dxa"/>
              <w:right w:w="40" w:type="dxa"/>
            </w:tcMar>
            <w:vAlign w:val="bottom"/>
          </w:tcPr>
          <w:p w14:paraId="42A13F9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3F9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9F" w14:textId="77777777">
        <w:trPr>
          <w:jc w:val="center"/>
        </w:trPr>
        <w:tc>
          <w:tcPr>
            <w:tcW w:w="0" w:type="auto"/>
            <w:shd w:val="clear" w:color="auto" w:fill="auto"/>
            <w:tcMar>
              <w:top w:w="40" w:type="dxa"/>
              <w:left w:w="40" w:type="dxa"/>
              <w:bottom w:w="40" w:type="dxa"/>
              <w:right w:w="40" w:type="dxa"/>
            </w:tcMar>
          </w:tcPr>
          <w:p w14:paraId="42A13F9C"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10.7</w:t>
            </w:r>
          </w:p>
        </w:tc>
        <w:tc>
          <w:tcPr>
            <w:tcW w:w="0" w:type="auto"/>
            <w:shd w:val="clear" w:color="auto" w:fill="auto"/>
            <w:tcMar>
              <w:top w:w="40" w:type="dxa"/>
              <w:left w:w="40" w:type="dxa"/>
              <w:bottom w:w="40" w:type="dxa"/>
              <w:right w:w="40" w:type="dxa"/>
            </w:tcMar>
            <w:vAlign w:val="bottom"/>
          </w:tcPr>
          <w:p w14:paraId="42A13F9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9E" w14:textId="77777777" w:rsidR="00BB68E1" w:rsidRDefault="005D2D5E">
            <w:pPr>
              <w:textAlignment w:val="top"/>
              <w:rPr>
                <w:rFonts w:ascii="Times New Roman" w:hAnsi="Times New Roman"/>
                <w:sz w:val="20"/>
                <w:szCs w:val="20"/>
              </w:rPr>
            </w:pPr>
            <w:hyperlink r:id="rId153" w:history="1">
              <w:r>
                <w:rPr>
                  <w:rStyle w:val="a5"/>
                  <w:rFonts w:ascii="Times New Roman" w:eastAsia="宋体" w:hAnsi="Times New Roman"/>
                  <w:sz w:val="20"/>
                  <w:szCs w:val="20"/>
                </w:rPr>
                <w:t>Form of Post-Termination Agreement and Covenant Not to Compete with attached Schedule of Executive Officers who have executed a Post-Termination Agreement and Covenant</w:t>
              </w:r>
              <w:r>
                <w:rPr>
                  <w:rStyle w:val="a5"/>
                  <w:rFonts w:ascii="Times New Roman" w:eastAsia="宋体" w:hAnsi="Times New Roman"/>
                  <w:sz w:val="20"/>
                  <w:szCs w:val="20"/>
                </w:rPr>
                <w:t xml:space="preserve"> Not to Compete is incorporated by reference to Exhibit 10(p) to the Annual Report on Form 10-K of the Company for the fiscal year ended January 31, 2011, filed on March 30, 2011</w:t>
              </w:r>
            </w:hyperlink>
            <w:r>
              <w:rPr>
                <w:rFonts w:ascii="Times New Roman" w:eastAsia="宋体" w:hAnsi="Times New Roman"/>
                <w:sz w:val="14"/>
                <w:szCs w:val="14"/>
              </w:rPr>
              <w:t>(C)</w:t>
            </w:r>
          </w:p>
        </w:tc>
      </w:tr>
    </w:tbl>
    <w:p w14:paraId="42A13FA0" w14:textId="77777777" w:rsidR="00BB68E1" w:rsidRDefault="00BB68E1">
      <w:pPr>
        <w:rPr>
          <w:vanish/>
        </w:rPr>
      </w:pPr>
    </w:p>
    <w:tbl>
      <w:tblPr>
        <w:tblW w:w="4990" w:type="pct"/>
        <w:jc w:val="center"/>
        <w:tblCellMar>
          <w:left w:w="0" w:type="dxa"/>
          <w:right w:w="0" w:type="dxa"/>
        </w:tblCellMar>
        <w:tblLook w:val="04A0" w:firstRow="1" w:lastRow="0" w:firstColumn="1" w:lastColumn="0" w:noHBand="0" w:noVBand="1"/>
      </w:tblPr>
      <w:tblGrid>
        <w:gridCol w:w="888"/>
        <w:gridCol w:w="130"/>
        <w:gridCol w:w="7271"/>
      </w:tblGrid>
      <w:tr w:rsidR="00BB68E1" w14:paraId="42A13FA2" w14:textId="77777777">
        <w:trPr>
          <w:jc w:val="center"/>
        </w:trPr>
        <w:tc>
          <w:tcPr>
            <w:tcW w:w="0" w:type="auto"/>
            <w:gridSpan w:val="3"/>
            <w:shd w:val="clear" w:color="auto" w:fill="auto"/>
            <w:vAlign w:val="center"/>
          </w:tcPr>
          <w:p w14:paraId="42A13FA1" w14:textId="77777777" w:rsidR="00BB68E1" w:rsidRDefault="00BB68E1">
            <w:pPr>
              <w:rPr>
                <w:rFonts w:ascii="Times New Roman" w:hAnsi="Times New Roman"/>
                <w:sz w:val="20"/>
                <w:szCs w:val="20"/>
              </w:rPr>
            </w:pPr>
          </w:p>
        </w:tc>
      </w:tr>
      <w:tr w:rsidR="00BB68E1" w14:paraId="42A13FA6" w14:textId="77777777">
        <w:trPr>
          <w:jc w:val="center"/>
        </w:trPr>
        <w:tc>
          <w:tcPr>
            <w:tcW w:w="550" w:type="pct"/>
            <w:shd w:val="clear" w:color="auto" w:fill="auto"/>
            <w:vAlign w:val="center"/>
          </w:tcPr>
          <w:p w14:paraId="42A13FA3" w14:textId="77777777" w:rsidR="00BB68E1" w:rsidRDefault="00BB68E1">
            <w:pPr>
              <w:rPr>
                <w:rFonts w:ascii="Times New Roman" w:hAnsi="Times New Roman"/>
                <w:sz w:val="20"/>
                <w:szCs w:val="20"/>
              </w:rPr>
            </w:pPr>
          </w:p>
        </w:tc>
        <w:tc>
          <w:tcPr>
            <w:tcW w:w="50" w:type="pct"/>
            <w:shd w:val="clear" w:color="auto" w:fill="auto"/>
            <w:vAlign w:val="center"/>
          </w:tcPr>
          <w:p w14:paraId="42A13FA4" w14:textId="77777777" w:rsidR="00BB68E1" w:rsidRDefault="00BB68E1">
            <w:pPr>
              <w:rPr>
                <w:rFonts w:ascii="Times New Roman" w:hAnsi="Times New Roman"/>
                <w:sz w:val="20"/>
                <w:szCs w:val="20"/>
              </w:rPr>
            </w:pPr>
          </w:p>
        </w:tc>
        <w:tc>
          <w:tcPr>
            <w:tcW w:w="4400" w:type="pct"/>
            <w:shd w:val="clear" w:color="auto" w:fill="auto"/>
            <w:vAlign w:val="center"/>
          </w:tcPr>
          <w:p w14:paraId="42A13FA5" w14:textId="77777777" w:rsidR="00BB68E1" w:rsidRDefault="00BB68E1">
            <w:pPr>
              <w:rPr>
                <w:rFonts w:ascii="Times New Roman" w:hAnsi="Times New Roman"/>
                <w:sz w:val="20"/>
                <w:szCs w:val="20"/>
              </w:rPr>
            </w:pPr>
          </w:p>
        </w:tc>
      </w:tr>
      <w:tr w:rsidR="00BB68E1" w14:paraId="42A13FAA" w14:textId="77777777">
        <w:trPr>
          <w:jc w:val="center"/>
        </w:trPr>
        <w:tc>
          <w:tcPr>
            <w:tcW w:w="0" w:type="auto"/>
            <w:shd w:val="clear" w:color="auto" w:fill="auto"/>
            <w:tcMar>
              <w:top w:w="40" w:type="dxa"/>
              <w:left w:w="40" w:type="dxa"/>
              <w:bottom w:w="40" w:type="dxa"/>
              <w:right w:w="40" w:type="dxa"/>
            </w:tcMar>
          </w:tcPr>
          <w:p w14:paraId="42A13FA7"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10.7(a)*</w:t>
            </w:r>
          </w:p>
        </w:tc>
        <w:tc>
          <w:tcPr>
            <w:tcW w:w="0" w:type="auto"/>
            <w:shd w:val="clear" w:color="auto" w:fill="auto"/>
            <w:tcMar>
              <w:top w:w="40" w:type="dxa"/>
              <w:left w:w="40" w:type="dxa"/>
              <w:bottom w:w="40" w:type="dxa"/>
              <w:right w:w="40" w:type="dxa"/>
            </w:tcMar>
            <w:vAlign w:val="bottom"/>
          </w:tcPr>
          <w:p w14:paraId="42A13FA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A9" w14:textId="77777777" w:rsidR="00BB68E1" w:rsidRDefault="005D2D5E">
            <w:pPr>
              <w:textAlignment w:val="top"/>
              <w:rPr>
                <w:rFonts w:ascii="Times New Roman" w:hAnsi="Times New Roman"/>
                <w:sz w:val="20"/>
                <w:szCs w:val="20"/>
              </w:rPr>
            </w:pPr>
            <w:hyperlink r:id="rId154" w:history="1">
              <w:r>
                <w:rPr>
                  <w:rStyle w:val="a5"/>
                  <w:rFonts w:ascii="Times New Roman" w:eastAsia="宋体" w:hAnsi="Times New Roman"/>
                  <w:sz w:val="20"/>
                  <w:szCs w:val="20"/>
                </w:rPr>
                <w:t>Amended Schedule of Executive Officers who have executed a Post-Termination Agreement and Covenant Not to Compete in the form filed as Exhibit 10(p) to the A</w:t>
              </w:r>
              <w:r>
                <w:rPr>
                  <w:rStyle w:val="a5"/>
                  <w:rFonts w:ascii="Times New Roman" w:eastAsia="宋体" w:hAnsi="Times New Roman"/>
                  <w:sz w:val="20"/>
                  <w:szCs w:val="20"/>
                </w:rPr>
                <w:t>nnual Report on Form 10-K of the Company for the fiscal year ended January 31, 2011</w:t>
              </w:r>
            </w:hyperlink>
            <w:r>
              <w:rPr>
                <w:rFonts w:ascii="Times New Roman" w:eastAsia="宋体" w:hAnsi="Times New Roman"/>
                <w:sz w:val="14"/>
                <w:szCs w:val="14"/>
              </w:rPr>
              <w:t> (C)</w:t>
            </w:r>
          </w:p>
        </w:tc>
      </w:tr>
      <w:tr w:rsidR="00BB68E1" w14:paraId="42A13FAE" w14:textId="77777777">
        <w:trPr>
          <w:jc w:val="center"/>
        </w:trPr>
        <w:tc>
          <w:tcPr>
            <w:tcW w:w="0" w:type="auto"/>
            <w:shd w:val="clear" w:color="auto" w:fill="auto"/>
            <w:tcMar>
              <w:top w:w="40" w:type="dxa"/>
              <w:left w:w="40" w:type="dxa"/>
              <w:bottom w:w="40" w:type="dxa"/>
              <w:right w:w="40" w:type="dxa"/>
            </w:tcMar>
            <w:vAlign w:val="bottom"/>
          </w:tcPr>
          <w:p w14:paraId="42A13FA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A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A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B2" w14:textId="77777777">
        <w:trPr>
          <w:jc w:val="center"/>
        </w:trPr>
        <w:tc>
          <w:tcPr>
            <w:tcW w:w="0" w:type="auto"/>
            <w:shd w:val="clear" w:color="auto" w:fill="auto"/>
            <w:tcMar>
              <w:top w:w="40" w:type="dxa"/>
              <w:left w:w="40" w:type="dxa"/>
              <w:bottom w:w="40" w:type="dxa"/>
              <w:right w:w="40" w:type="dxa"/>
            </w:tcMar>
          </w:tcPr>
          <w:p w14:paraId="42A13FAF"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10.8*</w:t>
            </w:r>
          </w:p>
        </w:tc>
        <w:tc>
          <w:tcPr>
            <w:tcW w:w="0" w:type="auto"/>
            <w:shd w:val="clear" w:color="auto" w:fill="auto"/>
            <w:tcMar>
              <w:top w:w="40" w:type="dxa"/>
              <w:left w:w="40" w:type="dxa"/>
              <w:bottom w:w="40" w:type="dxa"/>
              <w:right w:w="40" w:type="dxa"/>
            </w:tcMar>
            <w:vAlign w:val="bottom"/>
          </w:tcPr>
          <w:p w14:paraId="42A13FB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B1" w14:textId="77777777" w:rsidR="00BB68E1" w:rsidRDefault="005D2D5E">
            <w:pPr>
              <w:textAlignment w:val="top"/>
              <w:rPr>
                <w:rFonts w:ascii="Times New Roman" w:hAnsi="Times New Roman"/>
                <w:sz w:val="20"/>
                <w:szCs w:val="20"/>
              </w:rPr>
            </w:pPr>
            <w:hyperlink r:id="rId155" w:history="1">
              <w:r>
                <w:rPr>
                  <w:rStyle w:val="a5"/>
                  <w:rFonts w:ascii="Times New Roman" w:eastAsia="宋体" w:hAnsi="Times New Roman"/>
                  <w:sz w:val="20"/>
                  <w:szCs w:val="20"/>
                </w:rPr>
                <w:t>Form of Walmart Inc. Stock Incentive Plan of 2010 Restricted Stock Award, Notification of Award and Terms and Conditions of Award</w:t>
              </w:r>
            </w:hyperlink>
            <w:r>
              <w:rPr>
                <w:rFonts w:ascii="Times New Roman" w:eastAsia="宋体" w:hAnsi="Times New Roman"/>
                <w:sz w:val="14"/>
                <w:szCs w:val="14"/>
              </w:rPr>
              <w:t> (C)</w:t>
            </w:r>
          </w:p>
        </w:tc>
      </w:tr>
      <w:tr w:rsidR="00BB68E1" w14:paraId="42A13FB6" w14:textId="77777777">
        <w:trPr>
          <w:jc w:val="center"/>
        </w:trPr>
        <w:tc>
          <w:tcPr>
            <w:tcW w:w="0" w:type="auto"/>
            <w:shd w:val="clear" w:color="auto" w:fill="auto"/>
            <w:tcMar>
              <w:top w:w="40" w:type="dxa"/>
              <w:left w:w="40" w:type="dxa"/>
              <w:bottom w:w="40" w:type="dxa"/>
              <w:right w:w="40" w:type="dxa"/>
            </w:tcMar>
            <w:vAlign w:val="bottom"/>
          </w:tcPr>
          <w:p w14:paraId="42A13FB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B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BA" w14:textId="77777777">
        <w:trPr>
          <w:jc w:val="center"/>
        </w:trPr>
        <w:tc>
          <w:tcPr>
            <w:tcW w:w="0" w:type="auto"/>
            <w:shd w:val="clear" w:color="auto" w:fill="auto"/>
            <w:tcMar>
              <w:top w:w="40" w:type="dxa"/>
              <w:left w:w="40" w:type="dxa"/>
              <w:bottom w:w="40" w:type="dxa"/>
              <w:right w:w="40" w:type="dxa"/>
            </w:tcMar>
          </w:tcPr>
          <w:p w14:paraId="42A13FB7"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10.9*</w:t>
            </w:r>
          </w:p>
        </w:tc>
        <w:tc>
          <w:tcPr>
            <w:tcW w:w="0" w:type="auto"/>
            <w:shd w:val="clear" w:color="auto" w:fill="auto"/>
            <w:tcMar>
              <w:top w:w="40" w:type="dxa"/>
              <w:left w:w="40" w:type="dxa"/>
              <w:bottom w:w="40" w:type="dxa"/>
              <w:right w:w="40" w:type="dxa"/>
            </w:tcMar>
            <w:vAlign w:val="bottom"/>
          </w:tcPr>
          <w:p w14:paraId="42A13FB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B9" w14:textId="77777777" w:rsidR="00BB68E1" w:rsidRDefault="005D2D5E">
            <w:pPr>
              <w:textAlignment w:val="top"/>
              <w:rPr>
                <w:rFonts w:ascii="Times New Roman" w:hAnsi="Times New Roman"/>
                <w:sz w:val="20"/>
                <w:szCs w:val="20"/>
              </w:rPr>
            </w:pPr>
            <w:hyperlink r:id="rId156" w:history="1">
              <w:r>
                <w:rPr>
                  <w:rStyle w:val="a5"/>
                  <w:rFonts w:ascii="Times New Roman" w:eastAsia="宋体" w:hAnsi="Times New Roman"/>
                  <w:sz w:val="20"/>
                  <w:szCs w:val="20"/>
                </w:rPr>
                <w:t xml:space="preserve">Form of Walmart Inc. Stock Incentive Plan of 2015 Global Share-Settled Performance-Based Restricted Stock Unit Notification and Terms and Conditions (January </w:t>
              </w:r>
              <w:r>
                <w:rPr>
                  <w:rStyle w:val="a5"/>
                  <w:rFonts w:ascii="Times New Roman" w:eastAsia="宋体" w:hAnsi="Times New Roman"/>
                  <w:sz w:val="20"/>
                  <w:szCs w:val="20"/>
                </w:rPr>
                <w:t>2020 annual award - all executive officers)</w:t>
              </w:r>
            </w:hyperlink>
            <w:r>
              <w:rPr>
                <w:rFonts w:ascii="Times New Roman" w:eastAsia="宋体" w:hAnsi="Times New Roman"/>
                <w:sz w:val="14"/>
                <w:szCs w:val="14"/>
              </w:rPr>
              <w:t> (C)</w:t>
            </w:r>
          </w:p>
        </w:tc>
      </w:tr>
      <w:tr w:rsidR="00BB68E1" w14:paraId="42A13FBE" w14:textId="77777777">
        <w:trPr>
          <w:jc w:val="center"/>
        </w:trPr>
        <w:tc>
          <w:tcPr>
            <w:tcW w:w="0" w:type="auto"/>
            <w:shd w:val="clear" w:color="auto" w:fill="auto"/>
            <w:tcMar>
              <w:top w:w="40" w:type="dxa"/>
              <w:left w:w="40" w:type="dxa"/>
              <w:bottom w:w="40" w:type="dxa"/>
              <w:right w:w="40" w:type="dxa"/>
            </w:tcMar>
            <w:vAlign w:val="bottom"/>
          </w:tcPr>
          <w:p w14:paraId="42A13FB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B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B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C2" w14:textId="77777777">
        <w:trPr>
          <w:jc w:val="center"/>
        </w:trPr>
        <w:tc>
          <w:tcPr>
            <w:tcW w:w="0" w:type="auto"/>
            <w:shd w:val="clear" w:color="auto" w:fill="auto"/>
            <w:tcMar>
              <w:top w:w="40" w:type="dxa"/>
              <w:left w:w="40" w:type="dxa"/>
              <w:bottom w:w="40" w:type="dxa"/>
              <w:right w:w="40" w:type="dxa"/>
            </w:tcMar>
          </w:tcPr>
          <w:p w14:paraId="42A13FBF"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10.10</w:t>
            </w:r>
          </w:p>
        </w:tc>
        <w:tc>
          <w:tcPr>
            <w:tcW w:w="0" w:type="auto"/>
            <w:shd w:val="clear" w:color="auto" w:fill="auto"/>
            <w:tcMar>
              <w:top w:w="40" w:type="dxa"/>
              <w:left w:w="40" w:type="dxa"/>
              <w:bottom w:w="40" w:type="dxa"/>
              <w:right w:w="40" w:type="dxa"/>
            </w:tcMar>
            <w:vAlign w:val="bottom"/>
          </w:tcPr>
          <w:p w14:paraId="42A13F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C1" w14:textId="77777777" w:rsidR="00BB68E1" w:rsidRDefault="005D2D5E">
            <w:pPr>
              <w:textAlignment w:val="top"/>
              <w:rPr>
                <w:rFonts w:ascii="Times New Roman" w:hAnsi="Times New Roman"/>
                <w:sz w:val="20"/>
                <w:szCs w:val="20"/>
              </w:rPr>
            </w:pPr>
            <w:hyperlink r:id="rId157" w:history="1">
              <w:r>
                <w:rPr>
                  <w:rStyle w:val="a5"/>
                  <w:rFonts w:ascii="Times New Roman" w:eastAsia="宋体" w:hAnsi="Times New Roman"/>
                  <w:sz w:val="20"/>
                  <w:szCs w:val="20"/>
                </w:rPr>
                <w:t>Share Settled Restricted Stock Unit Notification and Terms and Conditions Awarded to Marc Lore on September 19, 2016, is incorporated by reference to Exhibit 1</w:t>
              </w:r>
              <w:r>
                <w:rPr>
                  <w:rStyle w:val="a5"/>
                  <w:rFonts w:ascii="Times New Roman" w:eastAsia="宋体" w:hAnsi="Times New Roman"/>
                  <w:sz w:val="20"/>
                  <w:szCs w:val="20"/>
                </w:rPr>
                <w:t>0(a) to the Quarterly Report on Form 10-Q of the Company for the fiscal quarter ended October 31, 2016, filed on December 1, 2016</w:t>
              </w:r>
            </w:hyperlink>
            <w:r>
              <w:rPr>
                <w:rFonts w:ascii="Times New Roman" w:eastAsia="宋体" w:hAnsi="Times New Roman"/>
                <w:sz w:val="14"/>
                <w:szCs w:val="14"/>
              </w:rPr>
              <w:t> (C)</w:t>
            </w:r>
          </w:p>
        </w:tc>
      </w:tr>
      <w:tr w:rsidR="00BB68E1" w14:paraId="42A13FC6" w14:textId="77777777">
        <w:trPr>
          <w:jc w:val="center"/>
        </w:trPr>
        <w:tc>
          <w:tcPr>
            <w:tcW w:w="0" w:type="auto"/>
            <w:shd w:val="clear" w:color="auto" w:fill="auto"/>
            <w:tcMar>
              <w:top w:w="40" w:type="dxa"/>
              <w:left w:w="40" w:type="dxa"/>
              <w:bottom w:w="40" w:type="dxa"/>
              <w:right w:w="40" w:type="dxa"/>
            </w:tcMar>
            <w:vAlign w:val="bottom"/>
          </w:tcPr>
          <w:p w14:paraId="42A13FC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C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C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CA" w14:textId="77777777">
        <w:trPr>
          <w:jc w:val="center"/>
        </w:trPr>
        <w:tc>
          <w:tcPr>
            <w:tcW w:w="0" w:type="auto"/>
            <w:shd w:val="clear" w:color="auto" w:fill="auto"/>
            <w:tcMar>
              <w:top w:w="40" w:type="dxa"/>
              <w:left w:w="40" w:type="dxa"/>
              <w:bottom w:w="40" w:type="dxa"/>
              <w:right w:w="40" w:type="dxa"/>
            </w:tcMar>
          </w:tcPr>
          <w:p w14:paraId="42A13FC7"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10.11</w:t>
            </w:r>
          </w:p>
        </w:tc>
        <w:tc>
          <w:tcPr>
            <w:tcW w:w="0" w:type="auto"/>
            <w:shd w:val="clear" w:color="auto" w:fill="auto"/>
            <w:tcMar>
              <w:top w:w="40" w:type="dxa"/>
              <w:left w:w="40" w:type="dxa"/>
              <w:bottom w:w="40" w:type="dxa"/>
              <w:right w:w="40" w:type="dxa"/>
            </w:tcMar>
            <w:vAlign w:val="bottom"/>
          </w:tcPr>
          <w:p w14:paraId="42A13F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C9" w14:textId="77777777" w:rsidR="00BB68E1" w:rsidRDefault="005D2D5E">
            <w:pPr>
              <w:textAlignment w:val="top"/>
              <w:rPr>
                <w:rFonts w:ascii="Times New Roman" w:hAnsi="Times New Roman"/>
                <w:sz w:val="20"/>
                <w:szCs w:val="20"/>
              </w:rPr>
            </w:pPr>
            <w:hyperlink r:id="rId158" w:history="1">
              <w:r>
                <w:rPr>
                  <w:rStyle w:val="a5"/>
                  <w:rFonts w:ascii="Times New Roman" w:eastAsia="宋体" w:hAnsi="Times New Roman"/>
                  <w:sz w:val="20"/>
                  <w:szCs w:val="20"/>
                </w:rPr>
                <w:t>Deferre</w:t>
              </w:r>
              <w:r>
                <w:rPr>
                  <w:rStyle w:val="a5"/>
                  <w:rFonts w:ascii="Times New Roman" w:eastAsia="宋体" w:hAnsi="Times New Roman"/>
                  <w:sz w:val="20"/>
                  <w:szCs w:val="20"/>
                </w:rPr>
                <w:t>d Contingent Merger Consideration Agreement dated August 7, 2016, between the Company and Marc Lore is incorporated herein by reference to Exhibit 10(v) to the Annual Report on Form 10-K of the Company for the fiscal year ended January 31, 2017 filed on Ma</w:t>
              </w:r>
              <w:r>
                <w:rPr>
                  <w:rStyle w:val="a5"/>
                  <w:rFonts w:ascii="Times New Roman" w:eastAsia="宋体" w:hAnsi="Times New Roman"/>
                  <w:sz w:val="20"/>
                  <w:szCs w:val="20"/>
                </w:rPr>
                <w:t>rch 30, 2017</w:t>
              </w:r>
            </w:hyperlink>
            <w:r>
              <w:rPr>
                <w:rFonts w:ascii="Times New Roman" w:eastAsia="宋体" w:hAnsi="Times New Roman"/>
                <w:sz w:val="14"/>
                <w:szCs w:val="14"/>
              </w:rPr>
              <w:t> (C)</w:t>
            </w:r>
          </w:p>
        </w:tc>
      </w:tr>
      <w:tr w:rsidR="00BB68E1" w14:paraId="42A13FCE" w14:textId="77777777">
        <w:trPr>
          <w:jc w:val="center"/>
        </w:trPr>
        <w:tc>
          <w:tcPr>
            <w:tcW w:w="0" w:type="auto"/>
            <w:shd w:val="clear" w:color="auto" w:fill="auto"/>
            <w:tcMar>
              <w:top w:w="40" w:type="dxa"/>
              <w:left w:w="40" w:type="dxa"/>
              <w:bottom w:w="40" w:type="dxa"/>
              <w:right w:w="40" w:type="dxa"/>
            </w:tcMar>
            <w:vAlign w:val="bottom"/>
          </w:tcPr>
          <w:p w14:paraId="42A13FC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C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D2" w14:textId="77777777">
        <w:trPr>
          <w:jc w:val="center"/>
        </w:trPr>
        <w:tc>
          <w:tcPr>
            <w:tcW w:w="0" w:type="auto"/>
            <w:shd w:val="clear" w:color="auto" w:fill="auto"/>
            <w:tcMar>
              <w:top w:w="40" w:type="dxa"/>
              <w:left w:w="40" w:type="dxa"/>
              <w:bottom w:w="40" w:type="dxa"/>
              <w:right w:w="40" w:type="dxa"/>
            </w:tcMar>
          </w:tcPr>
          <w:p w14:paraId="42A13FCF"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10.12</w:t>
            </w:r>
          </w:p>
        </w:tc>
        <w:tc>
          <w:tcPr>
            <w:tcW w:w="0" w:type="auto"/>
            <w:shd w:val="clear" w:color="auto" w:fill="auto"/>
            <w:tcMar>
              <w:top w:w="40" w:type="dxa"/>
              <w:left w:w="40" w:type="dxa"/>
              <w:bottom w:w="40" w:type="dxa"/>
              <w:right w:w="40" w:type="dxa"/>
            </w:tcMar>
            <w:vAlign w:val="bottom"/>
          </w:tcPr>
          <w:p w14:paraId="42A13FD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D1" w14:textId="77777777" w:rsidR="00BB68E1" w:rsidRDefault="005D2D5E">
            <w:pPr>
              <w:textAlignment w:val="top"/>
              <w:rPr>
                <w:rFonts w:ascii="Times New Roman" w:hAnsi="Times New Roman"/>
                <w:sz w:val="20"/>
                <w:szCs w:val="20"/>
              </w:rPr>
            </w:pPr>
            <w:hyperlink r:id="rId159" w:history="1">
              <w:r>
                <w:rPr>
                  <w:rStyle w:val="a5"/>
                  <w:rFonts w:ascii="Times New Roman" w:eastAsia="宋体" w:hAnsi="Times New Roman"/>
                  <w:sz w:val="20"/>
                  <w:szCs w:val="20"/>
                </w:rPr>
                <w:t xml:space="preserve">Amendment to Deferred Contingent Merger Consideration Agreement dated September 12, 2016, between the Company and Marc </w:t>
              </w:r>
              <w:r>
                <w:rPr>
                  <w:rStyle w:val="a5"/>
                  <w:rFonts w:ascii="Times New Roman" w:eastAsia="宋体" w:hAnsi="Times New Roman"/>
                  <w:sz w:val="20"/>
                  <w:szCs w:val="20"/>
                </w:rPr>
                <w:t>Lore is incorporated herein by reference to Exhibit 10(w) to the Annual Report on Form 10-K of the Company for the fiscal year ended January 31, 2017 filed on March 30, 2017</w:t>
              </w:r>
            </w:hyperlink>
            <w:r>
              <w:rPr>
                <w:rFonts w:ascii="Times New Roman" w:eastAsia="宋体" w:hAnsi="Times New Roman"/>
                <w:sz w:val="14"/>
                <w:szCs w:val="14"/>
              </w:rPr>
              <w:t> (C)</w:t>
            </w:r>
          </w:p>
        </w:tc>
      </w:tr>
      <w:tr w:rsidR="00BB68E1" w14:paraId="42A13FD6" w14:textId="77777777">
        <w:trPr>
          <w:jc w:val="center"/>
        </w:trPr>
        <w:tc>
          <w:tcPr>
            <w:tcW w:w="0" w:type="auto"/>
            <w:shd w:val="clear" w:color="auto" w:fill="auto"/>
            <w:tcMar>
              <w:top w:w="40" w:type="dxa"/>
              <w:left w:w="40" w:type="dxa"/>
              <w:bottom w:w="40" w:type="dxa"/>
              <w:right w:w="40" w:type="dxa"/>
            </w:tcMar>
            <w:vAlign w:val="bottom"/>
          </w:tcPr>
          <w:p w14:paraId="42A13F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D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D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DA" w14:textId="77777777">
        <w:trPr>
          <w:jc w:val="center"/>
        </w:trPr>
        <w:tc>
          <w:tcPr>
            <w:tcW w:w="0" w:type="auto"/>
            <w:shd w:val="clear" w:color="auto" w:fill="auto"/>
            <w:tcMar>
              <w:top w:w="40" w:type="dxa"/>
              <w:left w:w="40" w:type="dxa"/>
              <w:bottom w:w="40" w:type="dxa"/>
              <w:right w:w="40" w:type="dxa"/>
            </w:tcMar>
          </w:tcPr>
          <w:p w14:paraId="42A13FD7"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10.13</w:t>
            </w:r>
          </w:p>
        </w:tc>
        <w:tc>
          <w:tcPr>
            <w:tcW w:w="0" w:type="auto"/>
            <w:shd w:val="clear" w:color="auto" w:fill="auto"/>
            <w:tcMar>
              <w:top w:w="40" w:type="dxa"/>
              <w:left w:w="40" w:type="dxa"/>
              <w:bottom w:w="40" w:type="dxa"/>
              <w:right w:w="40" w:type="dxa"/>
            </w:tcMar>
            <w:vAlign w:val="bottom"/>
          </w:tcPr>
          <w:p w14:paraId="42A13FD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D9" w14:textId="77777777" w:rsidR="00BB68E1" w:rsidRDefault="005D2D5E">
            <w:pPr>
              <w:textAlignment w:val="top"/>
              <w:rPr>
                <w:rFonts w:ascii="Times New Roman" w:hAnsi="Times New Roman"/>
                <w:sz w:val="20"/>
                <w:szCs w:val="20"/>
              </w:rPr>
            </w:pPr>
            <w:hyperlink r:id="rId160" w:history="1">
              <w:r>
                <w:rPr>
                  <w:rStyle w:val="a5"/>
                  <w:rFonts w:ascii="Times New Roman" w:eastAsia="宋体" w:hAnsi="Times New Roman"/>
                  <w:sz w:val="20"/>
                  <w:szCs w:val="20"/>
                </w:rPr>
                <w:t>Non-Competition, Non-Solicitation and No-Hire Agreement between the Company and Marc Lore dated September 19, 2016 is incorporated herein by reference to Exhibi</w:t>
              </w:r>
              <w:r>
                <w:rPr>
                  <w:rStyle w:val="a5"/>
                  <w:rFonts w:ascii="Times New Roman" w:eastAsia="宋体" w:hAnsi="Times New Roman"/>
                  <w:sz w:val="20"/>
                  <w:szCs w:val="20"/>
                </w:rPr>
                <w:t>t 10(x) to the Annual Report on Form 10-K of the Company for the fiscal year ended January 31, 2017 filed on March 30, 2017</w:t>
              </w:r>
            </w:hyperlink>
            <w:r>
              <w:rPr>
                <w:rFonts w:ascii="Times New Roman" w:eastAsia="宋体" w:hAnsi="Times New Roman"/>
                <w:sz w:val="14"/>
                <w:szCs w:val="14"/>
              </w:rPr>
              <w:t> (C)</w:t>
            </w:r>
          </w:p>
        </w:tc>
      </w:tr>
      <w:tr w:rsidR="00BB68E1" w14:paraId="42A13FDE" w14:textId="77777777">
        <w:trPr>
          <w:jc w:val="center"/>
        </w:trPr>
        <w:tc>
          <w:tcPr>
            <w:tcW w:w="0" w:type="auto"/>
            <w:shd w:val="clear" w:color="auto" w:fill="auto"/>
            <w:tcMar>
              <w:top w:w="40" w:type="dxa"/>
              <w:left w:w="40" w:type="dxa"/>
              <w:bottom w:w="40" w:type="dxa"/>
              <w:right w:w="40" w:type="dxa"/>
            </w:tcMar>
            <w:vAlign w:val="bottom"/>
          </w:tcPr>
          <w:p w14:paraId="42A13FD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D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D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E2" w14:textId="77777777">
        <w:trPr>
          <w:jc w:val="center"/>
        </w:trPr>
        <w:tc>
          <w:tcPr>
            <w:tcW w:w="0" w:type="auto"/>
            <w:shd w:val="clear" w:color="auto" w:fill="auto"/>
            <w:tcMar>
              <w:top w:w="40" w:type="dxa"/>
              <w:left w:w="40" w:type="dxa"/>
              <w:bottom w:w="40" w:type="dxa"/>
              <w:right w:w="40" w:type="dxa"/>
            </w:tcMar>
          </w:tcPr>
          <w:p w14:paraId="42A13FDF"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10.14</w:t>
            </w:r>
          </w:p>
        </w:tc>
        <w:tc>
          <w:tcPr>
            <w:tcW w:w="0" w:type="auto"/>
            <w:shd w:val="clear" w:color="auto" w:fill="auto"/>
            <w:tcMar>
              <w:top w:w="40" w:type="dxa"/>
              <w:left w:w="40" w:type="dxa"/>
              <w:bottom w:w="40" w:type="dxa"/>
              <w:right w:w="40" w:type="dxa"/>
            </w:tcMar>
            <w:vAlign w:val="bottom"/>
          </w:tcPr>
          <w:p w14:paraId="42A13FE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E1" w14:textId="77777777" w:rsidR="00BB68E1" w:rsidRDefault="005D2D5E">
            <w:pPr>
              <w:textAlignment w:val="top"/>
              <w:rPr>
                <w:rFonts w:ascii="Times New Roman" w:hAnsi="Times New Roman"/>
                <w:sz w:val="20"/>
                <w:szCs w:val="20"/>
              </w:rPr>
            </w:pPr>
            <w:hyperlink r:id="rId161" w:history="1">
              <w:r>
                <w:rPr>
                  <w:rStyle w:val="a5"/>
                  <w:rFonts w:ascii="Times New Roman" w:eastAsia="宋体" w:hAnsi="Times New Roman"/>
                  <w:sz w:val="20"/>
                  <w:szCs w:val="20"/>
                </w:rPr>
                <w:t>Form of Walmart Inc. Restricted Stock Award Notification of Award and Terms and Conditions of Award (Suresh Kumar) dated July 9, 2019 is incorporated by refere</w:t>
              </w:r>
              <w:r>
                <w:rPr>
                  <w:rStyle w:val="a5"/>
                  <w:rFonts w:ascii="Times New Roman" w:eastAsia="宋体" w:hAnsi="Times New Roman"/>
                  <w:sz w:val="20"/>
                  <w:szCs w:val="20"/>
                </w:rPr>
                <w:t>nce to Exhibit 10.1 to the Quarterly Report of the Company for the fiscal quarter ended July 31, 2019 filed on September 6, 2019</w:t>
              </w:r>
            </w:hyperlink>
            <w:r>
              <w:rPr>
                <w:rFonts w:ascii="Times New Roman" w:eastAsia="宋体" w:hAnsi="Times New Roman"/>
                <w:sz w:val="14"/>
                <w:szCs w:val="14"/>
              </w:rPr>
              <w:t> (C)</w:t>
            </w:r>
          </w:p>
        </w:tc>
      </w:tr>
      <w:tr w:rsidR="00BB68E1" w14:paraId="42A13FE6" w14:textId="77777777">
        <w:trPr>
          <w:jc w:val="center"/>
        </w:trPr>
        <w:tc>
          <w:tcPr>
            <w:tcW w:w="0" w:type="auto"/>
            <w:shd w:val="clear" w:color="auto" w:fill="auto"/>
            <w:tcMar>
              <w:top w:w="40" w:type="dxa"/>
              <w:left w:w="40" w:type="dxa"/>
              <w:bottom w:w="40" w:type="dxa"/>
              <w:right w:w="40" w:type="dxa"/>
            </w:tcMar>
            <w:vAlign w:val="bottom"/>
          </w:tcPr>
          <w:p w14:paraId="42A13FE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right w:w="40" w:type="dxa"/>
            </w:tcMar>
            <w:vAlign w:val="bottom"/>
          </w:tcPr>
          <w:p w14:paraId="42A13FE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E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3FEA" w14:textId="77777777">
        <w:trPr>
          <w:jc w:val="center"/>
        </w:trPr>
        <w:tc>
          <w:tcPr>
            <w:tcW w:w="0" w:type="auto"/>
            <w:shd w:val="clear" w:color="auto" w:fill="auto"/>
            <w:tcMar>
              <w:top w:w="40" w:type="dxa"/>
              <w:left w:w="40" w:type="dxa"/>
              <w:bottom w:w="40" w:type="dxa"/>
              <w:right w:w="40" w:type="dxa"/>
            </w:tcMar>
          </w:tcPr>
          <w:p w14:paraId="42A13FE7"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10.15</w:t>
            </w:r>
          </w:p>
        </w:tc>
        <w:tc>
          <w:tcPr>
            <w:tcW w:w="0" w:type="auto"/>
            <w:shd w:val="clear" w:color="auto" w:fill="auto"/>
            <w:tcMar>
              <w:top w:w="40" w:type="dxa"/>
              <w:left w:w="40" w:type="dxa"/>
              <w:bottom w:w="40" w:type="dxa"/>
              <w:right w:w="40" w:type="dxa"/>
            </w:tcMar>
            <w:vAlign w:val="bottom"/>
          </w:tcPr>
          <w:p w14:paraId="42A13FE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E9" w14:textId="77777777" w:rsidR="00BB68E1" w:rsidRDefault="005D2D5E">
            <w:pPr>
              <w:textAlignment w:val="top"/>
              <w:rPr>
                <w:rFonts w:ascii="Times New Roman" w:hAnsi="Times New Roman"/>
                <w:sz w:val="20"/>
                <w:szCs w:val="20"/>
              </w:rPr>
            </w:pPr>
            <w:hyperlink r:id="rId162" w:history="1">
              <w:r>
                <w:rPr>
                  <w:rStyle w:val="a5"/>
                  <w:rFonts w:ascii="Times New Roman" w:eastAsia="宋体" w:hAnsi="Times New Roman"/>
                  <w:sz w:val="20"/>
                  <w:szCs w:val="20"/>
                </w:rPr>
                <w:t>Form of Share Settled Restricted Stock Unit Notification and Terms and Conditions Awarded to Suresh Kumar on July 9, 2019 is incorporated by reference to Exhib</w:t>
              </w:r>
              <w:r>
                <w:rPr>
                  <w:rStyle w:val="a5"/>
                  <w:rFonts w:ascii="Times New Roman" w:eastAsia="宋体" w:hAnsi="Times New Roman"/>
                  <w:sz w:val="20"/>
                  <w:szCs w:val="20"/>
                </w:rPr>
                <w:t>it 10.2 to the Quarterly Report of the Company for the fiscal quarter ended July 31, 2019 filed on September 6, 2019</w:t>
              </w:r>
            </w:hyperlink>
            <w:r>
              <w:rPr>
                <w:rFonts w:ascii="Times New Roman" w:eastAsia="宋体" w:hAnsi="Times New Roman"/>
                <w:sz w:val="14"/>
                <w:szCs w:val="14"/>
              </w:rPr>
              <w:t> (C)</w:t>
            </w:r>
          </w:p>
        </w:tc>
      </w:tr>
      <w:tr w:rsidR="00BB68E1" w14:paraId="42A13FEE" w14:textId="77777777">
        <w:trPr>
          <w:jc w:val="center"/>
        </w:trPr>
        <w:tc>
          <w:tcPr>
            <w:tcW w:w="0" w:type="auto"/>
            <w:shd w:val="clear" w:color="auto" w:fill="auto"/>
            <w:tcMar>
              <w:top w:w="40" w:type="dxa"/>
              <w:left w:w="40" w:type="dxa"/>
              <w:bottom w:w="40" w:type="dxa"/>
              <w:right w:w="40" w:type="dxa"/>
            </w:tcMar>
            <w:vAlign w:val="bottom"/>
          </w:tcPr>
          <w:p w14:paraId="42A13FE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E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3FE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bl>
    <w:p w14:paraId="42A13FEF" w14:textId="77777777" w:rsidR="00BB68E1" w:rsidRDefault="00BB68E1">
      <w:pPr>
        <w:rPr>
          <w:rFonts w:ascii="Times New Roman" w:hAnsi="Times New Roman"/>
          <w:sz w:val="20"/>
          <w:szCs w:val="20"/>
        </w:rPr>
      </w:pPr>
    </w:p>
    <w:p w14:paraId="42A13FF0"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81</w:t>
      </w:r>
    </w:p>
    <w:p w14:paraId="42A13FF1" w14:textId="77777777" w:rsidR="00BB68E1" w:rsidRDefault="00BB68E1">
      <w:pPr>
        <w:spacing w:line="288" w:lineRule="auto"/>
        <w:jc w:val="center"/>
        <w:rPr>
          <w:rFonts w:ascii="Times New Roman" w:hAnsi="Times New Roman"/>
          <w:sz w:val="20"/>
          <w:szCs w:val="20"/>
        </w:rPr>
      </w:pPr>
    </w:p>
    <w:p w14:paraId="42A13FF2" w14:textId="77777777" w:rsidR="00BB68E1" w:rsidRDefault="005D2D5E">
      <w:r>
        <w:rPr>
          <w:rFonts w:ascii="Times New Roman" w:hAnsi="Times New Roman"/>
          <w:sz w:val="20"/>
          <w:szCs w:val="20"/>
        </w:rPr>
        <w:pict w14:anchorId="42A142C8">
          <v:rect id="_x0000_i1105" style="width:415.3pt;height:1.5pt" o:hralign="center" o:hrstd="t" o:hr="t" fillcolor="#a0a0a0" stroked="f"/>
        </w:pict>
      </w:r>
    </w:p>
    <w:p w14:paraId="42A13FF3" w14:textId="77777777" w:rsidR="00BB68E1" w:rsidRDefault="00BB68E1">
      <w:pPr>
        <w:spacing w:line="288" w:lineRule="auto"/>
        <w:rPr>
          <w:rFonts w:ascii="Times New Roman" w:hAnsi="Times New Roman"/>
          <w:sz w:val="20"/>
          <w:szCs w:val="20"/>
        </w:rPr>
      </w:pPr>
    </w:p>
    <w:p w14:paraId="42A13FF4" w14:textId="77777777" w:rsidR="00BB68E1" w:rsidRDefault="00BB68E1">
      <w:pPr>
        <w:rPr>
          <w:rFonts w:ascii="Times New Roman" w:hAnsi="Times New Roman"/>
          <w:sz w:val="20"/>
          <w:szCs w:val="20"/>
        </w:rPr>
      </w:pPr>
    </w:p>
    <w:tbl>
      <w:tblPr>
        <w:tblW w:w="4990" w:type="pct"/>
        <w:jc w:val="center"/>
        <w:tblCellMar>
          <w:left w:w="0" w:type="dxa"/>
          <w:right w:w="0" w:type="dxa"/>
        </w:tblCellMar>
        <w:tblLook w:val="04A0" w:firstRow="1" w:lastRow="0" w:firstColumn="1" w:lastColumn="0" w:noHBand="0" w:noVBand="1"/>
      </w:tblPr>
      <w:tblGrid>
        <w:gridCol w:w="930"/>
        <w:gridCol w:w="130"/>
        <w:gridCol w:w="7229"/>
      </w:tblGrid>
      <w:tr w:rsidR="00BB68E1" w14:paraId="42A13FF6" w14:textId="77777777">
        <w:trPr>
          <w:jc w:val="center"/>
        </w:trPr>
        <w:tc>
          <w:tcPr>
            <w:tcW w:w="0" w:type="auto"/>
            <w:gridSpan w:val="3"/>
            <w:shd w:val="clear" w:color="auto" w:fill="auto"/>
            <w:vAlign w:val="center"/>
          </w:tcPr>
          <w:p w14:paraId="42A13FF5" w14:textId="77777777" w:rsidR="00BB68E1" w:rsidRDefault="00BB68E1">
            <w:pPr>
              <w:rPr>
                <w:rFonts w:ascii="Times New Roman" w:hAnsi="Times New Roman"/>
                <w:sz w:val="20"/>
                <w:szCs w:val="20"/>
              </w:rPr>
            </w:pPr>
          </w:p>
        </w:tc>
      </w:tr>
      <w:tr w:rsidR="00BB68E1" w14:paraId="42A13FFA" w14:textId="77777777">
        <w:trPr>
          <w:jc w:val="center"/>
        </w:trPr>
        <w:tc>
          <w:tcPr>
            <w:tcW w:w="550" w:type="pct"/>
            <w:shd w:val="clear" w:color="auto" w:fill="auto"/>
            <w:vAlign w:val="center"/>
          </w:tcPr>
          <w:p w14:paraId="42A13FF7" w14:textId="77777777" w:rsidR="00BB68E1" w:rsidRDefault="00BB68E1">
            <w:pPr>
              <w:rPr>
                <w:rFonts w:ascii="Times New Roman" w:hAnsi="Times New Roman"/>
                <w:sz w:val="20"/>
                <w:szCs w:val="20"/>
              </w:rPr>
            </w:pPr>
          </w:p>
        </w:tc>
        <w:tc>
          <w:tcPr>
            <w:tcW w:w="50" w:type="pct"/>
            <w:shd w:val="clear" w:color="auto" w:fill="auto"/>
            <w:vAlign w:val="center"/>
          </w:tcPr>
          <w:p w14:paraId="42A13FF8" w14:textId="77777777" w:rsidR="00BB68E1" w:rsidRDefault="00BB68E1">
            <w:pPr>
              <w:rPr>
                <w:rFonts w:ascii="Times New Roman" w:hAnsi="Times New Roman"/>
                <w:sz w:val="20"/>
                <w:szCs w:val="20"/>
              </w:rPr>
            </w:pPr>
          </w:p>
        </w:tc>
        <w:tc>
          <w:tcPr>
            <w:tcW w:w="4400" w:type="pct"/>
            <w:shd w:val="clear" w:color="auto" w:fill="auto"/>
            <w:vAlign w:val="center"/>
          </w:tcPr>
          <w:p w14:paraId="42A13FF9" w14:textId="77777777" w:rsidR="00BB68E1" w:rsidRDefault="00BB68E1">
            <w:pPr>
              <w:rPr>
                <w:rFonts w:ascii="Times New Roman" w:hAnsi="Times New Roman"/>
                <w:sz w:val="20"/>
                <w:szCs w:val="20"/>
              </w:rPr>
            </w:pPr>
          </w:p>
        </w:tc>
      </w:tr>
      <w:tr w:rsidR="00BB68E1" w14:paraId="42A13FFE" w14:textId="77777777">
        <w:trPr>
          <w:jc w:val="center"/>
        </w:trPr>
        <w:tc>
          <w:tcPr>
            <w:tcW w:w="0" w:type="auto"/>
            <w:shd w:val="clear" w:color="auto" w:fill="auto"/>
            <w:tcMar>
              <w:top w:w="40" w:type="dxa"/>
              <w:left w:w="40" w:type="dxa"/>
              <w:bottom w:w="40" w:type="dxa"/>
              <w:right w:w="40" w:type="dxa"/>
            </w:tcMar>
          </w:tcPr>
          <w:p w14:paraId="42A13FFB"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10.16*</w:t>
            </w:r>
          </w:p>
        </w:tc>
        <w:tc>
          <w:tcPr>
            <w:tcW w:w="0" w:type="auto"/>
            <w:shd w:val="clear" w:color="auto" w:fill="auto"/>
            <w:tcMar>
              <w:top w:w="40" w:type="dxa"/>
              <w:left w:w="40" w:type="dxa"/>
              <w:bottom w:w="40" w:type="dxa"/>
              <w:right w:w="40" w:type="dxa"/>
            </w:tcMar>
            <w:vAlign w:val="bottom"/>
          </w:tcPr>
          <w:p w14:paraId="42A13FF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3FFD" w14:textId="77777777" w:rsidR="00BB68E1" w:rsidRDefault="005D2D5E">
            <w:pPr>
              <w:textAlignment w:val="top"/>
              <w:rPr>
                <w:rFonts w:ascii="Times New Roman" w:hAnsi="Times New Roman"/>
                <w:sz w:val="20"/>
                <w:szCs w:val="20"/>
              </w:rPr>
            </w:pPr>
            <w:hyperlink r:id="rId163" w:history="1">
              <w:r>
                <w:rPr>
                  <w:rStyle w:val="a5"/>
                  <w:rFonts w:ascii="Times New Roman" w:eastAsia="宋体" w:hAnsi="Times New Roman"/>
                  <w:sz w:val="20"/>
                  <w:szCs w:val="20"/>
                </w:rPr>
                <w:t>Post Termination Agreement and Covenant Not to Compete between the Company and Suresh Kumar dated June 6, 2019</w:t>
              </w:r>
            </w:hyperlink>
            <w:r>
              <w:rPr>
                <w:rFonts w:ascii="Times New Roman" w:eastAsia="宋体" w:hAnsi="Times New Roman"/>
                <w:sz w:val="20"/>
                <w:szCs w:val="20"/>
              </w:rPr>
              <w:t> </w:t>
            </w:r>
            <w:r>
              <w:rPr>
                <w:rFonts w:ascii="Times New Roman" w:eastAsia="宋体" w:hAnsi="Times New Roman"/>
                <w:sz w:val="14"/>
                <w:szCs w:val="14"/>
              </w:rPr>
              <w:t>(C)</w:t>
            </w:r>
          </w:p>
        </w:tc>
      </w:tr>
      <w:tr w:rsidR="00BB68E1" w14:paraId="42A14002" w14:textId="77777777">
        <w:trPr>
          <w:jc w:val="center"/>
        </w:trPr>
        <w:tc>
          <w:tcPr>
            <w:tcW w:w="0" w:type="auto"/>
            <w:shd w:val="clear" w:color="auto" w:fill="auto"/>
            <w:tcMar>
              <w:top w:w="40" w:type="dxa"/>
              <w:left w:w="40" w:type="dxa"/>
              <w:bottom w:w="40" w:type="dxa"/>
              <w:right w:w="40" w:type="dxa"/>
            </w:tcMar>
            <w:vAlign w:val="bottom"/>
          </w:tcPr>
          <w:p w14:paraId="42A13FF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0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0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06" w14:textId="77777777">
        <w:trPr>
          <w:jc w:val="center"/>
        </w:trPr>
        <w:tc>
          <w:tcPr>
            <w:tcW w:w="0" w:type="auto"/>
            <w:shd w:val="clear" w:color="auto" w:fill="auto"/>
            <w:tcMar>
              <w:top w:w="40" w:type="dxa"/>
              <w:left w:w="40" w:type="dxa"/>
              <w:bottom w:w="40" w:type="dxa"/>
              <w:right w:w="40" w:type="dxa"/>
            </w:tcMar>
          </w:tcPr>
          <w:p w14:paraId="42A14003"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10.17*</w:t>
            </w:r>
          </w:p>
        </w:tc>
        <w:tc>
          <w:tcPr>
            <w:tcW w:w="0" w:type="auto"/>
            <w:shd w:val="clear" w:color="auto" w:fill="auto"/>
            <w:tcMar>
              <w:top w:w="40" w:type="dxa"/>
              <w:left w:w="40" w:type="dxa"/>
              <w:bottom w:w="40" w:type="dxa"/>
              <w:right w:w="40" w:type="dxa"/>
            </w:tcMar>
            <w:vAlign w:val="bottom"/>
          </w:tcPr>
          <w:p w14:paraId="42A1400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05" w14:textId="77777777" w:rsidR="00BB68E1" w:rsidRDefault="005D2D5E">
            <w:pPr>
              <w:textAlignment w:val="top"/>
              <w:rPr>
                <w:rFonts w:ascii="Times New Roman" w:hAnsi="Times New Roman"/>
                <w:sz w:val="20"/>
                <w:szCs w:val="20"/>
              </w:rPr>
            </w:pPr>
            <w:hyperlink r:id="rId164" w:history="1">
              <w:r>
                <w:rPr>
                  <w:rStyle w:val="a5"/>
                  <w:rFonts w:ascii="Times New Roman" w:eastAsia="宋体" w:hAnsi="Times New Roman"/>
                  <w:sz w:val="20"/>
                  <w:szCs w:val="20"/>
                </w:rPr>
                <w:t>Separation Agreement between the Company and Gregory S. Foran dated December 3, 2019</w:t>
              </w:r>
            </w:hyperlink>
            <w:r>
              <w:rPr>
                <w:rFonts w:ascii="Times New Roman" w:eastAsia="宋体" w:hAnsi="Times New Roman"/>
                <w:sz w:val="20"/>
                <w:szCs w:val="20"/>
              </w:rPr>
              <w:t> </w:t>
            </w:r>
            <w:r>
              <w:rPr>
                <w:rFonts w:ascii="Times New Roman" w:eastAsia="宋体" w:hAnsi="Times New Roman"/>
                <w:sz w:val="14"/>
                <w:szCs w:val="14"/>
              </w:rPr>
              <w:t>(C)</w:t>
            </w:r>
          </w:p>
        </w:tc>
      </w:tr>
      <w:tr w:rsidR="00BB68E1" w14:paraId="42A1400A" w14:textId="77777777">
        <w:trPr>
          <w:jc w:val="center"/>
        </w:trPr>
        <w:tc>
          <w:tcPr>
            <w:tcW w:w="0" w:type="auto"/>
            <w:shd w:val="clear" w:color="auto" w:fill="auto"/>
            <w:tcMar>
              <w:top w:w="40" w:type="dxa"/>
              <w:left w:w="40" w:type="dxa"/>
              <w:bottom w:w="40" w:type="dxa"/>
              <w:right w:w="40" w:type="dxa"/>
            </w:tcMar>
            <w:vAlign w:val="bottom"/>
          </w:tcPr>
          <w:p w14:paraId="42A1400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0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0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0E" w14:textId="77777777">
        <w:trPr>
          <w:jc w:val="center"/>
        </w:trPr>
        <w:tc>
          <w:tcPr>
            <w:tcW w:w="0" w:type="auto"/>
            <w:shd w:val="clear" w:color="auto" w:fill="auto"/>
            <w:tcMar>
              <w:top w:w="40" w:type="dxa"/>
              <w:left w:w="40" w:type="dxa"/>
              <w:bottom w:w="40" w:type="dxa"/>
              <w:right w:w="40" w:type="dxa"/>
            </w:tcMar>
          </w:tcPr>
          <w:p w14:paraId="42A1400B"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10.18</w:t>
            </w:r>
          </w:p>
        </w:tc>
        <w:tc>
          <w:tcPr>
            <w:tcW w:w="0" w:type="auto"/>
            <w:shd w:val="clear" w:color="auto" w:fill="auto"/>
            <w:tcMar>
              <w:top w:w="40" w:type="dxa"/>
              <w:left w:w="40" w:type="dxa"/>
              <w:bottom w:w="40" w:type="dxa"/>
              <w:right w:w="40" w:type="dxa"/>
            </w:tcMar>
            <w:vAlign w:val="bottom"/>
          </w:tcPr>
          <w:p w14:paraId="42A1400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0D" w14:textId="77777777" w:rsidR="00BB68E1" w:rsidRDefault="005D2D5E">
            <w:pPr>
              <w:textAlignment w:val="top"/>
              <w:rPr>
                <w:rFonts w:ascii="Times New Roman" w:hAnsi="Times New Roman"/>
                <w:sz w:val="20"/>
                <w:szCs w:val="20"/>
              </w:rPr>
            </w:pPr>
            <w:hyperlink r:id="rId165" w:history="1">
              <w:r>
                <w:rPr>
                  <w:rStyle w:val="a5"/>
                  <w:rFonts w:ascii="Times New Roman" w:eastAsia="宋体" w:hAnsi="Times New Roman"/>
                  <w:sz w:val="20"/>
                  <w:szCs w:val="20"/>
                </w:rPr>
                <w:t>Share Issuance and Acquisition Agreement by and Between Flipkart Private Limited and Walmart Inc. dated as of May 9, 2018. is incorporated herein by</w:t>
              </w:r>
              <w:r>
                <w:rPr>
                  <w:rStyle w:val="a5"/>
                  <w:rFonts w:ascii="Times New Roman" w:eastAsia="宋体" w:hAnsi="Times New Roman"/>
                  <w:sz w:val="20"/>
                  <w:szCs w:val="20"/>
                </w:rPr>
                <w:t xml:space="preserve"> reference to Exhibit 10.1. to the Quarterly Report of the Company for the fiscal quarter ended July 31, 2018 filed on September 6, 2018 (portions of this exhibit have been omitted and filed separately with the SEC pursuant to a request for confidential tr</w:t>
              </w:r>
              <w:r>
                <w:rPr>
                  <w:rStyle w:val="a5"/>
                  <w:rFonts w:ascii="Times New Roman" w:eastAsia="宋体" w:hAnsi="Times New Roman"/>
                  <w:sz w:val="20"/>
                  <w:szCs w:val="20"/>
                </w:rPr>
                <w:t>eatment.)</w:t>
              </w:r>
            </w:hyperlink>
          </w:p>
        </w:tc>
      </w:tr>
      <w:tr w:rsidR="00BB68E1" w14:paraId="42A14012" w14:textId="77777777">
        <w:trPr>
          <w:jc w:val="center"/>
        </w:trPr>
        <w:tc>
          <w:tcPr>
            <w:tcW w:w="0" w:type="auto"/>
            <w:shd w:val="clear" w:color="auto" w:fill="auto"/>
            <w:tcMar>
              <w:top w:w="40" w:type="dxa"/>
              <w:left w:w="40" w:type="dxa"/>
              <w:bottom w:w="40" w:type="dxa"/>
              <w:right w:w="40" w:type="dxa"/>
            </w:tcMar>
            <w:vAlign w:val="bottom"/>
          </w:tcPr>
          <w:p w14:paraId="42A1400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1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1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16" w14:textId="77777777">
        <w:trPr>
          <w:jc w:val="center"/>
        </w:trPr>
        <w:tc>
          <w:tcPr>
            <w:tcW w:w="0" w:type="auto"/>
            <w:shd w:val="clear" w:color="auto" w:fill="auto"/>
            <w:tcMar>
              <w:top w:w="40" w:type="dxa"/>
              <w:left w:w="40" w:type="dxa"/>
              <w:bottom w:w="40" w:type="dxa"/>
              <w:right w:w="40" w:type="dxa"/>
            </w:tcMar>
          </w:tcPr>
          <w:p w14:paraId="42A14013"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10.19</w:t>
            </w:r>
          </w:p>
        </w:tc>
        <w:tc>
          <w:tcPr>
            <w:tcW w:w="0" w:type="auto"/>
            <w:shd w:val="clear" w:color="auto" w:fill="auto"/>
            <w:tcMar>
              <w:top w:w="40" w:type="dxa"/>
              <w:left w:w="40" w:type="dxa"/>
              <w:bottom w:w="40" w:type="dxa"/>
              <w:right w:w="40" w:type="dxa"/>
            </w:tcMar>
            <w:vAlign w:val="bottom"/>
          </w:tcPr>
          <w:p w14:paraId="42A1401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15" w14:textId="77777777" w:rsidR="00BB68E1" w:rsidRDefault="005D2D5E">
            <w:pPr>
              <w:textAlignment w:val="top"/>
              <w:rPr>
                <w:rFonts w:ascii="Times New Roman" w:hAnsi="Times New Roman"/>
                <w:sz w:val="20"/>
                <w:szCs w:val="20"/>
              </w:rPr>
            </w:pPr>
            <w:hyperlink r:id="rId166" w:history="1">
              <w:r>
                <w:rPr>
                  <w:rStyle w:val="a5"/>
                  <w:rFonts w:ascii="Times New Roman" w:eastAsia="宋体" w:hAnsi="Times New Roman"/>
                  <w:sz w:val="20"/>
                  <w:szCs w:val="20"/>
                </w:rPr>
                <w:t>Counterpart Form of Share Purchase Agreement by and Among Wal-Mart International Holdings, Inc. the shareholders of Flip</w:t>
              </w:r>
              <w:r>
                <w:rPr>
                  <w:rStyle w:val="a5"/>
                  <w:rFonts w:ascii="Times New Roman" w:eastAsia="宋体" w:hAnsi="Times New Roman"/>
                  <w:sz w:val="20"/>
                  <w:szCs w:val="20"/>
                </w:rPr>
                <w:t>kart Private Limited identified on Schedule I thereto, Fortis Advisors LLC and Walmart Inc. dated as of May 9, 2018 is incorporated herein by reference to Exhibit 10.2. to the Quarterly Report of the Company for the fiscal quarter ended July 31, 2018 filed</w:t>
              </w:r>
              <w:r>
                <w:rPr>
                  <w:rStyle w:val="a5"/>
                  <w:rFonts w:ascii="Times New Roman" w:eastAsia="宋体" w:hAnsi="Times New Roman"/>
                  <w:sz w:val="20"/>
                  <w:szCs w:val="20"/>
                </w:rPr>
                <w:t xml:space="preserve"> on September 6, 2018 (Portions of this exhibit have been omitted and filed separately with the SEC pursuant to a request for confidential treatment.)</w:t>
              </w:r>
            </w:hyperlink>
          </w:p>
        </w:tc>
      </w:tr>
      <w:tr w:rsidR="00BB68E1" w14:paraId="42A1401A" w14:textId="77777777">
        <w:trPr>
          <w:jc w:val="center"/>
        </w:trPr>
        <w:tc>
          <w:tcPr>
            <w:tcW w:w="0" w:type="auto"/>
            <w:shd w:val="clear" w:color="auto" w:fill="auto"/>
            <w:tcMar>
              <w:top w:w="40" w:type="dxa"/>
              <w:left w:w="40" w:type="dxa"/>
              <w:bottom w:w="40" w:type="dxa"/>
              <w:right w:w="40" w:type="dxa"/>
            </w:tcMar>
            <w:vAlign w:val="bottom"/>
          </w:tcPr>
          <w:p w14:paraId="42A1401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1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1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1E" w14:textId="77777777">
        <w:trPr>
          <w:jc w:val="center"/>
        </w:trPr>
        <w:tc>
          <w:tcPr>
            <w:tcW w:w="0" w:type="auto"/>
            <w:shd w:val="clear" w:color="auto" w:fill="auto"/>
            <w:tcMar>
              <w:top w:w="40" w:type="dxa"/>
              <w:left w:w="40" w:type="dxa"/>
              <w:bottom w:w="40" w:type="dxa"/>
              <w:right w:w="40" w:type="dxa"/>
            </w:tcMar>
          </w:tcPr>
          <w:p w14:paraId="42A1401B"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21*   </w:t>
            </w:r>
          </w:p>
        </w:tc>
        <w:tc>
          <w:tcPr>
            <w:tcW w:w="0" w:type="auto"/>
            <w:shd w:val="clear" w:color="auto" w:fill="auto"/>
            <w:tcMar>
              <w:top w:w="40" w:type="dxa"/>
              <w:left w:w="40" w:type="dxa"/>
              <w:bottom w:w="40" w:type="dxa"/>
              <w:right w:w="40" w:type="dxa"/>
            </w:tcMar>
            <w:vAlign w:val="bottom"/>
          </w:tcPr>
          <w:p w14:paraId="42A1401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1D" w14:textId="77777777" w:rsidR="00BB68E1" w:rsidRDefault="005D2D5E">
            <w:pPr>
              <w:textAlignment w:val="top"/>
              <w:rPr>
                <w:rFonts w:ascii="Times New Roman" w:hAnsi="Times New Roman"/>
                <w:sz w:val="20"/>
                <w:szCs w:val="20"/>
              </w:rPr>
            </w:pPr>
            <w:hyperlink r:id="rId167" w:history="1">
              <w:r>
                <w:rPr>
                  <w:rStyle w:val="a5"/>
                  <w:rFonts w:ascii="Times New Roman" w:eastAsia="宋体" w:hAnsi="Times New Roman"/>
                  <w:sz w:val="20"/>
                  <w:szCs w:val="20"/>
                </w:rPr>
                <w:t>List of the Company's Significant Subsidiaries</w:t>
              </w:r>
            </w:hyperlink>
          </w:p>
        </w:tc>
      </w:tr>
      <w:tr w:rsidR="00BB68E1" w14:paraId="42A14021" w14:textId="77777777">
        <w:trPr>
          <w:jc w:val="center"/>
        </w:trPr>
        <w:tc>
          <w:tcPr>
            <w:tcW w:w="0" w:type="auto"/>
            <w:shd w:val="clear" w:color="auto" w:fill="auto"/>
            <w:tcMar>
              <w:top w:w="40" w:type="dxa"/>
              <w:left w:w="40" w:type="dxa"/>
              <w:bottom w:w="40" w:type="dxa"/>
              <w:right w:w="40" w:type="dxa"/>
            </w:tcMar>
            <w:vAlign w:val="bottom"/>
          </w:tcPr>
          <w:p w14:paraId="42A1401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402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25" w14:textId="77777777">
        <w:trPr>
          <w:jc w:val="center"/>
        </w:trPr>
        <w:tc>
          <w:tcPr>
            <w:tcW w:w="0" w:type="auto"/>
            <w:shd w:val="clear" w:color="auto" w:fill="auto"/>
            <w:tcMar>
              <w:top w:w="40" w:type="dxa"/>
              <w:left w:w="40" w:type="dxa"/>
              <w:bottom w:w="40" w:type="dxa"/>
              <w:right w:w="40" w:type="dxa"/>
            </w:tcMar>
          </w:tcPr>
          <w:p w14:paraId="42A14022"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23*    </w:t>
            </w:r>
          </w:p>
        </w:tc>
        <w:tc>
          <w:tcPr>
            <w:tcW w:w="0" w:type="auto"/>
            <w:shd w:val="clear" w:color="auto" w:fill="auto"/>
            <w:tcMar>
              <w:top w:w="40" w:type="dxa"/>
              <w:left w:w="40" w:type="dxa"/>
              <w:bottom w:w="40" w:type="dxa"/>
              <w:right w:w="40" w:type="dxa"/>
            </w:tcMar>
            <w:vAlign w:val="bottom"/>
          </w:tcPr>
          <w:p w14:paraId="42A1402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24" w14:textId="77777777" w:rsidR="00BB68E1" w:rsidRDefault="005D2D5E">
            <w:pPr>
              <w:textAlignment w:val="top"/>
              <w:rPr>
                <w:rFonts w:ascii="Times New Roman" w:hAnsi="Times New Roman"/>
                <w:sz w:val="20"/>
                <w:szCs w:val="20"/>
              </w:rPr>
            </w:pPr>
            <w:hyperlink r:id="rId168" w:history="1">
              <w:r>
                <w:rPr>
                  <w:rStyle w:val="a5"/>
                  <w:rFonts w:ascii="Times New Roman" w:eastAsia="宋体" w:hAnsi="Times New Roman"/>
                  <w:sz w:val="20"/>
                  <w:szCs w:val="20"/>
                </w:rPr>
                <w:t>Consent of Independent Registered Public Accounting Firm</w:t>
              </w:r>
            </w:hyperlink>
          </w:p>
        </w:tc>
      </w:tr>
      <w:tr w:rsidR="00BB68E1" w14:paraId="42A14028" w14:textId="77777777">
        <w:trPr>
          <w:jc w:val="center"/>
        </w:trPr>
        <w:tc>
          <w:tcPr>
            <w:tcW w:w="0" w:type="auto"/>
            <w:shd w:val="clear" w:color="auto" w:fill="auto"/>
            <w:tcMar>
              <w:top w:w="40" w:type="dxa"/>
              <w:left w:w="40" w:type="dxa"/>
              <w:bottom w:w="40" w:type="dxa"/>
              <w:right w:w="40" w:type="dxa"/>
            </w:tcMar>
            <w:vAlign w:val="bottom"/>
          </w:tcPr>
          <w:p w14:paraId="42A1402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402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2C" w14:textId="77777777">
        <w:trPr>
          <w:jc w:val="center"/>
        </w:trPr>
        <w:tc>
          <w:tcPr>
            <w:tcW w:w="0" w:type="auto"/>
            <w:shd w:val="clear" w:color="auto" w:fill="auto"/>
            <w:tcMar>
              <w:top w:w="40" w:type="dxa"/>
              <w:left w:w="40" w:type="dxa"/>
              <w:bottom w:w="40" w:type="dxa"/>
              <w:right w:w="40" w:type="dxa"/>
            </w:tcMar>
          </w:tcPr>
          <w:p w14:paraId="42A14029"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31.1* </w:t>
            </w:r>
          </w:p>
        </w:tc>
        <w:tc>
          <w:tcPr>
            <w:tcW w:w="0" w:type="auto"/>
            <w:shd w:val="clear" w:color="auto" w:fill="auto"/>
            <w:tcMar>
              <w:top w:w="40" w:type="dxa"/>
              <w:left w:w="40" w:type="dxa"/>
              <w:bottom w:w="40" w:type="dxa"/>
              <w:right w:w="40" w:type="dxa"/>
            </w:tcMar>
            <w:vAlign w:val="bottom"/>
          </w:tcPr>
          <w:p w14:paraId="42A1402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2B" w14:textId="77777777" w:rsidR="00BB68E1" w:rsidRDefault="005D2D5E">
            <w:pPr>
              <w:textAlignment w:val="top"/>
              <w:rPr>
                <w:rFonts w:ascii="Times New Roman" w:hAnsi="Times New Roman"/>
                <w:sz w:val="20"/>
                <w:szCs w:val="20"/>
              </w:rPr>
            </w:pPr>
            <w:hyperlink r:id="rId169" w:history="1">
              <w:r>
                <w:rPr>
                  <w:rStyle w:val="a5"/>
                  <w:rFonts w:ascii="Times New Roman" w:eastAsia="宋体" w:hAnsi="Times New Roman"/>
                  <w:sz w:val="20"/>
                  <w:szCs w:val="20"/>
                </w:rPr>
                <w:t>Chief Executive Officer Section 302 Certification</w:t>
              </w:r>
            </w:hyperlink>
          </w:p>
        </w:tc>
      </w:tr>
      <w:tr w:rsidR="00BB68E1" w14:paraId="42A1402F" w14:textId="77777777">
        <w:trPr>
          <w:jc w:val="center"/>
        </w:trPr>
        <w:tc>
          <w:tcPr>
            <w:tcW w:w="0" w:type="auto"/>
            <w:shd w:val="clear" w:color="auto" w:fill="auto"/>
            <w:tcMar>
              <w:top w:w="40" w:type="dxa"/>
              <w:left w:w="40" w:type="dxa"/>
              <w:bottom w:w="40" w:type="dxa"/>
              <w:right w:w="40" w:type="dxa"/>
            </w:tcMar>
            <w:vAlign w:val="bottom"/>
          </w:tcPr>
          <w:p w14:paraId="42A1402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402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33" w14:textId="77777777">
        <w:trPr>
          <w:jc w:val="center"/>
        </w:trPr>
        <w:tc>
          <w:tcPr>
            <w:tcW w:w="0" w:type="auto"/>
            <w:shd w:val="clear" w:color="auto" w:fill="auto"/>
            <w:tcMar>
              <w:top w:w="40" w:type="dxa"/>
              <w:left w:w="40" w:type="dxa"/>
              <w:bottom w:w="40" w:type="dxa"/>
              <w:right w:w="40" w:type="dxa"/>
            </w:tcMar>
          </w:tcPr>
          <w:p w14:paraId="42A14030"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31.2* </w:t>
            </w:r>
          </w:p>
        </w:tc>
        <w:tc>
          <w:tcPr>
            <w:tcW w:w="0" w:type="auto"/>
            <w:shd w:val="clear" w:color="auto" w:fill="auto"/>
            <w:tcMar>
              <w:top w:w="40" w:type="dxa"/>
              <w:left w:w="40" w:type="dxa"/>
              <w:bottom w:w="40" w:type="dxa"/>
              <w:right w:w="40" w:type="dxa"/>
            </w:tcMar>
            <w:vAlign w:val="bottom"/>
          </w:tcPr>
          <w:p w14:paraId="42A1403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32" w14:textId="77777777" w:rsidR="00BB68E1" w:rsidRDefault="005D2D5E">
            <w:pPr>
              <w:textAlignment w:val="top"/>
              <w:rPr>
                <w:rFonts w:ascii="Times New Roman" w:hAnsi="Times New Roman"/>
                <w:sz w:val="20"/>
                <w:szCs w:val="20"/>
              </w:rPr>
            </w:pPr>
            <w:hyperlink r:id="rId170" w:history="1">
              <w:r>
                <w:rPr>
                  <w:rStyle w:val="a5"/>
                  <w:rFonts w:ascii="Times New Roman" w:eastAsia="宋体" w:hAnsi="Times New Roman"/>
                  <w:sz w:val="20"/>
                  <w:szCs w:val="20"/>
                </w:rPr>
                <w:t>Chief Financial Officer Section 302 Certification</w:t>
              </w:r>
            </w:hyperlink>
          </w:p>
        </w:tc>
      </w:tr>
      <w:tr w:rsidR="00BB68E1" w14:paraId="42A14036" w14:textId="77777777">
        <w:trPr>
          <w:jc w:val="center"/>
        </w:trPr>
        <w:tc>
          <w:tcPr>
            <w:tcW w:w="0" w:type="auto"/>
            <w:shd w:val="clear" w:color="auto" w:fill="auto"/>
            <w:tcMar>
              <w:top w:w="40" w:type="dxa"/>
              <w:left w:w="40" w:type="dxa"/>
              <w:bottom w:w="40" w:type="dxa"/>
              <w:right w:w="40" w:type="dxa"/>
            </w:tcMar>
            <w:vAlign w:val="bottom"/>
          </w:tcPr>
          <w:p w14:paraId="42A1403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403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3A" w14:textId="77777777">
        <w:trPr>
          <w:jc w:val="center"/>
        </w:trPr>
        <w:tc>
          <w:tcPr>
            <w:tcW w:w="0" w:type="auto"/>
            <w:shd w:val="clear" w:color="auto" w:fill="auto"/>
            <w:tcMar>
              <w:top w:w="40" w:type="dxa"/>
              <w:left w:w="40" w:type="dxa"/>
              <w:bottom w:w="40" w:type="dxa"/>
              <w:right w:w="40" w:type="dxa"/>
            </w:tcMar>
          </w:tcPr>
          <w:p w14:paraId="42A14037"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32.1** </w:t>
            </w:r>
          </w:p>
        </w:tc>
        <w:tc>
          <w:tcPr>
            <w:tcW w:w="0" w:type="auto"/>
            <w:shd w:val="clear" w:color="auto" w:fill="auto"/>
            <w:tcMar>
              <w:top w:w="40" w:type="dxa"/>
              <w:left w:w="40" w:type="dxa"/>
              <w:bottom w:w="40" w:type="dxa"/>
              <w:right w:w="40" w:type="dxa"/>
            </w:tcMar>
            <w:vAlign w:val="bottom"/>
          </w:tcPr>
          <w:p w14:paraId="42A1403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39" w14:textId="77777777" w:rsidR="00BB68E1" w:rsidRDefault="005D2D5E">
            <w:pPr>
              <w:textAlignment w:val="top"/>
              <w:rPr>
                <w:rFonts w:ascii="Times New Roman" w:hAnsi="Times New Roman"/>
                <w:sz w:val="20"/>
                <w:szCs w:val="20"/>
              </w:rPr>
            </w:pPr>
            <w:hyperlink r:id="rId171" w:history="1">
              <w:r>
                <w:rPr>
                  <w:rStyle w:val="a5"/>
                  <w:rFonts w:ascii="Times New Roman" w:eastAsia="宋体" w:hAnsi="Times New Roman"/>
                  <w:sz w:val="20"/>
                  <w:szCs w:val="20"/>
                </w:rPr>
                <w:t>Chief Executive Officer Section 906 Certification</w:t>
              </w:r>
            </w:hyperlink>
          </w:p>
        </w:tc>
      </w:tr>
      <w:tr w:rsidR="00BB68E1" w14:paraId="42A1403D" w14:textId="77777777">
        <w:trPr>
          <w:jc w:val="center"/>
        </w:trPr>
        <w:tc>
          <w:tcPr>
            <w:tcW w:w="0" w:type="auto"/>
            <w:shd w:val="clear" w:color="auto" w:fill="auto"/>
            <w:tcMar>
              <w:top w:w="40" w:type="dxa"/>
              <w:left w:w="40" w:type="dxa"/>
              <w:bottom w:w="40" w:type="dxa"/>
              <w:right w:w="40" w:type="dxa"/>
            </w:tcMar>
            <w:vAlign w:val="bottom"/>
          </w:tcPr>
          <w:p w14:paraId="42A1403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403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41" w14:textId="77777777">
        <w:trPr>
          <w:jc w:val="center"/>
        </w:trPr>
        <w:tc>
          <w:tcPr>
            <w:tcW w:w="0" w:type="auto"/>
            <w:shd w:val="clear" w:color="auto" w:fill="auto"/>
            <w:tcMar>
              <w:top w:w="40" w:type="dxa"/>
              <w:left w:w="40" w:type="dxa"/>
              <w:bottom w:w="40" w:type="dxa"/>
              <w:right w:w="40" w:type="dxa"/>
            </w:tcMar>
          </w:tcPr>
          <w:p w14:paraId="42A1403E"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32.2** </w:t>
            </w:r>
          </w:p>
        </w:tc>
        <w:tc>
          <w:tcPr>
            <w:tcW w:w="0" w:type="auto"/>
            <w:shd w:val="clear" w:color="auto" w:fill="auto"/>
            <w:tcMar>
              <w:top w:w="40" w:type="dxa"/>
              <w:left w:w="40" w:type="dxa"/>
              <w:bottom w:w="40" w:type="dxa"/>
              <w:right w:w="40" w:type="dxa"/>
            </w:tcMar>
            <w:vAlign w:val="bottom"/>
          </w:tcPr>
          <w:p w14:paraId="42A1403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40" w14:textId="77777777" w:rsidR="00BB68E1" w:rsidRDefault="005D2D5E">
            <w:pPr>
              <w:textAlignment w:val="top"/>
              <w:rPr>
                <w:rFonts w:ascii="Times New Roman" w:hAnsi="Times New Roman"/>
                <w:sz w:val="20"/>
                <w:szCs w:val="20"/>
              </w:rPr>
            </w:pPr>
            <w:hyperlink r:id="rId172" w:history="1">
              <w:r>
                <w:rPr>
                  <w:rStyle w:val="a5"/>
                  <w:rFonts w:ascii="Times New Roman" w:eastAsia="宋体" w:hAnsi="Times New Roman"/>
                  <w:sz w:val="20"/>
                  <w:szCs w:val="20"/>
                </w:rPr>
                <w:t>Chief Financial Officer Section 906 Certification</w:t>
              </w:r>
            </w:hyperlink>
          </w:p>
        </w:tc>
      </w:tr>
      <w:tr w:rsidR="00BB68E1" w14:paraId="42A14045" w14:textId="77777777">
        <w:trPr>
          <w:jc w:val="center"/>
        </w:trPr>
        <w:tc>
          <w:tcPr>
            <w:tcW w:w="0" w:type="auto"/>
            <w:shd w:val="clear" w:color="auto" w:fill="auto"/>
            <w:tcMar>
              <w:top w:w="40" w:type="dxa"/>
              <w:left w:w="40" w:type="dxa"/>
              <w:bottom w:w="40" w:type="dxa"/>
              <w:right w:w="40" w:type="dxa"/>
            </w:tcMar>
            <w:vAlign w:val="bottom"/>
          </w:tcPr>
          <w:p w14:paraId="42A1404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4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4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49" w14:textId="77777777">
        <w:trPr>
          <w:jc w:val="center"/>
        </w:trPr>
        <w:tc>
          <w:tcPr>
            <w:tcW w:w="0" w:type="auto"/>
            <w:shd w:val="clear" w:color="auto" w:fill="auto"/>
            <w:tcMar>
              <w:top w:w="40" w:type="dxa"/>
              <w:left w:w="40" w:type="dxa"/>
              <w:bottom w:w="40" w:type="dxa"/>
              <w:right w:w="40" w:type="dxa"/>
            </w:tcMar>
          </w:tcPr>
          <w:p w14:paraId="42A14046"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99.1*</w:t>
            </w:r>
          </w:p>
        </w:tc>
        <w:tc>
          <w:tcPr>
            <w:tcW w:w="0" w:type="auto"/>
            <w:shd w:val="clear" w:color="auto" w:fill="auto"/>
            <w:tcMar>
              <w:top w:w="40" w:type="dxa"/>
              <w:left w:w="40" w:type="dxa"/>
              <w:bottom w:w="40" w:type="dxa"/>
              <w:right w:w="40" w:type="dxa"/>
            </w:tcMar>
            <w:vAlign w:val="bottom"/>
          </w:tcPr>
          <w:p w14:paraId="42A1404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48" w14:textId="77777777" w:rsidR="00BB68E1" w:rsidRDefault="005D2D5E">
            <w:pPr>
              <w:textAlignment w:val="top"/>
              <w:rPr>
                <w:rFonts w:ascii="Times New Roman" w:hAnsi="Times New Roman"/>
                <w:sz w:val="20"/>
                <w:szCs w:val="20"/>
              </w:rPr>
            </w:pPr>
            <w:hyperlink r:id="rId173" w:history="1">
              <w:r>
                <w:rPr>
                  <w:rStyle w:val="a5"/>
                  <w:rFonts w:ascii="Times New Roman" w:eastAsia="宋体" w:hAnsi="Times New Roman"/>
                  <w:sz w:val="20"/>
                  <w:szCs w:val="20"/>
                </w:rPr>
                <w:t>State Court Prescription Opiate Litigation Cases</w:t>
              </w:r>
            </w:hyperlink>
          </w:p>
        </w:tc>
      </w:tr>
      <w:tr w:rsidR="00BB68E1" w14:paraId="42A1404C" w14:textId="77777777">
        <w:trPr>
          <w:jc w:val="center"/>
        </w:trPr>
        <w:tc>
          <w:tcPr>
            <w:tcW w:w="0" w:type="auto"/>
            <w:shd w:val="clear" w:color="auto" w:fill="auto"/>
            <w:tcMar>
              <w:top w:w="40" w:type="dxa"/>
              <w:left w:w="40" w:type="dxa"/>
              <w:bottom w:w="40" w:type="dxa"/>
              <w:right w:w="40" w:type="dxa"/>
            </w:tcMar>
            <w:vAlign w:val="bottom"/>
          </w:tcPr>
          <w:p w14:paraId="42A1404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404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50" w14:textId="77777777">
        <w:trPr>
          <w:jc w:val="center"/>
        </w:trPr>
        <w:tc>
          <w:tcPr>
            <w:tcW w:w="0" w:type="auto"/>
            <w:shd w:val="clear" w:color="auto" w:fill="auto"/>
            <w:tcMar>
              <w:top w:w="40" w:type="dxa"/>
              <w:left w:w="40" w:type="dxa"/>
              <w:bottom w:w="40" w:type="dxa"/>
              <w:right w:w="40" w:type="dxa"/>
            </w:tcMar>
          </w:tcPr>
          <w:p w14:paraId="42A1404D"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101.INS*</w:t>
            </w:r>
          </w:p>
        </w:tc>
        <w:tc>
          <w:tcPr>
            <w:tcW w:w="0" w:type="auto"/>
            <w:shd w:val="clear" w:color="auto" w:fill="auto"/>
            <w:tcMar>
              <w:top w:w="40" w:type="dxa"/>
              <w:left w:w="40" w:type="dxa"/>
              <w:bottom w:w="40" w:type="dxa"/>
              <w:right w:w="40" w:type="dxa"/>
            </w:tcMar>
            <w:vAlign w:val="bottom"/>
          </w:tcPr>
          <w:p w14:paraId="42A1404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4F"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XBRL Instance Document</w:t>
            </w:r>
          </w:p>
        </w:tc>
      </w:tr>
      <w:tr w:rsidR="00BB68E1" w14:paraId="42A14053" w14:textId="77777777">
        <w:trPr>
          <w:jc w:val="center"/>
        </w:trPr>
        <w:tc>
          <w:tcPr>
            <w:tcW w:w="0" w:type="auto"/>
            <w:shd w:val="clear" w:color="auto" w:fill="auto"/>
            <w:tcMar>
              <w:top w:w="40" w:type="dxa"/>
              <w:left w:w="40" w:type="dxa"/>
              <w:bottom w:w="40" w:type="dxa"/>
              <w:right w:w="40" w:type="dxa"/>
            </w:tcMar>
            <w:vAlign w:val="bottom"/>
          </w:tcPr>
          <w:p w14:paraId="42A1405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405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57" w14:textId="77777777">
        <w:trPr>
          <w:jc w:val="center"/>
        </w:trPr>
        <w:tc>
          <w:tcPr>
            <w:tcW w:w="0" w:type="auto"/>
            <w:shd w:val="clear" w:color="auto" w:fill="auto"/>
            <w:tcMar>
              <w:top w:w="40" w:type="dxa"/>
              <w:left w:w="40" w:type="dxa"/>
              <w:bottom w:w="40" w:type="dxa"/>
              <w:right w:w="40" w:type="dxa"/>
            </w:tcMar>
          </w:tcPr>
          <w:p w14:paraId="42A14054"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lastRenderedPageBreak/>
              <w:t>101.SCH*</w:t>
            </w:r>
          </w:p>
        </w:tc>
        <w:tc>
          <w:tcPr>
            <w:tcW w:w="0" w:type="auto"/>
            <w:shd w:val="clear" w:color="auto" w:fill="auto"/>
            <w:tcMar>
              <w:top w:w="40" w:type="dxa"/>
              <w:left w:w="40" w:type="dxa"/>
              <w:bottom w:w="40" w:type="dxa"/>
              <w:right w:w="40" w:type="dxa"/>
            </w:tcMar>
            <w:vAlign w:val="bottom"/>
          </w:tcPr>
          <w:p w14:paraId="42A1405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56"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 xml:space="preserve">XBRL Taxonomy Extension Schema </w:t>
            </w:r>
            <w:r>
              <w:rPr>
                <w:rFonts w:ascii="Times New Roman" w:eastAsia="宋体" w:hAnsi="Times New Roman"/>
                <w:sz w:val="20"/>
                <w:szCs w:val="20"/>
              </w:rPr>
              <w:t>Document</w:t>
            </w:r>
          </w:p>
        </w:tc>
      </w:tr>
      <w:tr w:rsidR="00BB68E1" w14:paraId="42A1405A" w14:textId="77777777">
        <w:trPr>
          <w:jc w:val="center"/>
        </w:trPr>
        <w:tc>
          <w:tcPr>
            <w:tcW w:w="0" w:type="auto"/>
            <w:shd w:val="clear" w:color="auto" w:fill="auto"/>
            <w:tcMar>
              <w:top w:w="40" w:type="dxa"/>
              <w:left w:w="40" w:type="dxa"/>
              <w:bottom w:w="40" w:type="dxa"/>
              <w:right w:w="40" w:type="dxa"/>
            </w:tcMar>
            <w:vAlign w:val="bottom"/>
          </w:tcPr>
          <w:p w14:paraId="42A1405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405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5E" w14:textId="77777777">
        <w:trPr>
          <w:jc w:val="center"/>
        </w:trPr>
        <w:tc>
          <w:tcPr>
            <w:tcW w:w="0" w:type="auto"/>
            <w:shd w:val="clear" w:color="auto" w:fill="auto"/>
            <w:tcMar>
              <w:top w:w="40" w:type="dxa"/>
              <w:left w:w="40" w:type="dxa"/>
              <w:bottom w:w="40" w:type="dxa"/>
              <w:right w:w="40" w:type="dxa"/>
            </w:tcMar>
          </w:tcPr>
          <w:p w14:paraId="42A1405B"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101.CAL*</w:t>
            </w:r>
          </w:p>
        </w:tc>
        <w:tc>
          <w:tcPr>
            <w:tcW w:w="0" w:type="auto"/>
            <w:shd w:val="clear" w:color="auto" w:fill="auto"/>
            <w:tcMar>
              <w:top w:w="40" w:type="dxa"/>
              <w:left w:w="40" w:type="dxa"/>
              <w:bottom w:w="40" w:type="dxa"/>
              <w:right w:w="40" w:type="dxa"/>
            </w:tcMar>
            <w:vAlign w:val="bottom"/>
          </w:tcPr>
          <w:p w14:paraId="42A1405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5D"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XBRL Taxonomy Extension Calculation Linkbase Document</w:t>
            </w:r>
          </w:p>
        </w:tc>
      </w:tr>
      <w:tr w:rsidR="00BB68E1" w14:paraId="42A14061" w14:textId="77777777">
        <w:trPr>
          <w:jc w:val="center"/>
        </w:trPr>
        <w:tc>
          <w:tcPr>
            <w:tcW w:w="0" w:type="auto"/>
            <w:shd w:val="clear" w:color="auto" w:fill="auto"/>
            <w:tcMar>
              <w:top w:w="40" w:type="dxa"/>
              <w:left w:w="40" w:type="dxa"/>
              <w:bottom w:w="40" w:type="dxa"/>
              <w:right w:w="40" w:type="dxa"/>
            </w:tcMar>
            <w:vAlign w:val="bottom"/>
          </w:tcPr>
          <w:p w14:paraId="42A1405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406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65" w14:textId="77777777">
        <w:trPr>
          <w:jc w:val="center"/>
        </w:trPr>
        <w:tc>
          <w:tcPr>
            <w:tcW w:w="0" w:type="auto"/>
            <w:shd w:val="clear" w:color="auto" w:fill="auto"/>
            <w:tcMar>
              <w:top w:w="40" w:type="dxa"/>
              <w:left w:w="40" w:type="dxa"/>
              <w:bottom w:w="40" w:type="dxa"/>
              <w:right w:w="40" w:type="dxa"/>
            </w:tcMar>
          </w:tcPr>
          <w:p w14:paraId="42A14062"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101.DEF*</w:t>
            </w:r>
          </w:p>
        </w:tc>
        <w:tc>
          <w:tcPr>
            <w:tcW w:w="0" w:type="auto"/>
            <w:shd w:val="clear" w:color="auto" w:fill="auto"/>
            <w:tcMar>
              <w:top w:w="40" w:type="dxa"/>
              <w:left w:w="40" w:type="dxa"/>
              <w:bottom w:w="40" w:type="dxa"/>
              <w:right w:w="40" w:type="dxa"/>
            </w:tcMar>
            <w:vAlign w:val="bottom"/>
          </w:tcPr>
          <w:p w14:paraId="42A1406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64"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XBRL Taxonomy Extension Definition Linkbase Document</w:t>
            </w:r>
          </w:p>
        </w:tc>
      </w:tr>
      <w:tr w:rsidR="00BB68E1" w14:paraId="42A14068" w14:textId="77777777">
        <w:trPr>
          <w:jc w:val="center"/>
        </w:trPr>
        <w:tc>
          <w:tcPr>
            <w:tcW w:w="0" w:type="auto"/>
            <w:shd w:val="clear" w:color="auto" w:fill="auto"/>
            <w:tcMar>
              <w:top w:w="40" w:type="dxa"/>
              <w:left w:w="40" w:type="dxa"/>
              <w:bottom w:w="40" w:type="dxa"/>
              <w:right w:w="40" w:type="dxa"/>
            </w:tcMar>
            <w:vAlign w:val="bottom"/>
          </w:tcPr>
          <w:p w14:paraId="42A1406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406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6C" w14:textId="77777777">
        <w:trPr>
          <w:jc w:val="center"/>
        </w:trPr>
        <w:tc>
          <w:tcPr>
            <w:tcW w:w="0" w:type="auto"/>
            <w:shd w:val="clear" w:color="auto" w:fill="auto"/>
            <w:tcMar>
              <w:top w:w="40" w:type="dxa"/>
              <w:left w:w="40" w:type="dxa"/>
              <w:bottom w:w="40" w:type="dxa"/>
              <w:right w:w="40" w:type="dxa"/>
            </w:tcMar>
          </w:tcPr>
          <w:p w14:paraId="42A14069"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101.LAB*</w:t>
            </w:r>
          </w:p>
        </w:tc>
        <w:tc>
          <w:tcPr>
            <w:tcW w:w="0" w:type="auto"/>
            <w:shd w:val="clear" w:color="auto" w:fill="auto"/>
            <w:tcMar>
              <w:top w:w="40" w:type="dxa"/>
              <w:left w:w="40" w:type="dxa"/>
              <w:bottom w:w="40" w:type="dxa"/>
              <w:right w:w="40" w:type="dxa"/>
            </w:tcMar>
            <w:vAlign w:val="bottom"/>
          </w:tcPr>
          <w:p w14:paraId="42A1406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6B"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XBRL Taxonomy Extension Label Linkbase Document</w:t>
            </w:r>
          </w:p>
        </w:tc>
      </w:tr>
      <w:tr w:rsidR="00BB68E1" w14:paraId="42A1406F" w14:textId="77777777">
        <w:trPr>
          <w:jc w:val="center"/>
        </w:trPr>
        <w:tc>
          <w:tcPr>
            <w:tcW w:w="0" w:type="auto"/>
            <w:shd w:val="clear" w:color="auto" w:fill="auto"/>
            <w:tcMar>
              <w:top w:w="40" w:type="dxa"/>
              <w:left w:w="40" w:type="dxa"/>
              <w:bottom w:w="40" w:type="dxa"/>
              <w:right w:w="40" w:type="dxa"/>
            </w:tcMar>
            <w:vAlign w:val="bottom"/>
          </w:tcPr>
          <w:p w14:paraId="42A1406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40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73" w14:textId="77777777">
        <w:trPr>
          <w:jc w:val="center"/>
        </w:trPr>
        <w:tc>
          <w:tcPr>
            <w:tcW w:w="0" w:type="auto"/>
            <w:shd w:val="clear" w:color="auto" w:fill="auto"/>
            <w:tcMar>
              <w:top w:w="40" w:type="dxa"/>
              <w:left w:w="40" w:type="dxa"/>
              <w:bottom w:w="40" w:type="dxa"/>
              <w:right w:w="40" w:type="dxa"/>
            </w:tcMar>
          </w:tcPr>
          <w:p w14:paraId="42A14070"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101.PRE*</w:t>
            </w:r>
          </w:p>
        </w:tc>
        <w:tc>
          <w:tcPr>
            <w:tcW w:w="0" w:type="auto"/>
            <w:shd w:val="clear" w:color="auto" w:fill="auto"/>
            <w:tcMar>
              <w:top w:w="40" w:type="dxa"/>
              <w:left w:w="40" w:type="dxa"/>
              <w:bottom w:w="40" w:type="dxa"/>
              <w:right w:w="40" w:type="dxa"/>
            </w:tcMar>
            <w:vAlign w:val="bottom"/>
          </w:tcPr>
          <w:p w14:paraId="42A1407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72"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 xml:space="preserve">XBRL Taxonomy </w:t>
            </w:r>
            <w:r>
              <w:rPr>
                <w:rFonts w:ascii="Times New Roman" w:eastAsia="宋体" w:hAnsi="Times New Roman"/>
                <w:sz w:val="20"/>
                <w:szCs w:val="20"/>
              </w:rPr>
              <w:t>Extension Presentation Linkbase Document</w:t>
            </w:r>
          </w:p>
        </w:tc>
      </w:tr>
    </w:tbl>
    <w:p w14:paraId="42A14074" w14:textId="77777777" w:rsidR="00BB68E1" w:rsidRDefault="00BB68E1">
      <w:pPr>
        <w:rPr>
          <w:vanish/>
        </w:rPr>
      </w:pPr>
    </w:p>
    <w:tbl>
      <w:tblPr>
        <w:tblW w:w="4990" w:type="pct"/>
        <w:tblCellMar>
          <w:left w:w="0" w:type="dxa"/>
          <w:right w:w="0" w:type="dxa"/>
        </w:tblCellMar>
        <w:tblLook w:val="04A0" w:firstRow="1" w:lastRow="0" w:firstColumn="1" w:lastColumn="0" w:noHBand="0" w:noVBand="1"/>
      </w:tblPr>
      <w:tblGrid>
        <w:gridCol w:w="294"/>
        <w:gridCol w:w="130"/>
        <w:gridCol w:w="7865"/>
      </w:tblGrid>
      <w:tr w:rsidR="00BB68E1" w14:paraId="42A14076" w14:textId="77777777">
        <w:tc>
          <w:tcPr>
            <w:tcW w:w="0" w:type="auto"/>
            <w:gridSpan w:val="3"/>
            <w:shd w:val="clear" w:color="auto" w:fill="auto"/>
            <w:vAlign w:val="center"/>
          </w:tcPr>
          <w:p w14:paraId="42A14075" w14:textId="77777777" w:rsidR="00BB68E1" w:rsidRDefault="00BB68E1">
            <w:pPr>
              <w:rPr>
                <w:rFonts w:ascii="Times New Roman" w:hAnsi="Times New Roman"/>
                <w:sz w:val="20"/>
                <w:szCs w:val="20"/>
              </w:rPr>
            </w:pPr>
          </w:p>
        </w:tc>
      </w:tr>
      <w:tr w:rsidR="00BB68E1" w14:paraId="42A1407A" w14:textId="77777777">
        <w:tc>
          <w:tcPr>
            <w:tcW w:w="150" w:type="pct"/>
            <w:shd w:val="clear" w:color="auto" w:fill="auto"/>
            <w:vAlign w:val="center"/>
          </w:tcPr>
          <w:p w14:paraId="42A14077" w14:textId="77777777" w:rsidR="00BB68E1" w:rsidRDefault="00BB68E1">
            <w:pPr>
              <w:rPr>
                <w:rFonts w:ascii="Times New Roman" w:hAnsi="Times New Roman"/>
                <w:sz w:val="20"/>
                <w:szCs w:val="20"/>
              </w:rPr>
            </w:pPr>
          </w:p>
        </w:tc>
        <w:tc>
          <w:tcPr>
            <w:tcW w:w="50" w:type="pct"/>
            <w:shd w:val="clear" w:color="auto" w:fill="auto"/>
            <w:vAlign w:val="center"/>
          </w:tcPr>
          <w:p w14:paraId="42A14078" w14:textId="77777777" w:rsidR="00BB68E1" w:rsidRDefault="00BB68E1">
            <w:pPr>
              <w:rPr>
                <w:rFonts w:ascii="Times New Roman" w:hAnsi="Times New Roman"/>
                <w:sz w:val="20"/>
                <w:szCs w:val="20"/>
              </w:rPr>
            </w:pPr>
          </w:p>
        </w:tc>
        <w:tc>
          <w:tcPr>
            <w:tcW w:w="4800" w:type="pct"/>
            <w:shd w:val="clear" w:color="auto" w:fill="auto"/>
            <w:vAlign w:val="center"/>
          </w:tcPr>
          <w:p w14:paraId="42A14079" w14:textId="77777777" w:rsidR="00BB68E1" w:rsidRDefault="00BB68E1">
            <w:pPr>
              <w:rPr>
                <w:rFonts w:ascii="Times New Roman" w:hAnsi="Times New Roman"/>
                <w:sz w:val="20"/>
                <w:szCs w:val="20"/>
              </w:rPr>
            </w:pPr>
          </w:p>
        </w:tc>
      </w:tr>
      <w:tr w:rsidR="00BB68E1" w14:paraId="42A1407E" w14:textId="77777777">
        <w:tc>
          <w:tcPr>
            <w:tcW w:w="0" w:type="auto"/>
            <w:shd w:val="clear" w:color="auto" w:fill="auto"/>
            <w:tcMar>
              <w:top w:w="40" w:type="dxa"/>
              <w:left w:w="40" w:type="dxa"/>
              <w:bottom w:w="40" w:type="dxa"/>
              <w:right w:w="40" w:type="dxa"/>
            </w:tcMar>
          </w:tcPr>
          <w:p w14:paraId="42A1407B" w14:textId="77777777" w:rsidR="00BB68E1" w:rsidRDefault="005D2D5E">
            <w:pPr>
              <w:textAlignment w:val="top"/>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40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7D" w14:textId="77777777" w:rsidR="00BB68E1" w:rsidRDefault="005D2D5E">
            <w:pPr>
              <w:textAlignment w:val="top"/>
              <w:rPr>
                <w:rFonts w:ascii="Times New Roman" w:hAnsi="Times New Roman"/>
                <w:sz w:val="16"/>
                <w:szCs w:val="16"/>
              </w:rPr>
            </w:pPr>
            <w:r>
              <w:rPr>
                <w:rFonts w:ascii="Times New Roman" w:eastAsia="宋体" w:hAnsi="Times New Roman"/>
                <w:sz w:val="16"/>
                <w:szCs w:val="16"/>
              </w:rPr>
              <w:t>Filed herewith as an Exhibit.</w:t>
            </w:r>
          </w:p>
        </w:tc>
      </w:tr>
      <w:tr w:rsidR="00BB68E1" w14:paraId="42A14082" w14:textId="77777777">
        <w:tc>
          <w:tcPr>
            <w:tcW w:w="0" w:type="auto"/>
            <w:shd w:val="clear" w:color="auto" w:fill="auto"/>
            <w:tcMar>
              <w:top w:w="40" w:type="dxa"/>
              <w:left w:w="40" w:type="dxa"/>
              <w:bottom w:w="40" w:type="dxa"/>
              <w:right w:w="40" w:type="dxa"/>
            </w:tcMar>
          </w:tcPr>
          <w:p w14:paraId="42A1407F" w14:textId="77777777" w:rsidR="00BB68E1" w:rsidRDefault="005D2D5E">
            <w:pPr>
              <w:textAlignment w:val="top"/>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2A1408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81" w14:textId="77777777" w:rsidR="00BB68E1" w:rsidRDefault="005D2D5E">
            <w:pPr>
              <w:textAlignment w:val="top"/>
              <w:rPr>
                <w:rFonts w:ascii="Times New Roman" w:hAnsi="Times New Roman"/>
                <w:sz w:val="16"/>
                <w:szCs w:val="16"/>
              </w:rPr>
            </w:pPr>
            <w:r>
              <w:rPr>
                <w:rFonts w:ascii="Times New Roman" w:eastAsia="宋体" w:hAnsi="Times New Roman"/>
                <w:sz w:val="16"/>
                <w:szCs w:val="16"/>
              </w:rPr>
              <w:t>Furnished herewith as an Exhibit.</w:t>
            </w:r>
          </w:p>
        </w:tc>
      </w:tr>
      <w:tr w:rsidR="00BB68E1" w14:paraId="42A14086" w14:textId="77777777">
        <w:tc>
          <w:tcPr>
            <w:tcW w:w="0" w:type="auto"/>
            <w:shd w:val="clear" w:color="auto" w:fill="auto"/>
            <w:tcMar>
              <w:top w:w="40" w:type="dxa"/>
              <w:left w:w="40" w:type="dxa"/>
              <w:bottom w:w="40" w:type="dxa"/>
              <w:right w:w="40" w:type="dxa"/>
            </w:tcMar>
          </w:tcPr>
          <w:p w14:paraId="42A14083" w14:textId="77777777" w:rsidR="00BB68E1" w:rsidRDefault="005D2D5E">
            <w:pPr>
              <w:textAlignment w:val="top"/>
              <w:rPr>
                <w:rFonts w:ascii="Times New Roman" w:hAnsi="Times New Roman"/>
                <w:sz w:val="16"/>
                <w:szCs w:val="16"/>
              </w:rPr>
            </w:pPr>
            <w:r>
              <w:rPr>
                <w:rFonts w:ascii="Times New Roman" w:eastAsia="宋体" w:hAnsi="Times New Roman"/>
                <w:sz w:val="16"/>
                <w:szCs w:val="16"/>
              </w:rPr>
              <w:t>(C)</w:t>
            </w:r>
          </w:p>
        </w:tc>
        <w:tc>
          <w:tcPr>
            <w:tcW w:w="0" w:type="auto"/>
            <w:shd w:val="clear" w:color="auto" w:fill="auto"/>
            <w:tcMar>
              <w:top w:w="40" w:type="dxa"/>
              <w:left w:w="40" w:type="dxa"/>
              <w:bottom w:w="40" w:type="dxa"/>
              <w:right w:w="40" w:type="dxa"/>
            </w:tcMar>
            <w:vAlign w:val="bottom"/>
          </w:tcPr>
          <w:p w14:paraId="42A140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85" w14:textId="77777777" w:rsidR="00BB68E1" w:rsidRDefault="005D2D5E">
            <w:pPr>
              <w:textAlignment w:val="top"/>
              <w:rPr>
                <w:rFonts w:ascii="Times New Roman" w:hAnsi="Times New Roman"/>
                <w:sz w:val="16"/>
                <w:szCs w:val="16"/>
              </w:rPr>
            </w:pPr>
            <w:r>
              <w:rPr>
                <w:rFonts w:ascii="Times New Roman" w:eastAsia="宋体" w:hAnsi="Times New Roman"/>
                <w:sz w:val="16"/>
                <w:szCs w:val="16"/>
              </w:rPr>
              <w:t>This Exhibit is a management contract or compensatory plan or arrangement</w:t>
            </w:r>
          </w:p>
        </w:tc>
      </w:tr>
      <w:tr w:rsidR="00BB68E1" w14:paraId="42A1408A" w14:textId="77777777">
        <w:tc>
          <w:tcPr>
            <w:tcW w:w="0" w:type="auto"/>
            <w:shd w:val="clear" w:color="auto" w:fill="auto"/>
            <w:tcMar>
              <w:top w:w="40" w:type="dxa"/>
              <w:left w:w="40" w:type="dxa"/>
              <w:bottom w:w="40" w:type="dxa"/>
              <w:right w:w="40" w:type="dxa"/>
            </w:tcMar>
          </w:tcPr>
          <w:p w14:paraId="42A14087" w14:textId="77777777" w:rsidR="00BB68E1" w:rsidRDefault="005D2D5E">
            <w:pPr>
              <w:textAlignment w:val="top"/>
              <w:rPr>
                <w:rFonts w:ascii="Times New Roman" w:hAnsi="Times New Roman"/>
                <w:sz w:val="16"/>
                <w:szCs w:val="16"/>
              </w:rPr>
            </w:pPr>
            <w:r>
              <w:rPr>
                <w:rFonts w:ascii="Times New Roman" w:eastAsia="宋体" w:hAnsi="Times New Roman"/>
                <w:sz w:val="16"/>
                <w:szCs w:val="16"/>
              </w:rPr>
              <w:t>(P)</w:t>
            </w:r>
          </w:p>
        </w:tc>
        <w:tc>
          <w:tcPr>
            <w:tcW w:w="0" w:type="auto"/>
            <w:shd w:val="clear" w:color="auto" w:fill="auto"/>
            <w:tcMar>
              <w:top w:w="40" w:type="dxa"/>
              <w:left w:w="40" w:type="dxa"/>
              <w:bottom w:w="40" w:type="dxa"/>
              <w:right w:w="40" w:type="dxa"/>
            </w:tcMar>
            <w:vAlign w:val="bottom"/>
          </w:tcPr>
          <w:p w14:paraId="42A1408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89" w14:textId="77777777" w:rsidR="00BB68E1" w:rsidRDefault="005D2D5E">
            <w:pPr>
              <w:textAlignment w:val="top"/>
              <w:rPr>
                <w:rFonts w:ascii="Times New Roman" w:hAnsi="Times New Roman"/>
                <w:sz w:val="16"/>
                <w:szCs w:val="16"/>
              </w:rPr>
            </w:pPr>
            <w:r>
              <w:rPr>
                <w:rFonts w:ascii="Times New Roman" w:eastAsia="宋体" w:hAnsi="Times New Roman"/>
                <w:sz w:val="16"/>
                <w:szCs w:val="16"/>
              </w:rPr>
              <w:t xml:space="preserve">This Exhibit was </w:t>
            </w:r>
            <w:r>
              <w:rPr>
                <w:rFonts w:ascii="Times New Roman" w:eastAsia="宋体" w:hAnsi="Times New Roman"/>
                <w:sz w:val="16"/>
                <w:szCs w:val="16"/>
              </w:rPr>
              <w:t>originally filed in paper format. Accordingly, a hyperlink has not been provided.</w:t>
            </w:r>
          </w:p>
        </w:tc>
      </w:tr>
      <w:tr w:rsidR="00BB68E1" w14:paraId="42A1408F" w14:textId="77777777">
        <w:tc>
          <w:tcPr>
            <w:tcW w:w="0" w:type="auto"/>
            <w:shd w:val="clear" w:color="auto" w:fill="auto"/>
            <w:tcMar>
              <w:top w:w="40" w:type="dxa"/>
              <w:left w:w="40" w:type="dxa"/>
              <w:bottom w:w="40" w:type="dxa"/>
              <w:right w:w="40" w:type="dxa"/>
            </w:tcMar>
          </w:tcPr>
          <w:p w14:paraId="42A1408B" w14:textId="77777777" w:rsidR="00BB68E1" w:rsidRDefault="005D2D5E">
            <w:pPr>
              <w:textAlignment w:val="top"/>
              <w:rPr>
                <w:rFonts w:ascii="Times New Roman" w:hAnsi="Times New Roman"/>
                <w:sz w:val="16"/>
                <w:szCs w:val="16"/>
              </w:rPr>
            </w:pPr>
            <w:r>
              <w:rPr>
                <w:rFonts w:ascii="Times New Roman" w:eastAsia="宋体" w:hAnsi="Times New Roman"/>
                <w:sz w:val="16"/>
                <w:szCs w:val="16"/>
              </w:rPr>
              <w:t>(1)</w:t>
            </w:r>
          </w:p>
        </w:tc>
        <w:tc>
          <w:tcPr>
            <w:tcW w:w="0" w:type="auto"/>
            <w:shd w:val="clear" w:color="auto" w:fill="auto"/>
            <w:tcMar>
              <w:top w:w="40" w:type="dxa"/>
              <w:left w:w="40" w:type="dxa"/>
              <w:bottom w:w="40" w:type="dxa"/>
              <w:right w:w="40" w:type="dxa"/>
            </w:tcMar>
            <w:vAlign w:val="bottom"/>
          </w:tcPr>
          <w:p w14:paraId="42A1408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2A1408D" w14:textId="77777777" w:rsidR="00BB68E1" w:rsidRDefault="005D2D5E">
            <w:pPr>
              <w:textAlignment w:val="top"/>
              <w:rPr>
                <w:rFonts w:ascii="Times New Roman" w:hAnsi="Times New Roman"/>
                <w:sz w:val="16"/>
                <w:szCs w:val="16"/>
              </w:rPr>
            </w:pPr>
            <w:r>
              <w:rPr>
                <w:rFonts w:ascii="Times New Roman" w:eastAsia="宋体" w:hAnsi="Times New Roman"/>
                <w:sz w:val="16"/>
                <w:szCs w:val="16"/>
              </w:rPr>
              <w:t>Certain instruments defining the rights of holders of long-term debt securities of the Registrant are omitted pursuant to Item601(b)(4)(iii) of Regulation S-K. The Com</w:t>
            </w:r>
            <w:r>
              <w:rPr>
                <w:rFonts w:ascii="Times New Roman" w:eastAsia="宋体" w:hAnsi="Times New Roman"/>
                <w:sz w:val="16"/>
                <w:szCs w:val="16"/>
              </w:rPr>
              <w:t>pany hereby undertakes to furnish to the SEC, upon request, copies of any such instruments.</w:t>
            </w:r>
          </w:p>
          <w:p w14:paraId="42A1408E" w14:textId="77777777" w:rsidR="00BB68E1" w:rsidRDefault="00BB68E1">
            <w:pPr>
              <w:textAlignment w:val="top"/>
              <w:rPr>
                <w:rFonts w:ascii="Times New Roman" w:hAnsi="Times New Roman"/>
                <w:sz w:val="16"/>
                <w:szCs w:val="16"/>
              </w:rPr>
            </w:pPr>
          </w:p>
        </w:tc>
      </w:tr>
    </w:tbl>
    <w:p w14:paraId="42A14090"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(c)    Financial Statement Schedules: None.</w:t>
      </w:r>
    </w:p>
    <w:tbl>
      <w:tblPr>
        <w:tblW w:w="4990" w:type="pct"/>
        <w:tblCellMar>
          <w:left w:w="0" w:type="dxa"/>
          <w:right w:w="0" w:type="dxa"/>
        </w:tblCellMar>
        <w:tblLook w:val="04A0" w:firstRow="1" w:lastRow="0" w:firstColumn="1" w:lastColumn="0" w:noHBand="0" w:noVBand="1"/>
      </w:tblPr>
      <w:tblGrid>
        <w:gridCol w:w="914"/>
        <w:gridCol w:w="7375"/>
      </w:tblGrid>
      <w:tr w:rsidR="00BB68E1" w14:paraId="42A14092" w14:textId="77777777">
        <w:tc>
          <w:tcPr>
            <w:tcW w:w="0" w:type="auto"/>
            <w:gridSpan w:val="2"/>
            <w:shd w:val="clear" w:color="auto" w:fill="auto"/>
            <w:vAlign w:val="center"/>
          </w:tcPr>
          <w:p w14:paraId="42A14091" w14:textId="77777777" w:rsidR="00BB68E1" w:rsidRDefault="00BB68E1">
            <w:pPr>
              <w:rPr>
                <w:rFonts w:ascii="Times New Roman" w:hAnsi="Times New Roman"/>
                <w:sz w:val="20"/>
                <w:szCs w:val="20"/>
              </w:rPr>
            </w:pPr>
          </w:p>
        </w:tc>
      </w:tr>
      <w:tr w:rsidR="00BB68E1" w14:paraId="42A14095" w14:textId="77777777">
        <w:tc>
          <w:tcPr>
            <w:tcW w:w="550" w:type="pct"/>
            <w:shd w:val="clear" w:color="auto" w:fill="auto"/>
            <w:vAlign w:val="center"/>
          </w:tcPr>
          <w:p w14:paraId="42A14093" w14:textId="77777777" w:rsidR="00BB68E1" w:rsidRDefault="00BB68E1">
            <w:pPr>
              <w:rPr>
                <w:rFonts w:ascii="Times New Roman" w:hAnsi="Times New Roman"/>
                <w:sz w:val="20"/>
                <w:szCs w:val="20"/>
              </w:rPr>
            </w:pPr>
          </w:p>
        </w:tc>
        <w:tc>
          <w:tcPr>
            <w:tcW w:w="4450" w:type="pct"/>
            <w:shd w:val="clear" w:color="auto" w:fill="auto"/>
            <w:vAlign w:val="center"/>
          </w:tcPr>
          <w:p w14:paraId="42A14094" w14:textId="77777777" w:rsidR="00BB68E1" w:rsidRDefault="00BB68E1">
            <w:pPr>
              <w:rPr>
                <w:rFonts w:ascii="Times New Roman" w:hAnsi="Times New Roman"/>
                <w:sz w:val="20"/>
                <w:szCs w:val="20"/>
              </w:rPr>
            </w:pPr>
          </w:p>
        </w:tc>
      </w:tr>
      <w:tr w:rsidR="00BB68E1" w14:paraId="42A14098" w14:textId="77777777">
        <w:tc>
          <w:tcPr>
            <w:tcW w:w="0" w:type="auto"/>
            <w:shd w:val="clear" w:color="auto" w:fill="auto"/>
            <w:tcMar>
              <w:top w:w="40" w:type="dxa"/>
              <w:left w:w="40" w:type="dxa"/>
              <w:bottom w:w="40" w:type="dxa"/>
              <w:right w:w="40" w:type="dxa"/>
            </w:tcMar>
          </w:tcPr>
          <w:p w14:paraId="42A14096"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ITEM 16.</w:t>
            </w:r>
          </w:p>
        </w:tc>
        <w:tc>
          <w:tcPr>
            <w:tcW w:w="0" w:type="auto"/>
            <w:shd w:val="clear" w:color="auto" w:fill="auto"/>
            <w:tcMar>
              <w:top w:w="40" w:type="dxa"/>
              <w:left w:w="40" w:type="dxa"/>
              <w:bottom w:w="40" w:type="dxa"/>
              <w:right w:w="40" w:type="dxa"/>
            </w:tcMar>
          </w:tcPr>
          <w:p w14:paraId="42A14097" w14:textId="77777777" w:rsidR="00BB68E1" w:rsidRDefault="005D2D5E">
            <w:pPr>
              <w:textAlignment w:val="top"/>
              <w:rPr>
                <w:rFonts w:ascii="Times New Roman" w:hAnsi="Times New Roman"/>
                <w:sz w:val="20"/>
                <w:szCs w:val="20"/>
              </w:rPr>
            </w:pPr>
            <w:r>
              <w:rPr>
                <w:rFonts w:ascii="Times New Roman" w:eastAsia="宋体" w:hAnsi="Times New Roman"/>
                <w:b/>
                <w:bCs/>
                <w:sz w:val="20"/>
                <w:szCs w:val="20"/>
                <w:u w:val="single"/>
              </w:rPr>
              <w:t>FORM 10-K SUMMARY</w:t>
            </w:r>
          </w:p>
        </w:tc>
      </w:tr>
    </w:tbl>
    <w:p w14:paraId="42A14099" w14:textId="77777777" w:rsidR="00BB68E1" w:rsidRDefault="00BB68E1">
      <w:pPr>
        <w:spacing w:line="288" w:lineRule="auto"/>
        <w:rPr>
          <w:rFonts w:ascii="Times New Roman" w:hAnsi="Times New Roman"/>
          <w:sz w:val="20"/>
          <w:szCs w:val="20"/>
        </w:rPr>
      </w:pPr>
    </w:p>
    <w:p w14:paraId="42A1409A"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None.</w:t>
      </w:r>
    </w:p>
    <w:p w14:paraId="42A1409B" w14:textId="77777777" w:rsidR="00BB68E1" w:rsidRDefault="00BB68E1">
      <w:pPr>
        <w:rPr>
          <w:rFonts w:ascii="Times New Roman" w:hAnsi="Times New Roman"/>
          <w:sz w:val="20"/>
          <w:szCs w:val="20"/>
        </w:rPr>
      </w:pPr>
    </w:p>
    <w:p w14:paraId="42A1409C"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82</w:t>
      </w:r>
    </w:p>
    <w:p w14:paraId="42A1409D" w14:textId="77777777" w:rsidR="00BB68E1" w:rsidRDefault="00BB68E1">
      <w:pPr>
        <w:spacing w:line="288" w:lineRule="auto"/>
        <w:jc w:val="center"/>
        <w:rPr>
          <w:rFonts w:ascii="Times New Roman" w:hAnsi="Times New Roman"/>
          <w:sz w:val="20"/>
          <w:szCs w:val="20"/>
        </w:rPr>
      </w:pPr>
    </w:p>
    <w:p w14:paraId="42A1409E" w14:textId="77777777" w:rsidR="00BB68E1" w:rsidRDefault="005D2D5E">
      <w:r>
        <w:rPr>
          <w:rFonts w:ascii="Times New Roman" w:hAnsi="Times New Roman"/>
          <w:sz w:val="20"/>
          <w:szCs w:val="20"/>
        </w:rPr>
        <w:pict w14:anchorId="42A142C9">
          <v:rect id="_x0000_i1106" style="width:415.3pt;height:1.5pt" o:hralign="center" o:hrstd="t" o:hr="t" fillcolor="#a0a0a0" stroked="f"/>
        </w:pict>
      </w:r>
    </w:p>
    <w:p w14:paraId="42A1409F" w14:textId="77777777" w:rsidR="00BB68E1" w:rsidRDefault="00BB68E1">
      <w:pPr>
        <w:spacing w:line="288" w:lineRule="auto"/>
        <w:rPr>
          <w:rFonts w:ascii="Times New Roman" w:hAnsi="Times New Roman"/>
          <w:sz w:val="20"/>
          <w:szCs w:val="20"/>
        </w:rPr>
      </w:pPr>
    </w:p>
    <w:p w14:paraId="42A140A0" w14:textId="77777777" w:rsidR="00BB68E1" w:rsidRDefault="00BB68E1">
      <w:pPr>
        <w:rPr>
          <w:rFonts w:ascii="Times New Roman" w:hAnsi="Times New Roman"/>
          <w:sz w:val="20"/>
          <w:szCs w:val="20"/>
        </w:rPr>
      </w:pPr>
    </w:p>
    <w:p w14:paraId="42A140A1" w14:textId="77777777" w:rsidR="00BB68E1" w:rsidRDefault="005D2D5E">
      <w:pPr>
        <w:spacing w:line="288" w:lineRule="auto"/>
        <w:jc w:val="center"/>
        <w:rPr>
          <w:rFonts w:ascii="Times New Roman" w:hAnsi="Times New Roman"/>
          <w:sz w:val="20"/>
          <w:szCs w:val="20"/>
        </w:rPr>
      </w:pPr>
      <w:r>
        <w:rPr>
          <w:rFonts w:ascii="Times New Roman" w:eastAsia="宋体" w:hAnsi="Times New Roman"/>
          <w:b/>
          <w:bCs/>
          <w:sz w:val="20"/>
          <w:szCs w:val="20"/>
          <w:u w:val="single"/>
        </w:rPr>
        <w:t>SIGNATURES</w:t>
      </w:r>
    </w:p>
    <w:p w14:paraId="42A140A2"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 xml:space="preserve">Pursuant to the requirements of Section 13 or 15(d) of </w:t>
      </w:r>
      <w:r>
        <w:rPr>
          <w:rFonts w:ascii="Times New Roman" w:eastAsia="宋体" w:hAnsi="Times New Roman"/>
          <w:sz w:val="20"/>
          <w:szCs w:val="20"/>
        </w:rPr>
        <w:t>the Securities Exchange Act of 1934, the registrant has duly caused this report to be signed on its behalf by the undersigned, thereunto duly authorized.</w:t>
      </w:r>
    </w:p>
    <w:tbl>
      <w:tblPr>
        <w:tblW w:w="5000" w:type="pct"/>
        <w:tblCellMar>
          <w:left w:w="0" w:type="dxa"/>
          <w:right w:w="0" w:type="dxa"/>
        </w:tblCellMar>
        <w:tblLook w:val="04A0" w:firstRow="1" w:lastRow="0" w:firstColumn="1" w:lastColumn="0" w:noHBand="0" w:noVBand="1"/>
      </w:tblPr>
      <w:tblGrid>
        <w:gridCol w:w="2377"/>
        <w:gridCol w:w="130"/>
        <w:gridCol w:w="314"/>
        <w:gridCol w:w="130"/>
        <w:gridCol w:w="5355"/>
      </w:tblGrid>
      <w:tr w:rsidR="00BB68E1" w14:paraId="42A140A4" w14:textId="77777777">
        <w:tc>
          <w:tcPr>
            <w:tcW w:w="0" w:type="auto"/>
            <w:gridSpan w:val="5"/>
            <w:shd w:val="clear" w:color="auto" w:fill="auto"/>
            <w:vAlign w:val="center"/>
          </w:tcPr>
          <w:p w14:paraId="42A140A3" w14:textId="77777777" w:rsidR="00BB68E1" w:rsidRDefault="00BB68E1">
            <w:pPr>
              <w:rPr>
                <w:rFonts w:ascii="Times New Roman" w:hAnsi="Times New Roman"/>
                <w:sz w:val="20"/>
                <w:szCs w:val="20"/>
              </w:rPr>
            </w:pPr>
          </w:p>
        </w:tc>
      </w:tr>
      <w:tr w:rsidR="00BB68E1" w14:paraId="42A140AA" w14:textId="77777777">
        <w:tc>
          <w:tcPr>
            <w:tcW w:w="1450" w:type="pct"/>
            <w:shd w:val="clear" w:color="auto" w:fill="auto"/>
            <w:vAlign w:val="center"/>
          </w:tcPr>
          <w:p w14:paraId="42A140A5" w14:textId="77777777" w:rsidR="00BB68E1" w:rsidRDefault="00BB68E1">
            <w:pPr>
              <w:rPr>
                <w:rFonts w:ascii="Times New Roman" w:hAnsi="Times New Roman"/>
                <w:sz w:val="20"/>
                <w:szCs w:val="20"/>
              </w:rPr>
            </w:pPr>
          </w:p>
        </w:tc>
        <w:tc>
          <w:tcPr>
            <w:tcW w:w="50" w:type="pct"/>
            <w:shd w:val="clear" w:color="auto" w:fill="auto"/>
            <w:vAlign w:val="center"/>
          </w:tcPr>
          <w:p w14:paraId="42A140A6" w14:textId="77777777" w:rsidR="00BB68E1" w:rsidRDefault="00BB68E1">
            <w:pPr>
              <w:rPr>
                <w:rFonts w:ascii="Times New Roman" w:hAnsi="Times New Roman"/>
                <w:sz w:val="20"/>
                <w:szCs w:val="20"/>
              </w:rPr>
            </w:pPr>
          </w:p>
        </w:tc>
        <w:tc>
          <w:tcPr>
            <w:tcW w:w="200" w:type="pct"/>
            <w:shd w:val="clear" w:color="auto" w:fill="auto"/>
            <w:vAlign w:val="center"/>
          </w:tcPr>
          <w:p w14:paraId="42A140A7" w14:textId="77777777" w:rsidR="00BB68E1" w:rsidRDefault="00BB68E1">
            <w:pPr>
              <w:rPr>
                <w:rFonts w:ascii="Times New Roman" w:hAnsi="Times New Roman"/>
                <w:sz w:val="20"/>
                <w:szCs w:val="20"/>
              </w:rPr>
            </w:pPr>
          </w:p>
        </w:tc>
        <w:tc>
          <w:tcPr>
            <w:tcW w:w="50" w:type="pct"/>
            <w:shd w:val="clear" w:color="auto" w:fill="auto"/>
            <w:vAlign w:val="center"/>
          </w:tcPr>
          <w:p w14:paraId="42A140A8" w14:textId="77777777" w:rsidR="00BB68E1" w:rsidRDefault="00BB68E1">
            <w:pPr>
              <w:rPr>
                <w:rFonts w:ascii="Times New Roman" w:hAnsi="Times New Roman"/>
                <w:sz w:val="20"/>
                <w:szCs w:val="20"/>
              </w:rPr>
            </w:pPr>
          </w:p>
        </w:tc>
        <w:tc>
          <w:tcPr>
            <w:tcW w:w="3250" w:type="pct"/>
            <w:shd w:val="clear" w:color="auto" w:fill="auto"/>
            <w:vAlign w:val="center"/>
          </w:tcPr>
          <w:p w14:paraId="42A140A9" w14:textId="77777777" w:rsidR="00BB68E1" w:rsidRDefault="00BB68E1">
            <w:pPr>
              <w:rPr>
                <w:rFonts w:ascii="Times New Roman" w:hAnsi="Times New Roman"/>
                <w:sz w:val="20"/>
                <w:szCs w:val="20"/>
              </w:rPr>
            </w:pPr>
          </w:p>
        </w:tc>
      </w:tr>
      <w:tr w:rsidR="00BB68E1" w14:paraId="42A140AE" w14:textId="77777777">
        <w:tc>
          <w:tcPr>
            <w:tcW w:w="0" w:type="auto"/>
            <w:shd w:val="clear" w:color="auto" w:fill="auto"/>
            <w:tcMar>
              <w:top w:w="40" w:type="dxa"/>
              <w:left w:w="40" w:type="dxa"/>
              <w:bottom w:w="40" w:type="dxa"/>
              <w:right w:w="40" w:type="dxa"/>
            </w:tcMar>
            <w:vAlign w:val="bottom"/>
          </w:tcPr>
          <w:p w14:paraId="42A140A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AC"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shd w:val="clear" w:color="auto" w:fill="auto"/>
            <w:tcMar>
              <w:top w:w="40" w:type="dxa"/>
              <w:left w:w="40" w:type="dxa"/>
              <w:bottom w:w="40" w:type="dxa"/>
              <w:right w:w="40" w:type="dxa"/>
            </w:tcMar>
            <w:vAlign w:val="bottom"/>
          </w:tcPr>
          <w:p w14:paraId="42A140A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Walmart Inc.</w:t>
            </w:r>
          </w:p>
        </w:tc>
      </w:tr>
      <w:tr w:rsidR="00BB68E1" w14:paraId="42A140B4" w14:textId="77777777">
        <w:tc>
          <w:tcPr>
            <w:tcW w:w="0" w:type="auto"/>
            <w:shd w:val="clear" w:color="auto" w:fill="auto"/>
            <w:tcMar>
              <w:top w:w="40" w:type="dxa"/>
              <w:left w:w="40" w:type="dxa"/>
              <w:bottom w:w="40" w:type="dxa"/>
              <w:right w:w="40" w:type="dxa"/>
            </w:tcMar>
            <w:vAlign w:val="bottom"/>
          </w:tcPr>
          <w:p w14:paraId="42A140A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B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B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B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B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BA" w14:textId="77777777">
        <w:tc>
          <w:tcPr>
            <w:tcW w:w="0" w:type="auto"/>
            <w:shd w:val="clear" w:color="auto" w:fill="auto"/>
            <w:tcMar>
              <w:top w:w="40" w:type="dxa"/>
              <w:left w:w="40" w:type="dxa"/>
              <w:bottom w:w="40" w:type="dxa"/>
              <w:right w:w="40" w:type="dxa"/>
            </w:tcMar>
            <w:vAlign w:val="bottom"/>
          </w:tcPr>
          <w:p w14:paraId="42A140B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Date: March 20, 2020</w:t>
            </w:r>
          </w:p>
        </w:tc>
        <w:tc>
          <w:tcPr>
            <w:tcW w:w="0" w:type="auto"/>
            <w:shd w:val="clear" w:color="auto" w:fill="auto"/>
            <w:tcMar>
              <w:top w:w="40" w:type="dxa"/>
              <w:left w:w="40" w:type="dxa"/>
              <w:bottom w:w="40" w:type="dxa"/>
              <w:right w:w="40" w:type="dxa"/>
            </w:tcMar>
            <w:vAlign w:val="bottom"/>
          </w:tcPr>
          <w:p w14:paraId="42A140B6"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0B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42A140B8"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40B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/s/ C. Douglas McMillon</w:t>
            </w:r>
          </w:p>
        </w:tc>
      </w:tr>
      <w:tr w:rsidR="00BB68E1" w14:paraId="42A140C0" w14:textId="77777777">
        <w:tc>
          <w:tcPr>
            <w:tcW w:w="0" w:type="auto"/>
            <w:shd w:val="clear" w:color="auto" w:fill="auto"/>
            <w:tcMar>
              <w:top w:w="40" w:type="dxa"/>
              <w:left w:w="40" w:type="dxa"/>
              <w:bottom w:w="40" w:type="dxa"/>
              <w:right w:w="40" w:type="dxa"/>
            </w:tcMar>
            <w:vAlign w:val="bottom"/>
          </w:tcPr>
          <w:p w14:paraId="42A140B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BC"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0B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BE"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0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xml:space="preserve">C. </w:t>
            </w:r>
            <w:r>
              <w:rPr>
                <w:rFonts w:ascii="Times New Roman" w:eastAsia="宋体" w:hAnsi="Times New Roman"/>
                <w:sz w:val="20"/>
                <w:szCs w:val="20"/>
              </w:rPr>
              <w:t>Douglas McMillon</w:t>
            </w:r>
          </w:p>
        </w:tc>
      </w:tr>
      <w:tr w:rsidR="00BB68E1" w14:paraId="42A140C6" w14:textId="77777777">
        <w:tc>
          <w:tcPr>
            <w:tcW w:w="0" w:type="auto"/>
            <w:shd w:val="clear" w:color="auto" w:fill="auto"/>
            <w:tcMar>
              <w:top w:w="40" w:type="dxa"/>
              <w:left w:w="40" w:type="dxa"/>
              <w:bottom w:w="40" w:type="dxa"/>
              <w:right w:w="40" w:type="dxa"/>
            </w:tcMar>
            <w:vAlign w:val="bottom"/>
          </w:tcPr>
          <w:p w14:paraId="42A140C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C2"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0C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C4"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0C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President and Chief Executive Officer</w:t>
            </w:r>
          </w:p>
        </w:tc>
      </w:tr>
    </w:tbl>
    <w:p w14:paraId="42A140C7" w14:textId="77777777" w:rsidR="00BB68E1" w:rsidRDefault="005D2D5E">
      <w:pPr>
        <w:spacing w:line="288" w:lineRule="auto"/>
        <w:rPr>
          <w:rFonts w:ascii="Times New Roman" w:hAnsi="Times New Roman"/>
          <w:sz w:val="20"/>
          <w:szCs w:val="20"/>
        </w:rPr>
      </w:pPr>
      <w:r>
        <w:rPr>
          <w:rFonts w:ascii="Times New Roman" w:eastAsia="宋体" w:hAnsi="Times New Roman"/>
          <w:sz w:val="20"/>
          <w:szCs w:val="20"/>
        </w:rPr>
        <w:t>Pursuant to the requirements of the Securities Exchange Act of 1934, this report has been signed below by the following persons on behalf of the registrant and in the capacities and on the da</w:t>
      </w:r>
      <w:r>
        <w:rPr>
          <w:rFonts w:ascii="Times New Roman" w:eastAsia="宋体" w:hAnsi="Times New Roman"/>
          <w:sz w:val="20"/>
          <w:szCs w:val="20"/>
        </w:rPr>
        <w:t>tes indicated:</w:t>
      </w:r>
    </w:p>
    <w:tbl>
      <w:tblPr>
        <w:tblW w:w="5000" w:type="pct"/>
        <w:tblCellMar>
          <w:left w:w="0" w:type="dxa"/>
          <w:right w:w="0" w:type="dxa"/>
        </w:tblCellMar>
        <w:tblLook w:val="04A0" w:firstRow="1" w:lastRow="0" w:firstColumn="1" w:lastColumn="0" w:noHBand="0" w:noVBand="1"/>
      </w:tblPr>
      <w:tblGrid>
        <w:gridCol w:w="2377"/>
        <w:gridCol w:w="130"/>
        <w:gridCol w:w="314"/>
        <w:gridCol w:w="130"/>
        <w:gridCol w:w="5355"/>
      </w:tblGrid>
      <w:tr w:rsidR="00BB68E1" w14:paraId="42A140C9" w14:textId="77777777">
        <w:tc>
          <w:tcPr>
            <w:tcW w:w="0" w:type="auto"/>
            <w:gridSpan w:val="5"/>
            <w:shd w:val="clear" w:color="auto" w:fill="auto"/>
            <w:vAlign w:val="center"/>
          </w:tcPr>
          <w:p w14:paraId="42A140C8" w14:textId="77777777" w:rsidR="00BB68E1" w:rsidRDefault="00BB68E1">
            <w:pPr>
              <w:rPr>
                <w:rFonts w:ascii="Times New Roman" w:hAnsi="Times New Roman"/>
                <w:sz w:val="20"/>
                <w:szCs w:val="20"/>
              </w:rPr>
            </w:pPr>
          </w:p>
        </w:tc>
      </w:tr>
      <w:tr w:rsidR="00BB68E1" w14:paraId="42A140CF" w14:textId="77777777">
        <w:tc>
          <w:tcPr>
            <w:tcW w:w="1450" w:type="pct"/>
            <w:shd w:val="clear" w:color="auto" w:fill="auto"/>
            <w:vAlign w:val="center"/>
          </w:tcPr>
          <w:p w14:paraId="42A140CA" w14:textId="77777777" w:rsidR="00BB68E1" w:rsidRDefault="00BB68E1">
            <w:pPr>
              <w:rPr>
                <w:rFonts w:ascii="Times New Roman" w:hAnsi="Times New Roman"/>
                <w:sz w:val="20"/>
                <w:szCs w:val="20"/>
              </w:rPr>
            </w:pPr>
          </w:p>
        </w:tc>
        <w:tc>
          <w:tcPr>
            <w:tcW w:w="50" w:type="pct"/>
            <w:shd w:val="clear" w:color="auto" w:fill="auto"/>
            <w:vAlign w:val="center"/>
          </w:tcPr>
          <w:p w14:paraId="42A140CB" w14:textId="77777777" w:rsidR="00BB68E1" w:rsidRDefault="00BB68E1">
            <w:pPr>
              <w:rPr>
                <w:rFonts w:ascii="Times New Roman" w:hAnsi="Times New Roman"/>
                <w:sz w:val="20"/>
                <w:szCs w:val="20"/>
              </w:rPr>
            </w:pPr>
          </w:p>
        </w:tc>
        <w:tc>
          <w:tcPr>
            <w:tcW w:w="200" w:type="pct"/>
            <w:shd w:val="clear" w:color="auto" w:fill="auto"/>
            <w:vAlign w:val="center"/>
          </w:tcPr>
          <w:p w14:paraId="42A140CC" w14:textId="77777777" w:rsidR="00BB68E1" w:rsidRDefault="00BB68E1">
            <w:pPr>
              <w:rPr>
                <w:rFonts w:ascii="Times New Roman" w:hAnsi="Times New Roman"/>
                <w:sz w:val="20"/>
                <w:szCs w:val="20"/>
              </w:rPr>
            </w:pPr>
          </w:p>
        </w:tc>
        <w:tc>
          <w:tcPr>
            <w:tcW w:w="50" w:type="pct"/>
            <w:shd w:val="clear" w:color="auto" w:fill="auto"/>
            <w:vAlign w:val="center"/>
          </w:tcPr>
          <w:p w14:paraId="42A140CD" w14:textId="77777777" w:rsidR="00BB68E1" w:rsidRDefault="00BB68E1">
            <w:pPr>
              <w:rPr>
                <w:rFonts w:ascii="Times New Roman" w:hAnsi="Times New Roman"/>
                <w:sz w:val="20"/>
                <w:szCs w:val="20"/>
              </w:rPr>
            </w:pPr>
          </w:p>
        </w:tc>
        <w:tc>
          <w:tcPr>
            <w:tcW w:w="3250" w:type="pct"/>
            <w:shd w:val="clear" w:color="auto" w:fill="auto"/>
            <w:vAlign w:val="center"/>
          </w:tcPr>
          <w:p w14:paraId="42A140CE" w14:textId="77777777" w:rsidR="00BB68E1" w:rsidRDefault="00BB68E1">
            <w:pPr>
              <w:rPr>
                <w:rFonts w:ascii="Times New Roman" w:hAnsi="Times New Roman"/>
                <w:sz w:val="20"/>
                <w:szCs w:val="20"/>
              </w:rPr>
            </w:pPr>
          </w:p>
        </w:tc>
      </w:tr>
      <w:tr w:rsidR="00BB68E1" w14:paraId="42A140D5" w14:textId="77777777">
        <w:tc>
          <w:tcPr>
            <w:tcW w:w="0" w:type="auto"/>
            <w:shd w:val="clear" w:color="auto" w:fill="auto"/>
            <w:tcMar>
              <w:top w:w="40" w:type="dxa"/>
              <w:left w:w="40" w:type="dxa"/>
              <w:bottom w:w="40" w:type="dxa"/>
              <w:right w:w="40" w:type="dxa"/>
            </w:tcMar>
            <w:vAlign w:val="bottom"/>
          </w:tcPr>
          <w:p w14:paraId="42A140D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D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D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D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DB" w14:textId="77777777">
        <w:tc>
          <w:tcPr>
            <w:tcW w:w="0" w:type="auto"/>
            <w:shd w:val="clear" w:color="auto" w:fill="auto"/>
            <w:tcMar>
              <w:top w:w="40" w:type="dxa"/>
              <w:left w:w="40" w:type="dxa"/>
              <w:bottom w:w="40" w:type="dxa"/>
              <w:right w:w="40" w:type="dxa"/>
            </w:tcMar>
            <w:vAlign w:val="bottom"/>
          </w:tcPr>
          <w:p w14:paraId="42A140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Date: March 20, 2020</w:t>
            </w:r>
          </w:p>
        </w:tc>
        <w:tc>
          <w:tcPr>
            <w:tcW w:w="0" w:type="auto"/>
            <w:shd w:val="clear" w:color="auto" w:fill="auto"/>
            <w:tcMar>
              <w:top w:w="40" w:type="dxa"/>
              <w:left w:w="40" w:type="dxa"/>
              <w:bottom w:w="40" w:type="dxa"/>
              <w:right w:w="40" w:type="dxa"/>
            </w:tcMar>
            <w:vAlign w:val="bottom"/>
          </w:tcPr>
          <w:p w14:paraId="42A140D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0D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42A140D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40D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/s/ C. Douglas McMillon</w:t>
            </w:r>
          </w:p>
        </w:tc>
      </w:tr>
      <w:tr w:rsidR="00BB68E1" w14:paraId="42A140E1" w14:textId="77777777">
        <w:tc>
          <w:tcPr>
            <w:tcW w:w="0" w:type="auto"/>
            <w:shd w:val="clear" w:color="auto" w:fill="auto"/>
            <w:tcMar>
              <w:top w:w="40" w:type="dxa"/>
              <w:left w:w="40" w:type="dxa"/>
              <w:bottom w:w="40" w:type="dxa"/>
              <w:right w:w="40" w:type="dxa"/>
            </w:tcMar>
            <w:vAlign w:val="bottom"/>
          </w:tcPr>
          <w:p w14:paraId="42A140D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DD"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0D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D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0E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C. Douglas McMillon</w:t>
            </w:r>
          </w:p>
        </w:tc>
      </w:tr>
      <w:tr w:rsidR="00BB68E1" w14:paraId="42A140E7" w14:textId="77777777">
        <w:tc>
          <w:tcPr>
            <w:tcW w:w="0" w:type="auto"/>
            <w:shd w:val="clear" w:color="auto" w:fill="auto"/>
            <w:tcMar>
              <w:top w:w="40" w:type="dxa"/>
              <w:left w:w="40" w:type="dxa"/>
              <w:bottom w:w="40" w:type="dxa"/>
              <w:right w:w="40" w:type="dxa"/>
            </w:tcMar>
            <w:vAlign w:val="bottom"/>
          </w:tcPr>
          <w:p w14:paraId="42A140E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E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0E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E5"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0E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President and Chief Executive Officer and Director</w:t>
            </w:r>
          </w:p>
        </w:tc>
      </w:tr>
      <w:tr w:rsidR="00BB68E1" w14:paraId="42A140ED" w14:textId="77777777">
        <w:tc>
          <w:tcPr>
            <w:tcW w:w="0" w:type="auto"/>
            <w:shd w:val="clear" w:color="auto" w:fill="auto"/>
            <w:tcMar>
              <w:top w:w="40" w:type="dxa"/>
              <w:left w:w="40" w:type="dxa"/>
              <w:bottom w:w="40" w:type="dxa"/>
              <w:right w:w="40" w:type="dxa"/>
            </w:tcMar>
            <w:vAlign w:val="bottom"/>
          </w:tcPr>
          <w:p w14:paraId="42A140E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right w:w="40" w:type="dxa"/>
            </w:tcMar>
            <w:vAlign w:val="bottom"/>
          </w:tcPr>
          <w:p w14:paraId="42A140E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0E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EB"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0E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(Principal Executive Officer)</w:t>
            </w:r>
          </w:p>
        </w:tc>
      </w:tr>
      <w:tr w:rsidR="00BB68E1" w14:paraId="42A140F1" w14:textId="77777777">
        <w:tc>
          <w:tcPr>
            <w:tcW w:w="0" w:type="auto"/>
            <w:shd w:val="clear" w:color="auto" w:fill="auto"/>
            <w:tcMar>
              <w:top w:w="40" w:type="dxa"/>
              <w:left w:w="40" w:type="dxa"/>
              <w:bottom w:w="40" w:type="dxa"/>
              <w:right w:w="40" w:type="dxa"/>
            </w:tcMar>
            <w:vAlign w:val="bottom"/>
          </w:tcPr>
          <w:p w14:paraId="42A140E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40E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40F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0F7" w14:textId="77777777">
        <w:tc>
          <w:tcPr>
            <w:tcW w:w="0" w:type="auto"/>
            <w:shd w:val="clear" w:color="auto" w:fill="auto"/>
            <w:tcMar>
              <w:top w:w="40" w:type="dxa"/>
              <w:left w:w="40" w:type="dxa"/>
              <w:bottom w:w="40" w:type="dxa"/>
              <w:right w:w="40" w:type="dxa"/>
            </w:tcMar>
            <w:vAlign w:val="bottom"/>
          </w:tcPr>
          <w:p w14:paraId="42A140F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Date: March 20, 2020</w:t>
            </w:r>
          </w:p>
        </w:tc>
        <w:tc>
          <w:tcPr>
            <w:tcW w:w="0" w:type="auto"/>
            <w:shd w:val="clear" w:color="auto" w:fill="auto"/>
            <w:tcMar>
              <w:top w:w="40" w:type="dxa"/>
              <w:left w:w="40" w:type="dxa"/>
              <w:bottom w:w="40" w:type="dxa"/>
              <w:right w:w="40" w:type="dxa"/>
            </w:tcMar>
            <w:vAlign w:val="bottom"/>
          </w:tcPr>
          <w:p w14:paraId="42A140F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0F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42A140F5"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40F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xml:space="preserve">/s/ </w:t>
            </w:r>
            <w:r>
              <w:rPr>
                <w:rFonts w:ascii="Times New Roman" w:eastAsia="宋体" w:hAnsi="Times New Roman"/>
                <w:sz w:val="20"/>
                <w:szCs w:val="20"/>
              </w:rPr>
              <w:t>Gregory B. Penner</w:t>
            </w:r>
          </w:p>
        </w:tc>
      </w:tr>
      <w:tr w:rsidR="00BB68E1" w14:paraId="42A140FD" w14:textId="77777777">
        <w:tc>
          <w:tcPr>
            <w:tcW w:w="0" w:type="auto"/>
            <w:shd w:val="clear" w:color="auto" w:fill="auto"/>
            <w:tcMar>
              <w:top w:w="40" w:type="dxa"/>
              <w:left w:w="40" w:type="dxa"/>
              <w:bottom w:w="40" w:type="dxa"/>
              <w:right w:w="40" w:type="dxa"/>
            </w:tcMar>
            <w:vAlign w:val="bottom"/>
          </w:tcPr>
          <w:p w14:paraId="42A140F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F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0F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FB"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0F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Gregory B. Penner</w:t>
            </w:r>
          </w:p>
        </w:tc>
      </w:tr>
      <w:tr w:rsidR="00BB68E1" w14:paraId="42A14103" w14:textId="77777777">
        <w:tc>
          <w:tcPr>
            <w:tcW w:w="0" w:type="auto"/>
            <w:shd w:val="clear" w:color="auto" w:fill="auto"/>
            <w:tcMar>
              <w:top w:w="40" w:type="dxa"/>
              <w:left w:w="40" w:type="dxa"/>
              <w:bottom w:w="40" w:type="dxa"/>
              <w:right w:w="40" w:type="dxa"/>
            </w:tcMar>
            <w:vAlign w:val="bottom"/>
          </w:tcPr>
          <w:p w14:paraId="42A140F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0F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10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0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10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Chairman of the Board and Director</w:t>
            </w:r>
          </w:p>
        </w:tc>
      </w:tr>
      <w:tr w:rsidR="00BB68E1" w14:paraId="42A14107" w14:textId="77777777">
        <w:tc>
          <w:tcPr>
            <w:tcW w:w="0" w:type="auto"/>
            <w:shd w:val="clear" w:color="auto" w:fill="auto"/>
            <w:tcMar>
              <w:top w:w="40" w:type="dxa"/>
              <w:left w:w="40" w:type="dxa"/>
              <w:bottom w:w="40" w:type="dxa"/>
              <w:right w:w="40" w:type="dxa"/>
            </w:tcMar>
            <w:vAlign w:val="bottom"/>
          </w:tcPr>
          <w:p w14:paraId="42A1410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410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410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10D" w14:textId="77777777">
        <w:tc>
          <w:tcPr>
            <w:tcW w:w="0" w:type="auto"/>
            <w:shd w:val="clear" w:color="auto" w:fill="auto"/>
            <w:tcMar>
              <w:top w:w="40" w:type="dxa"/>
              <w:left w:w="40" w:type="dxa"/>
              <w:bottom w:w="40" w:type="dxa"/>
              <w:right w:w="40" w:type="dxa"/>
            </w:tcMar>
            <w:vAlign w:val="bottom"/>
          </w:tcPr>
          <w:p w14:paraId="42A1410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Date: March 20, 2020</w:t>
            </w:r>
          </w:p>
        </w:tc>
        <w:tc>
          <w:tcPr>
            <w:tcW w:w="0" w:type="auto"/>
            <w:shd w:val="clear" w:color="auto" w:fill="auto"/>
            <w:tcMar>
              <w:top w:w="40" w:type="dxa"/>
              <w:left w:w="40" w:type="dxa"/>
              <w:bottom w:w="40" w:type="dxa"/>
              <w:right w:w="40" w:type="dxa"/>
            </w:tcMar>
            <w:vAlign w:val="bottom"/>
          </w:tcPr>
          <w:p w14:paraId="42A1410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10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42A1410B"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410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/s/ M. Brett Biggs</w:t>
            </w:r>
          </w:p>
        </w:tc>
      </w:tr>
      <w:tr w:rsidR="00BB68E1" w14:paraId="42A14113" w14:textId="77777777">
        <w:tc>
          <w:tcPr>
            <w:tcW w:w="0" w:type="auto"/>
            <w:shd w:val="clear" w:color="auto" w:fill="auto"/>
            <w:tcMar>
              <w:top w:w="40" w:type="dxa"/>
              <w:left w:w="40" w:type="dxa"/>
              <w:bottom w:w="40" w:type="dxa"/>
              <w:right w:w="40" w:type="dxa"/>
            </w:tcMar>
            <w:vAlign w:val="bottom"/>
          </w:tcPr>
          <w:p w14:paraId="42A141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0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11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1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1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M. Brett Biggs</w:t>
            </w:r>
          </w:p>
        </w:tc>
      </w:tr>
      <w:tr w:rsidR="00BB68E1" w14:paraId="42A14119" w14:textId="77777777">
        <w:tc>
          <w:tcPr>
            <w:tcW w:w="0" w:type="auto"/>
            <w:shd w:val="clear" w:color="auto" w:fill="auto"/>
            <w:tcMar>
              <w:top w:w="40" w:type="dxa"/>
              <w:left w:w="40" w:type="dxa"/>
              <w:bottom w:w="40" w:type="dxa"/>
              <w:right w:w="40" w:type="dxa"/>
            </w:tcMar>
            <w:vAlign w:val="bottom"/>
          </w:tcPr>
          <w:p w14:paraId="42A1411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15"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11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1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11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Executive Vice President and Chief Financial Officer</w:t>
            </w:r>
          </w:p>
        </w:tc>
      </w:tr>
      <w:tr w:rsidR="00BB68E1" w14:paraId="42A1411F" w14:textId="77777777">
        <w:tc>
          <w:tcPr>
            <w:tcW w:w="0" w:type="auto"/>
            <w:shd w:val="clear" w:color="auto" w:fill="auto"/>
            <w:tcMar>
              <w:top w:w="40" w:type="dxa"/>
              <w:left w:w="40" w:type="dxa"/>
              <w:bottom w:w="40" w:type="dxa"/>
              <w:right w:w="40" w:type="dxa"/>
            </w:tcMar>
            <w:vAlign w:val="bottom"/>
          </w:tcPr>
          <w:p w14:paraId="42A1411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1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1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1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1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(Principal Financial Officer)</w:t>
            </w:r>
          </w:p>
        </w:tc>
      </w:tr>
      <w:tr w:rsidR="00BB68E1" w14:paraId="42A14123" w14:textId="77777777">
        <w:tc>
          <w:tcPr>
            <w:tcW w:w="0" w:type="auto"/>
            <w:shd w:val="clear" w:color="auto" w:fill="auto"/>
            <w:tcMar>
              <w:top w:w="40" w:type="dxa"/>
              <w:left w:w="40" w:type="dxa"/>
              <w:bottom w:w="40" w:type="dxa"/>
              <w:right w:w="40" w:type="dxa"/>
            </w:tcMar>
            <w:vAlign w:val="bottom"/>
          </w:tcPr>
          <w:p w14:paraId="42A1412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412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2A1412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129" w14:textId="77777777">
        <w:tc>
          <w:tcPr>
            <w:tcW w:w="0" w:type="auto"/>
            <w:shd w:val="clear" w:color="auto" w:fill="auto"/>
            <w:tcMar>
              <w:top w:w="40" w:type="dxa"/>
              <w:left w:w="40" w:type="dxa"/>
              <w:bottom w:w="40" w:type="dxa"/>
              <w:right w:w="40" w:type="dxa"/>
            </w:tcMar>
            <w:vAlign w:val="bottom"/>
          </w:tcPr>
          <w:p w14:paraId="42A1412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Date: March 20, 2020</w:t>
            </w:r>
          </w:p>
        </w:tc>
        <w:tc>
          <w:tcPr>
            <w:tcW w:w="0" w:type="auto"/>
            <w:shd w:val="clear" w:color="auto" w:fill="auto"/>
            <w:tcMar>
              <w:top w:w="40" w:type="dxa"/>
              <w:left w:w="40" w:type="dxa"/>
              <w:bottom w:w="40" w:type="dxa"/>
              <w:right w:w="40" w:type="dxa"/>
            </w:tcMar>
            <w:vAlign w:val="bottom"/>
          </w:tcPr>
          <w:p w14:paraId="42A14125"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12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42A1412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412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/s/ David M. Chojnowski</w:t>
            </w:r>
          </w:p>
        </w:tc>
      </w:tr>
      <w:tr w:rsidR="00BB68E1" w14:paraId="42A1412F" w14:textId="77777777">
        <w:tc>
          <w:tcPr>
            <w:tcW w:w="0" w:type="auto"/>
            <w:shd w:val="clear" w:color="auto" w:fill="auto"/>
            <w:tcMar>
              <w:top w:w="40" w:type="dxa"/>
              <w:left w:w="40" w:type="dxa"/>
              <w:bottom w:w="40" w:type="dxa"/>
              <w:right w:w="40" w:type="dxa"/>
            </w:tcMar>
            <w:vAlign w:val="bottom"/>
          </w:tcPr>
          <w:p w14:paraId="42A1412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2B"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12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2D"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12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David M. Chojnowski</w:t>
            </w:r>
          </w:p>
        </w:tc>
      </w:tr>
      <w:tr w:rsidR="00BB68E1" w14:paraId="42A14135" w14:textId="77777777">
        <w:tc>
          <w:tcPr>
            <w:tcW w:w="0" w:type="auto"/>
            <w:shd w:val="clear" w:color="auto" w:fill="auto"/>
            <w:tcMar>
              <w:top w:w="40" w:type="dxa"/>
              <w:left w:w="40" w:type="dxa"/>
              <w:bottom w:w="40" w:type="dxa"/>
              <w:right w:w="40" w:type="dxa"/>
            </w:tcMar>
            <w:vAlign w:val="bottom"/>
          </w:tcPr>
          <w:p w14:paraId="42A1413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3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13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3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13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Senior Vice President and Controller</w:t>
            </w:r>
          </w:p>
        </w:tc>
      </w:tr>
      <w:tr w:rsidR="00BB68E1" w14:paraId="42A1413B" w14:textId="77777777">
        <w:tc>
          <w:tcPr>
            <w:tcW w:w="0" w:type="auto"/>
            <w:shd w:val="clear" w:color="auto" w:fill="auto"/>
            <w:tcMar>
              <w:top w:w="40" w:type="dxa"/>
              <w:left w:w="40" w:type="dxa"/>
              <w:bottom w:w="40" w:type="dxa"/>
              <w:right w:w="40" w:type="dxa"/>
            </w:tcMar>
            <w:vAlign w:val="bottom"/>
          </w:tcPr>
          <w:p w14:paraId="42A1413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3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3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3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3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(Principal Accounting Officer)</w:t>
            </w:r>
          </w:p>
        </w:tc>
      </w:tr>
    </w:tbl>
    <w:p w14:paraId="42A1413C"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Signature Page to Walmart Inc.</w:t>
      </w:r>
    </w:p>
    <w:p w14:paraId="42A1413D"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 xml:space="preserve">Form 10-K for the Fiscal Year Ended January 31, 2020 </w:t>
      </w:r>
    </w:p>
    <w:p w14:paraId="42A1413E" w14:textId="77777777" w:rsidR="00BB68E1" w:rsidRDefault="00BB68E1">
      <w:pPr>
        <w:rPr>
          <w:rFonts w:ascii="Times New Roman" w:hAnsi="Times New Roman"/>
          <w:sz w:val="20"/>
          <w:szCs w:val="20"/>
        </w:rPr>
      </w:pPr>
    </w:p>
    <w:p w14:paraId="42A1413F"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83</w:t>
      </w:r>
    </w:p>
    <w:p w14:paraId="42A14140" w14:textId="77777777" w:rsidR="00BB68E1" w:rsidRDefault="00BB68E1">
      <w:pPr>
        <w:spacing w:line="288" w:lineRule="auto"/>
        <w:jc w:val="center"/>
        <w:rPr>
          <w:rFonts w:ascii="Times New Roman" w:hAnsi="Times New Roman"/>
          <w:sz w:val="20"/>
          <w:szCs w:val="20"/>
        </w:rPr>
      </w:pPr>
    </w:p>
    <w:p w14:paraId="42A14141" w14:textId="77777777" w:rsidR="00BB68E1" w:rsidRDefault="005D2D5E">
      <w:r>
        <w:rPr>
          <w:rFonts w:ascii="Times New Roman" w:hAnsi="Times New Roman"/>
          <w:sz w:val="20"/>
          <w:szCs w:val="20"/>
        </w:rPr>
        <w:pict w14:anchorId="42A142CA">
          <v:rect id="_x0000_i1107" style="width:415.3pt;height:1.5pt" o:hralign="center" o:hrstd="t" o:hr="t" fillcolor="#a0a0a0" stroked="f"/>
        </w:pict>
      </w:r>
    </w:p>
    <w:p w14:paraId="42A14142" w14:textId="77777777" w:rsidR="00BB68E1" w:rsidRDefault="00BB68E1">
      <w:pPr>
        <w:spacing w:line="288" w:lineRule="auto"/>
        <w:rPr>
          <w:rFonts w:ascii="Times New Roman" w:hAnsi="Times New Roman"/>
          <w:sz w:val="20"/>
          <w:szCs w:val="20"/>
        </w:rPr>
      </w:pPr>
    </w:p>
    <w:p w14:paraId="42A14143" w14:textId="77777777" w:rsidR="00BB68E1" w:rsidRDefault="00BB68E1">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377"/>
        <w:gridCol w:w="130"/>
        <w:gridCol w:w="314"/>
        <w:gridCol w:w="130"/>
        <w:gridCol w:w="5355"/>
      </w:tblGrid>
      <w:tr w:rsidR="00BB68E1" w14:paraId="42A14145" w14:textId="77777777">
        <w:tc>
          <w:tcPr>
            <w:tcW w:w="0" w:type="auto"/>
            <w:gridSpan w:val="5"/>
            <w:shd w:val="clear" w:color="auto" w:fill="auto"/>
            <w:vAlign w:val="center"/>
          </w:tcPr>
          <w:p w14:paraId="42A14144" w14:textId="77777777" w:rsidR="00BB68E1" w:rsidRDefault="00BB68E1">
            <w:pPr>
              <w:rPr>
                <w:rFonts w:ascii="Times New Roman" w:hAnsi="Times New Roman"/>
                <w:sz w:val="20"/>
                <w:szCs w:val="20"/>
              </w:rPr>
            </w:pPr>
          </w:p>
        </w:tc>
      </w:tr>
      <w:tr w:rsidR="00BB68E1" w14:paraId="42A1414B" w14:textId="77777777">
        <w:tc>
          <w:tcPr>
            <w:tcW w:w="1450" w:type="pct"/>
            <w:shd w:val="clear" w:color="auto" w:fill="auto"/>
            <w:vAlign w:val="center"/>
          </w:tcPr>
          <w:p w14:paraId="42A14146" w14:textId="77777777" w:rsidR="00BB68E1" w:rsidRDefault="00BB68E1">
            <w:pPr>
              <w:rPr>
                <w:rFonts w:ascii="Times New Roman" w:hAnsi="Times New Roman"/>
                <w:sz w:val="20"/>
                <w:szCs w:val="20"/>
              </w:rPr>
            </w:pPr>
          </w:p>
        </w:tc>
        <w:tc>
          <w:tcPr>
            <w:tcW w:w="50" w:type="pct"/>
            <w:shd w:val="clear" w:color="auto" w:fill="auto"/>
            <w:vAlign w:val="center"/>
          </w:tcPr>
          <w:p w14:paraId="42A14147" w14:textId="77777777" w:rsidR="00BB68E1" w:rsidRDefault="00BB68E1">
            <w:pPr>
              <w:rPr>
                <w:rFonts w:ascii="Times New Roman" w:hAnsi="Times New Roman"/>
                <w:sz w:val="20"/>
                <w:szCs w:val="20"/>
              </w:rPr>
            </w:pPr>
          </w:p>
        </w:tc>
        <w:tc>
          <w:tcPr>
            <w:tcW w:w="200" w:type="pct"/>
            <w:shd w:val="clear" w:color="auto" w:fill="auto"/>
            <w:vAlign w:val="center"/>
          </w:tcPr>
          <w:p w14:paraId="42A14148" w14:textId="77777777" w:rsidR="00BB68E1" w:rsidRDefault="00BB68E1">
            <w:pPr>
              <w:rPr>
                <w:rFonts w:ascii="Times New Roman" w:hAnsi="Times New Roman"/>
                <w:sz w:val="20"/>
                <w:szCs w:val="20"/>
              </w:rPr>
            </w:pPr>
          </w:p>
        </w:tc>
        <w:tc>
          <w:tcPr>
            <w:tcW w:w="50" w:type="pct"/>
            <w:shd w:val="clear" w:color="auto" w:fill="auto"/>
            <w:vAlign w:val="center"/>
          </w:tcPr>
          <w:p w14:paraId="42A14149" w14:textId="77777777" w:rsidR="00BB68E1" w:rsidRDefault="00BB68E1">
            <w:pPr>
              <w:rPr>
                <w:rFonts w:ascii="Times New Roman" w:hAnsi="Times New Roman"/>
                <w:sz w:val="20"/>
                <w:szCs w:val="20"/>
              </w:rPr>
            </w:pPr>
          </w:p>
        </w:tc>
        <w:tc>
          <w:tcPr>
            <w:tcW w:w="3250" w:type="pct"/>
            <w:shd w:val="clear" w:color="auto" w:fill="auto"/>
            <w:vAlign w:val="center"/>
          </w:tcPr>
          <w:p w14:paraId="42A1414A" w14:textId="77777777" w:rsidR="00BB68E1" w:rsidRDefault="00BB68E1">
            <w:pPr>
              <w:rPr>
                <w:rFonts w:ascii="Times New Roman" w:hAnsi="Times New Roman"/>
                <w:sz w:val="20"/>
                <w:szCs w:val="20"/>
              </w:rPr>
            </w:pPr>
          </w:p>
        </w:tc>
      </w:tr>
      <w:tr w:rsidR="00BB68E1" w14:paraId="42A14151" w14:textId="77777777">
        <w:tc>
          <w:tcPr>
            <w:tcW w:w="0" w:type="auto"/>
            <w:shd w:val="clear" w:color="auto" w:fill="auto"/>
            <w:tcMar>
              <w:top w:w="40" w:type="dxa"/>
              <w:left w:w="40" w:type="dxa"/>
              <w:bottom w:w="40" w:type="dxa"/>
              <w:right w:w="40" w:type="dxa"/>
            </w:tcMar>
            <w:vAlign w:val="bottom"/>
          </w:tcPr>
          <w:p w14:paraId="42A1414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4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4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4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5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157" w14:textId="77777777">
        <w:tc>
          <w:tcPr>
            <w:tcW w:w="0" w:type="auto"/>
            <w:shd w:val="clear" w:color="auto" w:fill="auto"/>
            <w:tcMar>
              <w:top w:w="40" w:type="dxa"/>
              <w:left w:w="40" w:type="dxa"/>
              <w:bottom w:w="40" w:type="dxa"/>
              <w:right w:w="40" w:type="dxa"/>
            </w:tcMar>
            <w:vAlign w:val="bottom"/>
          </w:tcPr>
          <w:p w14:paraId="42A1415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Date: March 20, 2020</w:t>
            </w:r>
          </w:p>
        </w:tc>
        <w:tc>
          <w:tcPr>
            <w:tcW w:w="0" w:type="auto"/>
            <w:shd w:val="clear" w:color="auto" w:fill="auto"/>
            <w:tcMar>
              <w:top w:w="40" w:type="dxa"/>
              <w:left w:w="40" w:type="dxa"/>
              <w:bottom w:w="40" w:type="dxa"/>
              <w:right w:w="40" w:type="dxa"/>
            </w:tcMar>
            <w:vAlign w:val="bottom"/>
          </w:tcPr>
          <w:p w14:paraId="42A1415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15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42A14155"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tcPr>
          <w:p w14:paraId="42A14156"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/s/ Cesar Conde</w:t>
            </w:r>
          </w:p>
        </w:tc>
      </w:tr>
      <w:tr w:rsidR="00BB68E1" w14:paraId="42A1415D" w14:textId="77777777">
        <w:tc>
          <w:tcPr>
            <w:tcW w:w="0" w:type="auto"/>
            <w:shd w:val="clear" w:color="auto" w:fill="auto"/>
            <w:tcMar>
              <w:top w:w="40" w:type="dxa"/>
              <w:left w:w="40" w:type="dxa"/>
              <w:bottom w:w="40" w:type="dxa"/>
              <w:right w:w="40" w:type="dxa"/>
            </w:tcMar>
            <w:vAlign w:val="bottom"/>
          </w:tcPr>
          <w:p w14:paraId="42A1415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5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15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5B"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2A1415C"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Cesar Conde</w:t>
            </w:r>
          </w:p>
        </w:tc>
      </w:tr>
      <w:tr w:rsidR="00BB68E1" w14:paraId="42A14163" w14:textId="77777777">
        <w:tc>
          <w:tcPr>
            <w:tcW w:w="0" w:type="auto"/>
            <w:shd w:val="clear" w:color="auto" w:fill="auto"/>
            <w:tcMar>
              <w:top w:w="40" w:type="dxa"/>
              <w:left w:w="40" w:type="dxa"/>
              <w:bottom w:w="40" w:type="dxa"/>
              <w:right w:w="40" w:type="dxa"/>
            </w:tcMar>
            <w:vAlign w:val="bottom"/>
          </w:tcPr>
          <w:p w14:paraId="42A1415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5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16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6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2A14162"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Director</w:t>
            </w:r>
          </w:p>
        </w:tc>
      </w:tr>
      <w:tr w:rsidR="00BB68E1" w14:paraId="42A14169" w14:textId="77777777">
        <w:tc>
          <w:tcPr>
            <w:tcW w:w="0" w:type="auto"/>
            <w:shd w:val="clear" w:color="auto" w:fill="auto"/>
            <w:tcMar>
              <w:top w:w="40" w:type="dxa"/>
              <w:left w:w="40" w:type="dxa"/>
              <w:bottom w:w="40" w:type="dxa"/>
              <w:right w:w="40" w:type="dxa"/>
            </w:tcMar>
            <w:vAlign w:val="bottom"/>
          </w:tcPr>
          <w:p w14:paraId="42A1416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6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6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6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6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16F" w14:textId="77777777">
        <w:tc>
          <w:tcPr>
            <w:tcW w:w="0" w:type="auto"/>
            <w:shd w:val="clear" w:color="auto" w:fill="auto"/>
            <w:tcMar>
              <w:top w:w="40" w:type="dxa"/>
              <w:left w:w="40" w:type="dxa"/>
              <w:bottom w:w="40" w:type="dxa"/>
              <w:right w:w="40" w:type="dxa"/>
            </w:tcMar>
            <w:vAlign w:val="bottom"/>
          </w:tcPr>
          <w:p w14:paraId="42A1416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6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6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6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6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175" w14:textId="77777777">
        <w:tc>
          <w:tcPr>
            <w:tcW w:w="0" w:type="auto"/>
            <w:shd w:val="clear" w:color="auto" w:fill="auto"/>
            <w:tcMar>
              <w:top w:w="40" w:type="dxa"/>
              <w:left w:w="40" w:type="dxa"/>
              <w:bottom w:w="40" w:type="dxa"/>
              <w:right w:w="40" w:type="dxa"/>
            </w:tcMar>
            <w:vAlign w:val="bottom"/>
          </w:tcPr>
          <w:p w14:paraId="42A1417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Date: March 20, 2020</w:t>
            </w:r>
          </w:p>
        </w:tc>
        <w:tc>
          <w:tcPr>
            <w:tcW w:w="0" w:type="auto"/>
            <w:shd w:val="clear" w:color="auto" w:fill="auto"/>
            <w:tcMar>
              <w:top w:w="40" w:type="dxa"/>
              <w:left w:w="40" w:type="dxa"/>
              <w:bottom w:w="40" w:type="dxa"/>
              <w:right w:w="40" w:type="dxa"/>
            </w:tcMar>
            <w:vAlign w:val="bottom"/>
          </w:tcPr>
          <w:p w14:paraId="42A1417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7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42A1417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417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/s/ Timothy P. Flynn</w:t>
            </w:r>
          </w:p>
        </w:tc>
      </w:tr>
      <w:tr w:rsidR="00BB68E1" w14:paraId="42A1417B" w14:textId="77777777">
        <w:tc>
          <w:tcPr>
            <w:tcW w:w="0" w:type="auto"/>
            <w:shd w:val="clear" w:color="auto" w:fill="auto"/>
            <w:tcMar>
              <w:top w:w="40" w:type="dxa"/>
              <w:left w:w="40" w:type="dxa"/>
              <w:bottom w:w="40" w:type="dxa"/>
              <w:right w:w="40" w:type="dxa"/>
            </w:tcMar>
            <w:vAlign w:val="bottom"/>
          </w:tcPr>
          <w:p w14:paraId="42A1417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7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7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7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7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Timothy P. Flynn</w:t>
            </w:r>
          </w:p>
        </w:tc>
      </w:tr>
      <w:tr w:rsidR="00BB68E1" w14:paraId="42A14181" w14:textId="77777777">
        <w:tc>
          <w:tcPr>
            <w:tcW w:w="0" w:type="auto"/>
            <w:shd w:val="clear" w:color="auto" w:fill="auto"/>
            <w:tcMar>
              <w:top w:w="40" w:type="dxa"/>
              <w:left w:w="40" w:type="dxa"/>
              <w:bottom w:w="40" w:type="dxa"/>
              <w:right w:w="40" w:type="dxa"/>
            </w:tcMar>
            <w:vAlign w:val="bottom"/>
          </w:tcPr>
          <w:p w14:paraId="42A1417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7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7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7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8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Director</w:t>
            </w:r>
          </w:p>
        </w:tc>
      </w:tr>
      <w:tr w:rsidR="00BB68E1" w14:paraId="42A14187" w14:textId="77777777">
        <w:tc>
          <w:tcPr>
            <w:tcW w:w="0" w:type="auto"/>
            <w:shd w:val="clear" w:color="auto" w:fill="auto"/>
            <w:tcMar>
              <w:top w:w="40" w:type="dxa"/>
              <w:left w:w="40" w:type="dxa"/>
              <w:bottom w:w="40" w:type="dxa"/>
              <w:right w:w="40" w:type="dxa"/>
            </w:tcMar>
            <w:vAlign w:val="bottom"/>
          </w:tcPr>
          <w:p w14:paraId="42A1418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8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8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8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8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18D" w14:textId="77777777">
        <w:tc>
          <w:tcPr>
            <w:tcW w:w="0" w:type="auto"/>
            <w:shd w:val="clear" w:color="auto" w:fill="auto"/>
            <w:tcMar>
              <w:top w:w="40" w:type="dxa"/>
              <w:left w:w="40" w:type="dxa"/>
              <w:bottom w:w="40" w:type="dxa"/>
              <w:right w:w="40" w:type="dxa"/>
            </w:tcMar>
            <w:vAlign w:val="bottom"/>
          </w:tcPr>
          <w:p w14:paraId="42A1418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Date: March 20, 2020</w:t>
            </w:r>
          </w:p>
        </w:tc>
        <w:tc>
          <w:tcPr>
            <w:tcW w:w="0" w:type="auto"/>
            <w:shd w:val="clear" w:color="auto" w:fill="auto"/>
            <w:tcMar>
              <w:top w:w="40" w:type="dxa"/>
              <w:left w:w="40" w:type="dxa"/>
              <w:bottom w:w="40" w:type="dxa"/>
              <w:right w:w="40" w:type="dxa"/>
            </w:tcMar>
            <w:vAlign w:val="bottom"/>
          </w:tcPr>
          <w:p w14:paraId="42A1418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8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42A1418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418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/s/ Sarah Friar</w:t>
            </w:r>
          </w:p>
        </w:tc>
      </w:tr>
      <w:tr w:rsidR="00BB68E1" w14:paraId="42A14193" w14:textId="77777777">
        <w:tc>
          <w:tcPr>
            <w:tcW w:w="0" w:type="auto"/>
            <w:shd w:val="clear" w:color="auto" w:fill="auto"/>
            <w:tcMar>
              <w:top w:w="40" w:type="dxa"/>
              <w:left w:w="40" w:type="dxa"/>
              <w:bottom w:w="40" w:type="dxa"/>
              <w:right w:w="40" w:type="dxa"/>
            </w:tcMar>
            <w:vAlign w:val="bottom"/>
          </w:tcPr>
          <w:p w14:paraId="42A1418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8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9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9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9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Sarah Friar</w:t>
            </w:r>
          </w:p>
        </w:tc>
      </w:tr>
      <w:tr w:rsidR="00BB68E1" w14:paraId="42A14199" w14:textId="77777777">
        <w:tc>
          <w:tcPr>
            <w:tcW w:w="0" w:type="auto"/>
            <w:shd w:val="clear" w:color="auto" w:fill="auto"/>
            <w:tcMar>
              <w:top w:w="40" w:type="dxa"/>
              <w:left w:w="40" w:type="dxa"/>
              <w:bottom w:w="40" w:type="dxa"/>
              <w:right w:w="40" w:type="dxa"/>
            </w:tcMar>
            <w:vAlign w:val="bottom"/>
          </w:tcPr>
          <w:p w14:paraId="42A1419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9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9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9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9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Director</w:t>
            </w:r>
          </w:p>
        </w:tc>
      </w:tr>
      <w:tr w:rsidR="00BB68E1" w14:paraId="42A1419F" w14:textId="77777777">
        <w:tc>
          <w:tcPr>
            <w:tcW w:w="0" w:type="auto"/>
            <w:shd w:val="clear" w:color="auto" w:fill="auto"/>
            <w:tcMar>
              <w:top w:w="40" w:type="dxa"/>
              <w:left w:w="40" w:type="dxa"/>
              <w:bottom w:w="40" w:type="dxa"/>
              <w:right w:w="40" w:type="dxa"/>
            </w:tcMar>
            <w:vAlign w:val="bottom"/>
          </w:tcPr>
          <w:p w14:paraId="42A1419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9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9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9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9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1A5" w14:textId="77777777">
        <w:tc>
          <w:tcPr>
            <w:tcW w:w="0" w:type="auto"/>
            <w:shd w:val="clear" w:color="auto" w:fill="auto"/>
            <w:tcMar>
              <w:top w:w="40" w:type="dxa"/>
              <w:left w:w="40" w:type="dxa"/>
              <w:bottom w:w="40" w:type="dxa"/>
              <w:right w:w="40" w:type="dxa"/>
            </w:tcMar>
            <w:vAlign w:val="bottom"/>
          </w:tcPr>
          <w:p w14:paraId="42A141A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Date: March 20, 2020</w:t>
            </w:r>
          </w:p>
        </w:tc>
        <w:tc>
          <w:tcPr>
            <w:tcW w:w="0" w:type="auto"/>
            <w:shd w:val="clear" w:color="auto" w:fill="auto"/>
            <w:tcMar>
              <w:top w:w="40" w:type="dxa"/>
              <w:left w:w="40" w:type="dxa"/>
              <w:bottom w:w="40" w:type="dxa"/>
              <w:right w:w="40" w:type="dxa"/>
            </w:tcMar>
            <w:vAlign w:val="bottom"/>
          </w:tcPr>
          <w:p w14:paraId="42A141A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A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42A141A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41A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/s/ Carla A. Harris</w:t>
            </w:r>
          </w:p>
        </w:tc>
      </w:tr>
      <w:tr w:rsidR="00BB68E1" w14:paraId="42A141AB" w14:textId="77777777">
        <w:tc>
          <w:tcPr>
            <w:tcW w:w="0" w:type="auto"/>
            <w:shd w:val="clear" w:color="auto" w:fill="auto"/>
            <w:tcMar>
              <w:top w:w="40" w:type="dxa"/>
              <w:left w:w="40" w:type="dxa"/>
              <w:bottom w:w="40" w:type="dxa"/>
              <w:right w:w="40" w:type="dxa"/>
            </w:tcMar>
            <w:vAlign w:val="bottom"/>
          </w:tcPr>
          <w:p w14:paraId="42A141A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A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A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A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A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Carla A. Harris</w:t>
            </w:r>
          </w:p>
        </w:tc>
      </w:tr>
      <w:tr w:rsidR="00BB68E1" w14:paraId="42A141B1" w14:textId="77777777">
        <w:tc>
          <w:tcPr>
            <w:tcW w:w="0" w:type="auto"/>
            <w:shd w:val="clear" w:color="auto" w:fill="auto"/>
            <w:tcMar>
              <w:top w:w="40" w:type="dxa"/>
              <w:left w:w="40" w:type="dxa"/>
              <w:bottom w:w="40" w:type="dxa"/>
              <w:right w:w="40" w:type="dxa"/>
            </w:tcMar>
            <w:vAlign w:val="bottom"/>
          </w:tcPr>
          <w:p w14:paraId="42A141A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A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A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A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B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Director</w:t>
            </w:r>
          </w:p>
        </w:tc>
      </w:tr>
      <w:tr w:rsidR="00BB68E1" w14:paraId="42A141B7" w14:textId="77777777">
        <w:tc>
          <w:tcPr>
            <w:tcW w:w="0" w:type="auto"/>
            <w:shd w:val="clear" w:color="auto" w:fill="auto"/>
            <w:tcMar>
              <w:top w:w="40" w:type="dxa"/>
              <w:left w:w="40" w:type="dxa"/>
              <w:bottom w:w="40" w:type="dxa"/>
              <w:right w:w="40" w:type="dxa"/>
            </w:tcMar>
            <w:vAlign w:val="bottom"/>
          </w:tcPr>
          <w:p w14:paraId="42A141B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B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B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B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B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1BD" w14:textId="77777777">
        <w:tc>
          <w:tcPr>
            <w:tcW w:w="0" w:type="auto"/>
            <w:shd w:val="clear" w:color="auto" w:fill="auto"/>
            <w:tcMar>
              <w:top w:w="40" w:type="dxa"/>
              <w:left w:w="40" w:type="dxa"/>
              <w:bottom w:w="40" w:type="dxa"/>
              <w:right w:w="40" w:type="dxa"/>
            </w:tcMar>
            <w:vAlign w:val="bottom"/>
          </w:tcPr>
          <w:p w14:paraId="42A141B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xml:space="preserve">Date: </w:t>
            </w:r>
            <w:r>
              <w:rPr>
                <w:rFonts w:ascii="Times New Roman" w:eastAsia="宋体" w:hAnsi="Times New Roman"/>
                <w:sz w:val="20"/>
                <w:szCs w:val="20"/>
              </w:rPr>
              <w:t>March 20, 2020</w:t>
            </w:r>
          </w:p>
        </w:tc>
        <w:tc>
          <w:tcPr>
            <w:tcW w:w="0" w:type="auto"/>
            <w:shd w:val="clear" w:color="auto" w:fill="auto"/>
            <w:tcMar>
              <w:top w:w="40" w:type="dxa"/>
              <w:left w:w="40" w:type="dxa"/>
              <w:bottom w:w="40" w:type="dxa"/>
              <w:right w:w="40" w:type="dxa"/>
            </w:tcMar>
            <w:vAlign w:val="bottom"/>
          </w:tcPr>
          <w:p w14:paraId="42A141B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B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42A141B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41B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/s/ Thomas W. Horton</w:t>
            </w:r>
          </w:p>
        </w:tc>
      </w:tr>
      <w:tr w:rsidR="00BB68E1" w14:paraId="42A141C3" w14:textId="77777777">
        <w:tc>
          <w:tcPr>
            <w:tcW w:w="0" w:type="auto"/>
            <w:shd w:val="clear" w:color="auto" w:fill="auto"/>
            <w:tcMar>
              <w:top w:w="40" w:type="dxa"/>
              <w:left w:w="40" w:type="dxa"/>
              <w:bottom w:w="40" w:type="dxa"/>
              <w:right w:w="40" w:type="dxa"/>
            </w:tcMar>
            <w:vAlign w:val="bottom"/>
          </w:tcPr>
          <w:p w14:paraId="42A141B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B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C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C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C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Thomas W. Horton</w:t>
            </w:r>
          </w:p>
        </w:tc>
      </w:tr>
      <w:tr w:rsidR="00BB68E1" w14:paraId="42A141C9" w14:textId="77777777">
        <w:tc>
          <w:tcPr>
            <w:tcW w:w="0" w:type="auto"/>
            <w:shd w:val="clear" w:color="auto" w:fill="auto"/>
            <w:tcMar>
              <w:top w:w="40" w:type="dxa"/>
              <w:left w:w="40" w:type="dxa"/>
              <w:bottom w:w="40" w:type="dxa"/>
              <w:right w:w="40" w:type="dxa"/>
            </w:tcMar>
            <w:vAlign w:val="bottom"/>
          </w:tcPr>
          <w:p w14:paraId="42A141C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C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C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C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C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Director</w:t>
            </w:r>
          </w:p>
        </w:tc>
      </w:tr>
      <w:tr w:rsidR="00BB68E1" w14:paraId="42A141CF" w14:textId="77777777">
        <w:tc>
          <w:tcPr>
            <w:tcW w:w="0" w:type="auto"/>
            <w:shd w:val="clear" w:color="auto" w:fill="auto"/>
            <w:tcMar>
              <w:top w:w="40" w:type="dxa"/>
              <w:left w:w="40" w:type="dxa"/>
              <w:bottom w:w="40" w:type="dxa"/>
              <w:right w:w="40" w:type="dxa"/>
            </w:tcMar>
            <w:vAlign w:val="bottom"/>
          </w:tcPr>
          <w:p w14:paraId="42A141C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right w:w="40" w:type="dxa"/>
            </w:tcMar>
            <w:vAlign w:val="bottom"/>
          </w:tcPr>
          <w:p w14:paraId="42A141C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C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C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C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1D5" w14:textId="77777777">
        <w:tc>
          <w:tcPr>
            <w:tcW w:w="0" w:type="auto"/>
            <w:shd w:val="clear" w:color="auto" w:fill="auto"/>
            <w:tcMar>
              <w:top w:w="40" w:type="dxa"/>
              <w:left w:w="40" w:type="dxa"/>
              <w:bottom w:w="40" w:type="dxa"/>
              <w:right w:w="40" w:type="dxa"/>
            </w:tcMar>
          </w:tcPr>
          <w:p w14:paraId="42A141D0"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Date: March 20, 2020</w:t>
            </w:r>
          </w:p>
        </w:tc>
        <w:tc>
          <w:tcPr>
            <w:tcW w:w="0" w:type="auto"/>
            <w:shd w:val="clear" w:color="auto" w:fill="auto"/>
            <w:tcMar>
              <w:top w:w="40" w:type="dxa"/>
              <w:left w:w="40" w:type="dxa"/>
              <w:bottom w:w="40" w:type="dxa"/>
              <w:right w:w="40" w:type="dxa"/>
            </w:tcMar>
            <w:vAlign w:val="bottom"/>
          </w:tcPr>
          <w:p w14:paraId="42A141D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D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42A141D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41D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/s/ Marissa A. Mayer</w:t>
            </w:r>
          </w:p>
        </w:tc>
      </w:tr>
      <w:tr w:rsidR="00BB68E1" w14:paraId="42A141DB" w14:textId="77777777">
        <w:tc>
          <w:tcPr>
            <w:tcW w:w="0" w:type="auto"/>
            <w:shd w:val="clear" w:color="auto" w:fill="auto"/>
            <w:tcMar>
              <w:top w:w="40" w:type="dxa"/>
              <w:left w:w="40" w:type="dxa"/>
              <w:bottom w:w="40" w:type="dxa"/>
              <w:right w:w="40" w:type="dxa"/>
            </w:tcMar>
            <w:vAlign w:val="bottom"/>
          </w:tcPr>
          <w:p w14:paraId="42A141D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D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D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D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D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Marissa A. Mayer</w:t>
            </w:r>
          </w:p>
        </w:tc>
      </w:tr>
      <w:tr w:rsidR="00BB68E1" w14:paraId="42A141E1" w14:textId="77777777">
        <w:tc>
          <w:tcPr>
            <w:tcW w:w="0" w:type="auto"/>
            <w:shd w:val="clear" w:color="auto" w:fill="auto"/>
            <w:tcMar>
              <w:top w:w="40" w:type="dxa"/>
              <w:left w:w="40" w:type="dxa"/>
              <w:bottom w:w="40" w:type="dxa"/>
              <w:right w:w="40" w:type="dxa"/>
            </w:tcMar>
            <w:vAlign w:val="bottom"/>
          </w:tcPr>
          <w:p w14:paraId="42A141D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D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D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D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E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Director</w:t>
            </w:r>
          </w:p>
        </w:tc>
      </w:tr>
      <w:tr w:rsidR="00BB68E1" w14:paraId="42A141E7" w14:textId="77777777">
        <w:tc>
          <w:tcPr>
            <w:tcW w:w="0" w:type="auto"/>
            <w:shd w:val="clear" w:color="auto" w:fill="auto"/>
            <w:tcMar>
              <w:top w:w="40" w:type="dxa"/>
              <w:left w:w="40" w:type="dxa"/>
              <w:bottom w:w="40" w:type="dxa"/>
              <w:right w:w="40" w:type="dxa"/>
            </w:tcMar>
            <w:vAlign w:val="bottom"/>
          </w:tcPr>
          <w:p w14:paraId="42A141E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E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E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E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E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1ED" w14:textId="77777777">
        <w:tc>
          <w:tcPr>
            <w:tcW w:w="0" w:type="auto"/>
            <w:shd w:val="clear" w:color="auto" w:fill="auto"/>
            <w:tcMar>
              <w:top w:w="40" w:type="dxa"/>
              <w:left w:w="40" w:type="dxa"/>
              <w:bottom w:w="40" w:type="dxa"/>
              <w:right w:w="40" w:type="dxa"/>
            </w:tcMar>
          </w:tcPr>
          <w:p w14:paraId="42A141E8" w14:textId="77777777" w:rsidR="00BB68E1" w:rsidRDefault="005D2D5E">
            <w:pPr>
              <w:textAlignment w:val="top"/>
              <w:rPr>
                <w:rFonts w:ascii="Times New Roman" w:hAnsi="Times New Roman"/>
                <w:sz w:val="20"/>
                <w:szCs w:val="20"/>
              </w:rPr>
            </w:pPr>
            <w:r>
              <w:rPr>
                <w:rFonts w:ascii="Times New Roman" w:eastAsia="宋体" w:hAnsi="Times New Roman"/>
                <w:sz w:val="20"/>
                <w:szCs w:val="20"/>
              </w:rPr>
              <w:t>Date: March 20, 2020</w:t>
            </w:r>
          </w:p>
        </w:tc>
        <w:tc>
          <w:tcPr>
            <w:tcW w:w="0" w:type="auto"/>
            <w:shd w:val="clear" w:color="auto" w:fill="auto"/>
            <w:tcMar>
              <w:top w:w="40" w:type="dxa"/>
              <w:left w:w="40" w:type="dxa"/>
              <w:bottom w:w="40" w:type="dxa"/>
              <w:right w:w="40" w:type="dxa"/>
            </w:tcMar>
            <w:vAlign w:val="bottom"/>
          </w:tcPr>
          <w:p w14:paraId="42A141E9"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E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42A141E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41E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xml:space="preserve">/s/ Steven S </w:t>
            </w:r>
            <w:r>
              <w:rPr>
                <w:rFonts w:ascii="Times New Roman" w:eastAsia="宋体" w:hAnsi="Times New Roman"/>
                <w:sz w:val="20"/>
                <w:szCs w:val="20"/>
              </w:rPr>
              <w:t>Reinemund</w:t>
            </w:r>
          </w:p>
        </w:tc>
      </w:tr>
      <w:tr w:rsidR="00BB68E1" w14:paraId="42A141F3" w14:textId="77777777">
        <w:tc>
          <w:tcPr>
            <w:tcW w:w="0" w:type="auto"/>
            <w:shd w:val="clear" w:color="auto" w:fill="auto"/>
            <w:tcMar>
              <w:top w:w="40" w:type="dxa"/>
              <w:left w:w="40" w:type="dxa"/>
              <w:bottom w:w="40" w:type="dxa"/>
              <w:right w:w="40" w:type="dxa"/>
            </w:tcMar>
            <w:vAlign w:val="bottom"/>
          </w:tcPr>
          <w:p w14:paraId="42A141E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EF"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F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F1"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F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Steven S Reinemund</w:t>
            </w:r>
          </w:p>
        </w:tc>
      </w:tr>
      <w:tr w:rsidR="00BB68E1" w14:paraId="42A141F9" w14:textId="77777777">
        <w:tc>
          <w:tcPr>
            <w:tcW w:w="0" w:type="auto"/>
            <w:shd w:val="clear" w:color="auto" w:fill="auto"/>
            <w:tcMar>
              <w:top w:w="40" w:type="dxa"/>
              <w:left w:w="40" w:type="dxa"/>
              <w:bottom w:w="40" w:type="dxa"/>
              <w:right w:w="40" w:type="dxa"/>
            </w:tcMar>
            <w:vAlign w:val="bottom"/>
          </w:tcPr>
          <w:p w14:paraId="42A141F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F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F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F7"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F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Director</w:t>
            </w:r>
          </w:p>
        </w:tc>
      </w:tr>
      <w:tr w:rsidR="00BB68E1" w14:paraId="42A141FF" w14:textId="77777777">
        <w:tc>
          <w:tcPr>
            <w:tcW w:w="0" w:type="auto"/>
            <w:shd w:val="clear" w:color="auto" w:fill="auto"/>
            <w:tcMar>
              <w:top w:w="40" w:type="dxa"/>
              <w:left w:w="40" w:type="dxa"/>
              <w:bottom w:w="40" w:type="dxa"/>
              <w:right w:w="40" w:type="dxa"/>
            </w:tcMar>
            <w:vAlign w:val="bottom"/>
          </w:tcPr>
          <w:p w14:paraId="42A141F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FB"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F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FD"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1F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205" w14:textId="77777777">
        <w:tc>
          <w:tcPr>
            <w:tcW w:w="0" w:type="auto"/>
            <w:shd w:val="clear" w:color="auto" w:fill="auto"/>
            <w:tcMar>
              <w:top w:w="40" w:type="dxa"/>
              <w:left w:w="40" w:type="dxa"/>
              <w:bottom w:w="40" w:type="dxa"/>
              <w:right w:w="40" w:type="dxa"/>
            </w:tcMar>
            <w:vAlign w:val="bottom"/>
          </w:tcPr>
          <w:p w14:paraId="42A1420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Date: March 20, 2020</w:t>
            </w:r>
          </w:p>
        </w:tc>
        <w:tc>
          <w:tcPr>
            <w:tcW w:w="0" w:type="auto"/>
            <w:shd w:val="clear" w:color="auto" w:fill="auto"/>
            <w:tcMar>
              <w:top w:w="40" w:type="dxa"/>
              <w:left w:w="40" w:type="dxa"/>
              <w:bottom w:w="40" w:type="dxa"/>
              <w:right w:w="40" w:type="dxa"/>
            </w:tcMar>
            <w:vAlign w:val="bottom"/>
          </w:tcPr>
          <w:p w14:paraId="42A1420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20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42A14203"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420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/s/ S. Robson Walton</w:t>
            </w:r>
          </w:p>
        </w:tc>
      </w:tr>
      <w:tr w:rsidR="00BB68E1" w14:paraId="42A1420B" w14:textId="77777777">
        <w:tc>
          <w:tcPr>
            <w:tcW w:w="0" w:type="auto"/>
            <w:shd w:val="clear" w:color="auto" w:fill="auto"/>
            <w:tcMar>
              <w:top w:w="40" w:type="dxa"/>
              <w:left w:w="40" w:type="dxa"/>
              <w:bottom w:w="40" w:type="dxa"/>
              <w:right w:w="40" w:type="dxa"/>
            </w:tcMar>
            <w:vAlign w:val="bottom"/>
          </w:tcPr>
          <w:p w14:paraId="42A1420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20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20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20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top w:val="single" w:sz="8" w:space="0" w:color="000000"/>
            </w:tcBorders>
            <w:shd w:val="clear" w:color="auto" w:fill="auto"/>
            <w:tcMar>
              <w:top w:w="40" w:type="dxa"/>
              <w:left w:w="40" w:type="dxa"/>
              <w:bottom w:w="40" w:type="dxa"/>
              <w:right w:w="40" w:type="dxa"/>
            </w:tcMar>
            <w:vAlign w:val="bottom"/>
          </w:tcPr>
          <w:p w14:paraId="42A1420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S. Robson Walton</w:t>
            </w:r>
          </w:p>
        </w:tc>
      </w:tr>
      <w:tr w:rsidR="00BB68E1" w14:paraId="42A14211" w14:textId="77777777">
        <w:tc>
          <w:tcPr>
            <w:tcW w:w="0" w:type="auto"/>
            <w:shd w:val="clear" w:color="auto" w:fill="auto"/>
            <w:tcMar>
              <w:top w:w="40" w:type="dxa"/>
              <w:left w:w="40" w:type="dxa"/>
              <w:bottom w:w="40" w:type="dxa"/>
              <w:right w:w="40" w:type="dxa"/>
            </w:tcMar>
            <w:vAlign w:val="bottom"/>
          </w:tcPr>
          <w:p w14:paraId="42A1420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20D"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20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20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21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Director</w:t>
            </w:r>
          </w:p>
        </w:tc>
      </w:tr>
      <w:tr w:rsidR="00BB68E1" w14:paraId="42A14217" w14:textId="77777777">
        <w:tc>
          <w:tcPr>
            <w:tcW w:w="0" w:type="auto"/>
            <w:shd w:val="clear" w:color="auto" w:fill="auto"/>
            <w:tcMar>
              <w:top w:w="40" w:type="dxa"/>
              <w:left w:w="40" w:type="dxa"/>
              <w:bottom w:w="40" w:type="dxa"/>
              <w:right w:w="40" w:type="dxa"/>
            </w:tcMar>
            <w:vAlign w:val="bottom"/>
          </w:tcPr>
          <w:p w14:paraId="42A1421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213"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21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215"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21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r>
      <w:tr w:rsidR="00BB68E1" w14:paraId="42A1421D" w14:textId="77777777">
        <w:tc>
          <w:tcPr>
            <w:tcW w:w="0" w:type="auto"/>
            <w:shd w:val="clear" w:color="auto" w:fill="auto"/>
            <w:tcMar>
              <w:top w:w="40" w:type="dxa"/>
              <w:left w:w="40" w:type="dxa"/>
              <w:bottom w:w="40" w:type="dxa"/>
              <w:right w:w="40" w:type="dxa"/>
            </w:tcMar>
            <w:vAlign w:val="bottom"/>
          </w:tcPr>
          <w:p w14:paraId="42A1421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Date: March 20, 2020</w:t>
            </w:r>
          </w:p>
        </w:tc>
        <w:tc>
          <w:tcPr>
            <w:tcW w:w="0" w:type="auto"/>
            <w:shd w:val="clear" w:color="auto" w:fill="auto"/>
            <w:tcMar>
              <w:top w:w="40" w:type="dxa"/>
              <w:left w:w="40" w:type="dxa"/>
              <w:bottom w:w="40" w:type="dxa"/>
              <w:right w:w="40" w:type="dxa"/>
            </w:tcMar>
            <w:vAlign w:val="bottom"/>
          </w:tcPr>
          <w:p w14:paraId="42A14219"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21A"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42A1421B"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2A1421C"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/s/ Steuart L. Walton</w:t>
            </w:r>
          </w:p>
        </w:tc>
      </w:tr>
      <w:tr w:rsidR="00BB68E1" w14:paraId="42A14223" w14:textId="77777777">
        <w:tc>
          <w:tcPr>
            <w:tcW w:w="0" w:type="auto"/>
            <w:shd w:val="clear" w:color="auto" w:fill="auto"/>
            <w:tcMar>
              <w:top w:w="40" w:type="dxa"/>
              <w:left w:w="40" w:type="dxa"/>
              <w:bottom w:w="40" w:type="dxa"/>
              <w:right w:w="40" w:type="dxa"/>
            </w:tcMar>
            <w:vAlign w:val="bottom"/>
          </w:tcPr>
          <w:p w14:paraId="42A1421E"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21F"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220"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221"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222"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Steuart L. Walton</w:t>
            </w:r>
          </w:p>
        </w:tc>
      </w:tr>
      <w:tr w:rsidR="00BB68E1" w14:paraId="42A14229" w14:textId="77777777">
        <w:tc>
          <w:tcPr>
            <w:tcW w:w="0" w:type="auto"/>
            <w:shd w:val="clear" w:color="auto" w:fill="auto"/>
            <w:tcMar>
              <w:top w:w="40" w:type="dxa"/>
              <w:left w:w="40" w:type="dxa"/>
              <w:bottom w:w="40" w:type="dxa"/>
              <w:right w:w="40" w:type="dxa"/>
            </w:tcMar>
            <w:vAlign w:val="bottom"/>
          </w:tcPr>
          <w:p w14:paraId="42A14224"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225"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226"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2A14227" w14:textId="77777777" w:rsidR="00BB68E1" w:rsidRDefault="005D2D5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2A14228" w14:textId="77777777" w:rsidR="00BB68E1" w:rsidRDefault="005D2D5E">
            <w:pPr>
              <w:textAlignment w:val="bottom"/>
              <w:rPr>
                <w:rFonts w:ascii="Times New Roman" w:hAnsi="Times New Roman"/>
                <w:sz w:val="20"/>
                <w:szCs w:val="20"/>
              </w:rPr>
            </w:pPr>
            <w:r>
              <w:rPr>
                <w:rFonts w:ascii="Times New Roman" w:eastAsia="宋体" w:hAnsi="Times New Roman"/>
                <w:sz w:val="20"/>
                <w:szCs w:val="20"/>
              </w:rPr>
              <w:t>Director</w:t>
            </w:r>
          </w:p>
        </w:tc>
      </w:tr>
    </w:tbl>
    <w:p w14:paraId="42A1422A" w14:textId="77777777" w:rsidR="00BB68E1" w:rsidRDefault="00BB68E1">
      <w:pPr>
        <w:spacing w:line="288" w:lineRule="auto"/>
        <w:rPr>
          <w:rFonts w:ascii="Times New Roman" w:hAnsi="Times New Roman"/>
          <w:sz w:val="20"/>
          <w:szCs w:val="20"/>
        </w:rPr>
      </w:pPr>
    </w:p>
    <w:p w14:paraId="42A1422B"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Signature Page to Walmart Inc.</w:t>
      </w:r>
    </w:p>
    <w:p w14:paraId="42A1422C"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 xml:space="preserve">Form 10-K for the Fiscal Year Ended January 31, 2020 </w:t>
      </w:r>
    </w:p>
    <w:p w14:paraId="42A1422D" w14:textId="77777777" w:rsidR="00BB68E1" w:rsidRDefault="00BB68E1">
      <w:pPr>
        <w:spacing w:line="288" w:lineRule="auto"/>
        <w:rPr>
          <w:rFonts w:ascii="Times New Roman" w:hAnsi="Times New Roman"/>
          <w:sz w:val="20"/>
          <w:szCs w:val="20"/>
        </w:rPr>
      </w:pPr>
    </w:p>
    <w:p w14:paraId="42A1422E" w14:textId="77777777" w:rsidR="00BB68E1" w:rsidRDefault="00BB68E1">
      <w:pPr>
        <w:rPr>
          <w:rFonts w:ascii="Times New Roman" w:hAnsi="Times New Roman"/>
          <w:sz w:val="20"/>
          <w:szCs w:val="20"/>
        </w:rPr>
      </w:pPr>
    </w:p>
    <w:p w14:paraId="42A1422F" w14:textId="77777777" w:rsidR="00BB68E1" w:rsidRDefault="005D2D5E">
      <w:pPr>
        <w:spacing w:line="288" w:lineRule="auto"/>
        <w:jc w:val="center"/>
        <w:rPr>
          <w:rFonts w:ascii="Times New Roman" w:hAnsi="Times New Roman"/>
          <w:sz w:val="20"/>
          <w:szCs w:val="20"/>
        </w:rPr>
      </w:pPr>
      <w:r>
        <w:rPr>
          <w:rFonts w:ascii="Times New Roman" w:eastAsia="宋体" w:hAnsi="Times New Roman"/>
          <w:sz w:val="20"/>
          <w:szCs w:val="20"/>
        </w:rPr>
        <w:t>84</w:t>
      </w:r>
    </w:p>
    <w:p w14:paraId="42A14230" w14:textId="77777777" w:rsidR="00BB68E1" w:rsidRDefault="00BB68E1">
      <w:pPr>
        <w:spacing w:line="288" w:lineRule="auto"/>
        <w:jc w:val="center"/>
        <w:rPr>
          <w:rFonts w:ascii="Times New Roman" w:hAnsi="Times New Roman"/>
          <w:sz w:val="20"/>
          <w:szCs w:val="20"/>
        </w:rPr>
      </w:pPr>
    </w:p>
    <w:p w14:paraId="42A14231" w14:textId="77777777" w:rsidR="00BB68E1" w:rsidRDefault="005D2D5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2A142CB" wp14:editId="42A142CC">
                <wp:extent cx="635" cy="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wR9Ag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b8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cEfQ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8E1" w14:paraId="42A14233" w14:textId="77777777">
        <w:trPr>
          <w:tblCellSpacing w:w="15" w:type="dxa"/>
        </w:trPr>
        <w:tc>
          <w:tcPr>
            <w:tcW w:w="0" w:type="auto"/>
            <w:shd w:val="clear" w:color="auto" w:fill="auto"/>
            <w:vAlign w:val="center"/>
          </w:tcPr>
          <w:p w14:paraId="42A14232" w14:textId="77777777" w:rsidR="00BB68E1" w:rsidRDefault="00BB68E1">
            <w:pPr>
              <w:rPr>
                <w:rFonts w:ascii="宋体"/>
              </w:rPr>
            </w:pPr>
          </w:p>
        </w:tc>
      </w:tr>
    </w:tbl>
    <w:p w14:paraId="42A14234" w14:textId="77777777" w:rsidR="00BB68E1" w:rsidRDefault="00BB68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8E1" w14:paraId="42A14236" w14:textId="77777777">
        <w:trPr>
          <w:tblCellSpacing w:w="15" w:type="dxa"/>
        </w:trPr>
        <w:tc>
          <w:tcPr>
            <w:tcW w:w="0" w:type="auto"/>
            <w:shd w:val="clear" w:color="auto" w:fill="auto"/>
            <w:vAlign w:val="center"/>
          </w:tcPr>
          <w:p w14:paraId="42A14235" w14:textId="77777777" w:rsidR="00BB68E1" w:rsidRDefault="00BB68E1">
            <w:pPr>
              <w:rPr>
                <w:rFonts w:ascii="宋体"/>
              </w:rPr>
            </w:pPr>
          </w:p>
        </w:tc>
      </w:tr>
    </w:tbl>
    <w:p w14:paraId="42A14237" w14:textId="77777777" w:rsidR="00BB68E1" w:rsidRDefault="00BB68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8E1" w14:paraId="42A14239" w14:textId="77777777">
        <w:trPr>
          <w:tblCellSpacing w:w="15" w:type="dxa"/>
        </w:trPr>
        <w:tc>
          <w:tcPr>
            <w:tcW w:w="0" w:type="auto"/>
            <w:shd w:val="clear" w:color="auto" w:fill="auto"/>
            <w:vAlign w:val="center"/>
          </w:tcPr>
          <w:p w14:paraId="42A14238" w14:textId="77777777" w:rsidR="00BB68E1" w:rsidRDefault="00BB68E1">
            <w:pPr>
              <w:rPr>
                <w:rFonts w:ascii="宋体"/>
              </w:rPr>
            </w:pPr>
          </w:p>
        </w:tc>
      </w:tr>
    </w:tbl>
    <w:p w14:paraId="42A1423A" w14:textId="77777777" w:rsidR="00BB68E1" w:rsidRDefault="00BB68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8E1" w14:paraId="42A1423C" w14:textId="77777777">
        <w:trPr>
          <w:tblCellSpacing w:w="15" w:type="dxa"/>
        </w:trPr>
        <w:tc>
          <w:tcPr>
            <w:tcW w:w="0" w:type="auto"/>
            <w:shd w:val="clear" w:color="auto" w:fill="auto"/>
            <w:vAlign w:val="center"/>
          </w:tcPr>
          <w:p w14:paraId="42A1423B" w14:textId="77777777" w:rsidR="00BB68E1" w:rsidRDefault="00BB68E1">
            <w:pPr>
              <w:rPr>
                <w:rFonts w:ascii="宋体"/>
              </w:rPr>
            </w:pPr>
          </w:p>
        </w:tc>
      </w:tr>
    </w:tbl>
    <w:p w14:paraId="42A1423D" w14:textId="77777777" w:rsidR="00BB68E1" w:rsidRDefault="005D2D5E">
      <w:r>
        <w:rPr>
          <w:rFonts w:ascii="宋体" w:eastAsia="宋体" w:hAnsi="宋体" w:cs="宋体"/>
        </w:rPr>
        <w:t xml:space="preserve">Previous Next </w:t>
      </w:r>
    </w:p>
    <w:p w14:paraId="42A1423E" w14:textId="77777777" w:rsidR="00BB68E1" w:rsidRDefault="005D2D5E">
      <w:pPr>
        <w:pStyle w:val="a3"/>
      </w:pPr>
      <w:r>
        <w:t>Settings</w:t>
      </w:r>
    </w:p>
    <w:p w14:paraId="42A1423F" w14:textId="77777777" w:rsidR="00BB68E1" w:rsidRDefault="005D2D5E">
      <w:pPr>
        <w:pStyle w:val="Style4"/>
      </w:pPr>
      <w:r>
        <w:t>窗体顶端</w:t>
      </w:r>
    </w:p>
    <w:p w14:paraId="42A14240" w14:textId="77777777" w:rsidR="00BB68E1" w:rsidRDefault="005D2D5E">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2A142CD" wp14:editId="42A142CE">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42A14241" w14:textId="77777777" w:rsidR="00BB68E1" w:rsidRDefault="005D2D5E">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2A142CF" wp14:editId="42A142D0">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42A14242" w14:textId="77777777" w:rsidR="00BB68E1" w:rsidRDefault="005D2D5E">
      <w:r>
        <w:pict w14:anchorId="42A142D1">
          <v:rect id="_x0000_i1108" style="width:415.3pt;height:1.5pt" o:hralign="center" o:hrstd="t" o:hr="t" fillcolor="#a0a0a0" stroked="f"/>
        </w:pict>
      </w:r>
    </w:p>
    <w:p w14:paraId="42A14243" w14:textId="77777777" w:rsidR="00BB68E1" w:rsidRDefault="005D2D5E">
      <w:r>
        <w:rPr>
          <w:rFonts w:ascii="宋体" w:eastAsia="宋体" w:hAnsi="宋体" w:cs="宋体"/>
        </w:rPr>
        <w:t xml:space="preserve">Tagged Data </w:t>
      </w:r>
    </w:p>
    <w:p w14:paraId="42A14244" w14:textId="77777777" w:rsidR="00BB68E1" w:rsidRDefault="005D2D5E">
      <w:r>
        <w:rPr>
          <w:rFonts w:ascii="monospace" w:eastAsia="monospace" w:hAnsi="monospace" w:cs="monospace"/>
          <w:noProof/>
        </w:rPr>
        <mc:AlternateContent>
          <mc:Choice Requires="wps">
            <w:drawing>
              <wp:inline distT="0" distB="0" distL="114300" distR="114300" wp14:anchorId="42A142D2" wp14:editId="42A142D3">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42A14245" w14:textId="77777777" w:rsidR="00BB68E1" w:rsidRDefault="005D2D5E">
      <w:r>
        <w:rPr>
          <w:rFonts w:ascii="宋体" w:eastAsia="宋体" w:hAnsi="宋体" w:cs="宋体"/>
        </w:rPr>
        <w:t>Save</w:t>
      </w:r>
    </w:p>
    <w:p w14:paraId="42A14246" w14:textId="77777777" w:rsidR="00BB68E1" w:rsidRDefault="005D2D5E">
      <w:r>
        <w:rPr>
          <w:rFonts w:ascii="宋体" w:eastAsia="宋体" w:hAnsi="宋体" w:cs="宋体"/>
        </w:rPr>
        <w:t>Reset</w:t>
      </w:r>
    </w:p>
    <w:p w14:paraId="42A14247" w14:textId="77777777" w:rsidR="00BB68E1" w:rsidRDefault="005D2D5E">
      <w:r>
        <w:pict w14:anchorId="42A142D4">
          <v:rect id="_x0000_i1109" style="width:415.3pt;height:1.5pt" o:hralign="center" o:hrstd="t" o:hr="t" fillcolor="#a0a0a0" stroked="f"/>
        </w:pict>
      </w:r>
    </w:p>
    <w:p w14:paraId="42A14248" w14:textId="77777777" w:rsidR="00BB68E1" w:rsidRDefault="005D2D5E">
      <w:r>
        <w:rPr>
          <w:rFonts w:ascii="宋体" w:eastAsia="宋体" w:hAnsi="宋体" w:cs="宋体"/>
        </w:rPr>
        <w:t xml:space="preserve">Search Results </w:t>
      </w:r>
    </w:p>
    <w:p w14:paraId="42A14249" w14:textId="77777777" w:rsidR="00BB68E1" w:rsidRDefault="005D2D5E">
      <w:r>
        <w:rPr>
          <w:rFonts w:ascii="monospace" w:eastAsia="monospace" w:hAnsi="monospace" w:cs="monospace"/>
          <w:noProof/>
        </w:rPr>
        <mc:AlternateContent>
          <mc:Choice Requires="wps">
            <w:drawing>
              <wp:inline distT="0" distB="0" distL="114300" distR="114300" wp14:anchorId="42A142D5" wp14:editId="42A142D6">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42A1424A" w14:textId="77777777" w:rsidR="00BB68E1" w:rsidRDefault="005D2D5E">
      <w:r>
        <w:rPr>
          <w:rFonts w:ascii="宋体" w:eastAsia="宋体" w:hAnsi="宋体" w:cs="宋体"/>
        </w:rPr>
        <w:lastRenderedPageBreak/>
        <w:t>Save</w:t>
      </w:r>
    </w:p>
    <w:p w14:paraId="42A1424B" w14:textId="77777777" w:rsidR="00BB68E1" w:rsidRDefault="005D2D5E">
      <w:r>
        <w:rPr>
          <w:rFonts w:ascii="宋体" w:eastAsia="宋体" w:hAnsi="宋体" w:cs="宋体"/>
        </w:rPr>
        <w:t>Reset</w:t>
      </w:r>
    </w:p>
    <w:p w14:paraId="42A1424C" w14:textId="77777777" w:rsidR="00BB68E1" w:rsidRDefault="005D2D5E">
      <w:r>
        <w:pict w14:anchorId="42A142D7">
          <v:rect id="_x0000_i1110" style="width:415.3pt;height:1.5pt" o:hralign="center" o:hrstd="t" o:hr="t" fillcolor="#a0a0a0" stroked="f"/>
        </w:pict>
      </w:r>
    </w:p>
    <w:p w14:paraId="42A1424D" w14:textId="77777777" w:rsidR="00BB68E1" w:rsidRDefault="005D2D5E">
      <w:r>
        <w:rPr>
          <w:rFonts w:ascii="宋体" w:eastAsia="宋体" w:hAnsi="宋体" w:cs="宋体"/>
        </w:rPr>
        <w:t xml:space="preserve">Selected Fact </w:t>
      </w:r>
    </w:p>
    <w:p w14:paraId="42A1424E" w14:textId="77777777" w:rsidR="00BB68E1" w:rsidRDefault="005D2D5E">
      <w:r>
        <w:rPr>
          <w:rFonts w:ascii="monospace" w:eastAsia="monospace" w:hAnsi="monospace" w:cs="monospace"/>
          <w:noProof/>
        </w:rPr>
        <mc:AlternateContent>
          <mc:Choice Requires="wps">
            <w:drawing>
              <wp:inline distT="0" distB="0" distL="114300" distR="114300" wp14:anchorId="42A142D8" wp14:editId="42A142D9">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42A1424F" w14:textId="77777777" w:rsidR="00BB68E1" w:rsidRDefault="005D2D5E">
      <w:r>
        <w:rPr>
          <w:rFonts w:ascii="宋体" w:eastAsia="宋体" w:hAnsi="宋体" w:cs="宋体"/>
        </w:rPr>
        <w:t>Save</w:t>
      </w:r>
    </w:p>
    <w:p w14:paraId="42A14250" w14:textId="77777777" w:rsidR="00BB68E1" w:rsidRDefault="005D2D5E">
      <w:r>
        <w:rPr>
          <w:rFonts w:ascii="宋体" w:eastAsia="宋体" w:hAnsi="宋体" w:cs="宋体"/>
        </w:rPr>
        <w:t>Reset</w:t>
      </w:r>
    </w:p>
    <w:p w14:paraId="42A14251" w14:textId="77777777" w:rsidR="00BB68E1" w:rsidRDefault="005D2D5E">
      <w:r>
        <w:pict w14:anchorId="42A142DA">
          <v:rect id="_x0000_i1111" style="width:415.3pt;height:1.5pt" o:hralign="center" o:hrstd="t" o:hr="t" fillcolor="#a0a0a0" stroked="f"/>
        </w:pict>
      </w:r>
    </w:p>
    <w:p w14:paraId="42A14252" w14:textId="77777777" w:rsidR="00BB68E1" w:rsidRDefault="005D2D5E">
      <w:r>
        <w:rPr>
          <w:rFonts w:ascii="宋体" w:eastAsia="宋体" w:hAnsi="宋体" w:cs="宋体"/>
        </w:rPr>
        <w:t xml:space="preserve">Tag Shading (hover) </w:t>
      </w:r>
    </w:p>
    <w:p w14:paraId="42A14253" w14:textId="77777777" w:rsidR="00BB68E1" w:rsidRDefault="005D2D5E">
      <w:r>
        <w:rPr>
          <w:rFonts w:ascii="monospace" w:eastAsia="monospace" w:hAnsi="monospace" w:cs="monospace"/>
          <w:noProof/>
        </w:rPr>
        <mc:AlternateContent>
          <mc:Choice Requires="wps">
            <w:drawing>
              <wp:inline distT="0" distB="0" distL="114300" distR="114300" wp14:anchorId="42A142DB" wp14:editId="42A142DC">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42A14254" w14:textId="77777777" w:rsidR="00BB68E1" w:rsidRDefault="005D2D5E">
      <w:r>
        <w:rPr>
          <w:rFonts w:ascii="宋体" w:eastAsia="宋体" w:hAnsi="宋体" w:cs="宋体"/>
        </w:rPr>
        <w:t>Save</w:t>
      </w:r>
    </w:p>
    <w:p w14:paraId="42A14255" w14:textId="77777777" w:rsidR="00BB68E1" w:rsidRDefault="005D2D5E">
      <w:r>
        <w:rPr>
          <w:rFonts w:ascii="宋体" w:eastAsia="宋体" w:hAnsi="宋体" w:cs="宋体"/>
        </w:rPr>
        <w:t>Reset</w:t>
      </w:r>
    </w:p>
    <w:p w14:paraId="42A14256" w14:textId="77777777" w:rsidR="00BB68E1" w:rsidRDefault="005D2D5E">
      <w:pPr>
        <w:pStyle w:val="Style5"/>
      </w:pPr>
      <w:r>
        <w:t>窗体底端</w:t>
      </w:r>
    </w:p>
    <w:p w14:paraId="42A14257" w14:textId="77777777" w:rsidR="00BB68E1" w:rsidRDefault="005D2D5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2A142DD" wp14:editId="42A142DE">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8E1" w14:paraId="42A14259" w14:textId="77777777">
        <w:trPr>
          <w:tblCellSpacing w:w="15" w:type="dxa"/>
        </w:trPr>
        <w:tc>
          <w:tcPr>
            <w:tcW w:w="0" w:type="auto"/>
            <w:shd w:val="clear" w:color="auto" w:fill="auto"/>
            <w:vAlign w:val="center"/>
          </w:tcPr>
          <w:p w14:paraId="42A14258" w14:textId="77777777" w:rsidR="00BB68E1" w:rsidRDefault="00BB68E1">
            <w:pPr>
              <w:rPr>
                <w:rFonts w:ascii="宋体"/>
              </w:rPr>
            </w:pPr>
          </w:p>
        </w:tc>
      </w:tr>
    </w:tbl>
    <w:p w14:paraId="42A1425A" w14:textId="77777777" w:rsidR="00BB68E1" w:rsidRDefault="00BB68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8E1" w14:paraId="42A1425C" w14:textId="77777777">
        <w:trPr>
          <w:tblCellSpacing w:w="15" w:type="dxa"/>
        </w:trPr>
        <w:tc>
          <w:tcPr>
            <w:tcW w:w="0" w:type="auto"/>
            <w:shd w:val="clear" w:color="auto" w:fill="auto"/>
            <w:vAlign w:val="center"/>
          </w:tcPr>
          <w:p w14:paraId="42A1425B" w14:textId="77777777" w:rsidR="00BB68E1" w:rsidRDefault="00BB68E1">
            <w:pPr>
              <w:rPr>
                <w:rFonts w:ascii="宋体"/>
              </w:rPr>
            </w:pPr>
          </w:p>
        </w:tc>
      </w:tr>
    </w:tbl>
    <w:p w14:paraId="42A1425D" w14:textId="77777777" w:rsidR="00BB68E1" w:rsidRDefault="00BB68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8E1" w14:paraId="42A1425F" w14:textId="77777777">
        <w:trPr>
          <w:tblCellSpacing w:w="15" w:type="dxa"/>
        </w:trPr>
        <w:tc>
          <w:tcPr>
            <w:tcW w:w="0" w:type="auto"/>
            <w:shd w:val="clear" w:color="auto" w:fill="auto"/>
            <w:vAlign w:val="center"/>
          </w:tcPr>
          <w:p w14:paraId="42A1425E" w14:textId="77777777" w:rsidR="00BB68E1" w:rsidRDefault="00BB68E1">
            <w:pPr>
              <w:rPr>
                <w:rFonts w:ascii="宋体"/>
              </w:rPr>
            </w:pPr>
          </w:p>
        </w:tc>
      </w:tr>
    </w:tbl>
    <w:p w14:paraId="42A14260" w14:textId="77777777" w:rsidR="00BB68E1" w:rsidRDefault="00BB68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8E1" w14:paraId="42A14262" w14:textId="77777777">
        <w:trPr>
          <w:tblCellSpacing w:w="15" w:type="dxa"/>
        </w:trPr>
        <w:tc>
          <w:tcPr>
            <w:tcW w:w="0" w:type="auto"/>
            <w:shd w:val="clear" w:color="auto" w:fill="auto"/>
            <w:vAlign w:val="center"/>
          </w:tcPr>
          <w:p w14:paraId="42A14261" w14:textId="77777777" w:rsidR="00BB68E1" w:rsidRDefault="00BB68E1">
            <w:pPr>
              <w:rPr>
                <w:rFonts w:ascii="宋体"/>
              </w:rPr>
            </w:pPr>
          </w:p>
        </w:tc>
      </w:tr>
    </w:tbl>
    <w:p w14:paraId="42A14263" w14:textId="77777777" w:rsidR="00BB68E1" w:rsidRDefault="005D2D5E">
      <w:r>
        <w:rPr>
          <w:rFonts w:ascii="宋体" w:eastAsia="宋体" w:hAnsi="宋体" w:cs="宋体"/>
        </w:rPr>
        <w:t xml:space="preserve">Previous Next </w:t>
      </w:r>
    </w:p>
    <w:p w14:paraId="42A14264" w14:textId="77777777" w:rsidR="00BB68E1" w:rsidRDefault="005D2D5E">
      <w:pPr>
        <w:pStyle w:val="a3"/>
      </w:pPr>
      <w:r>
        <w:t xml:space="preserve">Nested Facts / </w:t>
      </w:r>
    </w:p>
    <w:p w14:paraId="42A14265" w14:textId="77777777" w:rsidR="00BB68E1" w:rsidRDefault="005D2D5E">
      <w:r>
        <w:rPr>
          <w:rFonts w:ascii="宋体" w:eastAsia="宋体" w:hAnsi="宋体" w:cs="宋体"/>
        </w:rPr>
        <w:t xml:space="preserve">Previous Next </w:t>
      </w:r>
    </w:p>
    <w:p w14:paraId="42A14266" w14:textId="77777777" w:rsidR="00BB68E1" w:rsidRDefault="005D2D5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2A142DF" wp14:editId="42A142E0">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8E1" w14:paraId="42A14268" w14:textId="77777777">
        <w:trPr>
          <w:tblCellSpacing w:w="15" w:type="dxa"/>
        </w:trPr>
        <w:tc>
          <w:tcPr>
            <w:tcW w:w="0" w:type="auto"/>
            <w:shd w:val="clear" w:color="auto" w:fill="auto"/>
            <w:vAlign w:val="center"/>
          </w:tcPr>
          <w:p w14:paraId="42A14267" w14:textId="77777777" w:rsidR="00BB68E1" w:rsidRDefault="00BB68E1">
            <w:pPr>
              <w:rPr>
                <w:rFonts w:ascii="宋体"/>
              </w:rPr>
            </w:pPr>
          </w:p>
        </w:tc>
      </w:tr>
    </w:tbl>
    <w:p w14:paraId="42A14269" w14:textId="77777777" w:rsidR="00BB68E1" w:rsidRDefault="00BB68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8E1" w14:paraId="42A1426B" w14:textId="77777777">
        <w:trPr>
          <w:tblCellSpacing w:w="15" w:type="dxa"/>
        </w:trPr>
        <w:tc>
          <w:tcPr>
            <w:tcW w:w="0" w:type="auto"/>
            <w:shd w:val="clear" w:color="auto" w:fill="auto"/>
            <w:vAlign w:val="center"/>
          </w:tcPr>
          <w:p w14:paraId="42A1426A" w14:textId="77777777" w:rsidR="00BB68E1" w:rsidRDefault="00BB68E1">
            <w:pPr>
              <w:rPr>
                <w:rFonts w:ascii="宋体"/>
              </w:rPr>
            </w:pPr>
          </w:p>
        </w:tc>
      </w:tr>
    </w:tbl>
    <w:p w14:paraId="42A1426C" w14:textId="77777777" w:rsidR="00BB68E1" w:rsidRDefault="00BB68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8E1" w14:paraId="42A1426E" w14:textId="77777777">
        <w:trPr>
          <w:tblCellSpacing w:w="15" w:type="dxa"/>
        </w:trPr>
        <w:tc>
          <w:tcPr>
            <w:tcW w:w="0" w:type="auto"/>
            <w:shd w:val="clear" w:color="auto" w:fill="auto"/>
            <w:vAlign w:val="center"/>
          </w:tcPr>
          <w:p w14:paraId="42A1426D" w14:textId="77777777" w:rsidR="00BB68E1" w:rsidRDefault="00BB68E1">
            <w:pPr>
              <w:rPr>
                <w:rFonts w:ascii="宋体"/>
              </w:rPr>
            </w:pPr>
          </w:p>
        </w:tc>
      </w:tr>
    </w:tbl>
    <w:p w14:paraId="42A1426F" w14:textId="77777777" w:rsidR="00BB68E1" w:rsidRDefault="00BB68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8E1" w14:paraId="42A14271" w14:textId="77777777">
        <w:trPr>
          <w:tblCellSpacing w:w="15" w:type="dxa"/>
        </w:trPr>
        <w:tc>
          <w:tcPr>
            <w:tcW w:w="0" w:type="auto"/>
            <w:shd w:val="clear" w:color="auto" w:fill="auto"/>
            <w:vAlign w:val="center"/>
          </w:tcPr>
          <w:p w14:paraId="42A14270" w14:textId="77777777" w:rsidR="00BB68E1" w:rsidRDefault="00BB68E1">
            <w:pPr>
              <w:rPr>
                <w:rFonts w:ascii="宋体"/>
              </w:rPr>
            </w:pPr>
          </w:p>
        </w:tc>
      </w:tr>
    </w:tbl>
    <w:p w14:paraId="42A14272" w14:textId="77777777" w:rsidR="00BB68E1" w:rsidRDefault="005D2D5E">
      <w:r>
        <w:rPr>
          <w:rFonts w:ascii="宋体" w:eastAsia="宋体" w:hAnsi="宋体" w:cs="宋体"/>
        </w:rPr>
        <w:t xml:space="preserve">Previous Next </w:t>
      </w:r>
    </w:p>
    <w:p w14:paraId="42A14273" w14:textId="77777777" w:rsidR="00BB68E1" w:rsidRDefault="00BB68E1"/>
    <w:sectPr w:rsidR="00BB68E1">
      <w:pgSz w:w="11906" w:h="16839"/>
      <w:pgMar w:top="1440" w:right="1800" w:bottom="1440" w:left="1800" w:header="851" w:footer="992"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5FA971"/>
    <w:rsid w:val="005D2D5E"/>
    <w:rsid w:val="00BB68E1"/>
    <w:rsid w:val="775FA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3"/>
    <o:shapelayout v:ext="edit">
      <o:idmap v:ext="edit" data="1"/>
    </o:shapelayout>
  </w:shapeDefaults>
  <w:decimalSymbol w:val="."/>
  <w:listSeparator w:val=","/>
  <w14:docId w14:val="42A107FC"/>
  <w15:docId w15:val="{92C46744-B7B1-4DE8-95F4-5FD60F7A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104169/000010416920000011/wmtform10-kx1312020.htm" TargetMode="External"/><Relationship Id="rId21" Type="http://schemas.openxmlformats.org/officeDocument/2006/relationships/hyperlink" Target="https://www.sec.gov/ix?doc=/Archives/edgar/data/0000104169/000010416920000011/wmtform10-kx1312020.htm" TargetMode="External"/><Relationship Id="rId42" Type="http://schemas.openxmlformats.org/officeDocument/2006/relationships/hyperlink" Target="https://www.sec.gov/ix?doc=/Archives/edgar/data/0000104169/000010416920000011/wmtform10-kx1312020.htm" TargetMode="External"/><Relationship Id="rId63" Type="http://schemas.openxmlformats.org/officeDocument/2006/relationships/hyperlink" Target="https://www.sec.gov/ix?doc=/Archives/edgar/data/0000104169/000010416920000011/wmtform10-kx1312020.htm" TargetMode="External"/><Relationship Id="rId84" Type="http://schemas.openxmlformats.org/officeDocument/2006/relationships/hyperlink" Target="https://www.sec.gov/ix?doc=/Archives/edgar/data/0000104169/000010416920000011/wmtform10-kx1312020.htm" TargetMode="External"/><Relationship Id="rId138" Type="http://schemas.openxmlformats.org/officeDocument/2006/relationships/hyperlink" Target="https://www.sec.gov/ix?doc=/Archives/edgar/data/0000104169/000010416920000011/wmtform10-kx1312020.htm" TargetMode="External"/><Relationship Id="rId159" Type="http://schemas.openxmlformats.org/officeDocument/2006/relationships/hyperlink" Target="http://www.sec.gov/Archives/edgar/data/104169/000010416917000021/wmt10w1312017.htm" TargetMode="External"/><Relationship Id="rId170" Type="http://schemas.openxmlformats.org/officeDocument/2006/relationships/hyperlink" Target="https://www.sec.gov/Archives/edgar/data/0000104169/000010416920000011/wmt3121312020.htm" TargetMode="External"/><Relationship Id="rId107" Type="http://schemas.openxmlformats.org/officeDocument/2006/relationships/hyperlink" Target="https://www.sec.gov/ix?doc=/Archives/edgar/data/0000104169/000010416920000011/wmtform10-kx1312020.htm" TargetMode="External"/><Relationship Id="rId11" Type="http://schemas.openxmlformats.org/officeDocument/2006/relationships/hyperlink" Target="https://www.sec.gov/ix?doc=/Archives/edgar/data/0000104169/000010416920000011/wmtform10-kx1312020.htm" TargetMode="External"/><Relationship Id="rId32" Type="http://schemas.openxmlformats.org/officeDocument/2006/relationships/hyperlink" Target="https://www.sec.gov/ix?doc=/Archives/edgar/data/0000104169/000010416920000011/wmtform10-kx1312020.htm" TargetMode="External"/><Relationship Id="rId53" Type="http://schemas.openxmlformats.org/officeDocument/2006/relationships/hyperlink" Target="https://www.sec.gov/ix?doc=/Archives/edgar/data/0000104169/000010416920000011/wmtform10-kx1312020.htm" TargetMode="External"/><Relationship Id="rId74" Type="http://schemas.openxmlformats.org/officeDocument/2006/relationships/hyperlink" Target="https://www.sec.gov/ix?doc=/Archives/edgar/data/0000104169/000010416920000011/wmtform10-kx1312020.htm" TargetMode="External"/><Relationship Id="rId128" Type="http://schemas.openxmlformats.org/officeDocument/2006/relationships/hyperlink" Target="https://www.sec.gov/ix?doc=/Archives/edgar/data/0000104169/000010416920000011/wmtform10-kx1312020.htm" TargetMode="External"/><Relationship Id="rId149" Type="http://schemas.openxmlformats.org/officeDocument/2006/relationships/hyperlink" Target="http://www.sec.gov/Archives/edgar/data/104169/000010416918000028/exhibit10c.htm" TargetMode="External"/><Relationship Id="rId5" Type="http://schemas.openxmlformats.org/officeDocument/2006/relationships/hyperlink" Target="https://www.sec.gov/ix?doc=/Archives/edgar/data/0000104169/000010416920000011/wmtform10-kx1312020.htm" TargetMode="External"/><Relationship Id="rId95" Type="http://schemas.openxmlformats.org/officeDocument/2006/relationships/hyperlink" Target="https://www.sec.gov/ix?doc=/Archives/edgar/data/0000104169/000010416920000011/wmtform10-kx1312020.htm" TargetMode="External"/><Relationship Id="rId160" Type="http://schemas.openxmlformats.org/officeDocument/2006/relationships/hyperlink" Target="http://www.sec.gov/Archives/edgar/data/104169/000010416917000021/wmt10x1312017.htm" TargetMode="External"/><Relationship Id="rId22" Type="http://schemas.openxmlformats.org/officeDocument/2006/relationships/hyperlink" Target="https://www.sec.gov/ix?doc=/Archives/edgar/data/0000104169/000010416920000011/wmtform10-kx1312020.htm" TargetMode="External"/><Relationship Id="rId43" Type="http://schemas.openxmlformats.org/officeDocument/2006/relationships/hyperlink" Target="https://www.sec.gov/ix?doc=/Archives/edgar/data/0000104169/000010416920000011/wmtform10-kx1312020.htm" TargetMode="External"/><Relationship Id="rId64" Type="http://schemas.openxmlformats.org/officeDocument/2006/relationships/hyperlink" Target="https://www.sec.gov/ix?doc=/Archives/edgar/data/0000104169/000010416920000011/wmtform10-kx1312020.htm" TargetMode="External"/><Relationship Id="rId118" Type="http://schemas.openxmlformats.org/officeDocument/2006/relationships/hyperlink" Target="https://www.sec.gov/ix?doc=/Archives/edgar/data/0000104169/000010416920000011/wmtform10-kx1312020.htm" TargetMode="External"/><Relationship Id="rId139" Type="http://schemas.openxmlformats.org/officeDocument/2006/relationships/hyperlink" Target="http://www.sec.gov/Archives/edgar/data/104169/000010416918000013/exhibit31-212018.htm" TargetMode="External"/><Relationship Id="rId85" Type="http://schemas.openxmlformats.org/officeDocument/2006/relationships/hyperlink" Target="https://www.sec.gov/ix?doc=/Archives/edgar/data/0000104169/000010416920000011/wmtform10-kx1312020.htm" TargetMode="External"/><Relationship Id="rId150" Type="http://schemas.openxmlformats.org/officeDocument/2006/relationships/hyperlink" Target="http://www.sec.gov/Archives/edgar/data/104169/000010416918000028/exhibit10d.htm" TargetMode="External"/><Relationship Id="rId171" Type="http://schemas.openxmlformats.org/officeDocument/2006/relationships/hyperlink" Target="https://www.sec.gov/Archives/edgar/data/0000104169/000010416920000011/wmt3211302020.htm" TargetMode="External"/><Relationship Id="rId12" Type="http://schemas.openxmlformats.org/officeDocument/2006/relationships/hyperlink" Target="https://www.sec.gov/ix?doc=/Archives/edgar/data/0000104169/000010416920000011/wmtform10-kx1312020.htm" TargetMode="External"/><Relationship Id="rId33" Type="http://schemas.openxmlformats.org/officeDocument/2006/relationships/hyperlink" Target="https://www.sec.gov/ix?doc=/Archives/edgar/data/0000104169/000010416920000011/wmtform10-kx1312020.htm" TargetMode="External"/><Relationship Id="rId108" Type="http://schemas.openxmlformats.org/officeDocument/2006/relationships/hyperlink" Target="https://www.sec.gov/ix?doc=/Archives/edgar/data/0000104169/000010416920000011/wmtform10-kx1312020.htm" TargetMode="External"/><Relationship Id="rId129" Type="http://schemas.openxmlformats.org/officeDocument/2006/relationships/hyperlink" Target="https://www.sec.gov/ix?doc=/Archives/edgar/data/0000104169/000010416920000011/wmtform10-kx1312020.htm" TargetMode="External"/><Relationship Id="rId54" Type="http://schemas.openxmlformats.org/officeDocument/2006/relationships/hyperlink" Target="https://www.sec.gov/ix?doc=/Archives/edgar/data/0000104169/000010416920000011/wmtform10-kx1312020.htm" TargetMode="External"/><Relationship Id="rId75" Type="http://schemas.openxmlformats.org/officeDocument/2006/relationships/hyperlink" Target="https://www.sec.gov/ix?doc=/Archives/edgar/data/0000104169/000010416920000011/wmtform10-kx1312020.htm" TargetMode="External"/><Relationship Id="rId96" Type="http://schemas.openxmlformats.org/officeDocument/2006/relationships/hyperlink" Target="https://www.sec.gov/ix?doc=/Archives/edgar/data/0000104169/000010416920000011/wmtform10-kx1312020.htm" TargetMode="External"/><Relationship Id="rId140" Type="http://schemas.openxmlformats.org/officeDocument/2006/relationships/hyperlink" Target="http://www.sec.gov/Archives/edgar/data/104169/000010416918000013/exhibit32-212018.htm" TargetMode="External"/><Relationship Id="rId161" Type="http://schemas.openxmlformats.org/officeDocument/2006/relationships/hyperlink" Target="https://www.sec.gov/Archives/edgar/data/104169/000010416919000064/wmtexhibit101.htm" TargetMode="External"/><Relationship Id="rId1" Type="http://schemas.openxmlformats.org/officeDocument/2006/relationships/styles" Target="styles.xml"/><Relationship Id="rId6" Type="http://schemas.openxmlformats.org/officeDocument/2006/relationships/hyperlink" Target="https://www.sec.gov/ix?doc=/Archives/edgar/data/0000104169/000010416920000011/wmtform10-kx1312020.htm" TargetMode="External"/><Relationship Id="rId23" Type="http://schemas.openxmlformats.org/officeDocument/2006/relationships/hyperlink" Target="https://www.sec.gov/ix?doc=/Archives/edgar/data/0000104169/000010416920000011/wmtform10-kx1312020.htm" TargetMode="External"/><Relationship Id="rId28" Type="http://schemas.openxmlformats.org/officeDocument/2006/relationships/hyperlink" Target="https://www.sec.gov/ix?doc=/Archives/edgar/data/0000104169/000010416920000011/wmtform10-kx1312020.htm" TargetMode="External"/><Relationship Id="rId49" Type="http://schemas.openxmlformats.org/officeDocument/2006/relationships/hyperlink" Target="https://www.sec.gov/ix?doc=/Archives/edgar/data/0000104169/000010416920000011/wmtform10-kx1312020.htm" TargetMode="External"/><Relationship Id="rId114" Type="http://schemas.openxmlformats.org/officeDocument/2006/relationships/hyperlink" Target="https://www.sec.gov/ix?doc=/Archives/edgar/data/0000104169/000010416920000011/wmtform10-kx1312020.htm" TargetMode="External"/><Relationship Id="rId119" Type="http://schemas.openxmlformats.org/officeDocument/2006/relationships/hyperlink" Target="https://www.sec.gov/ix?doc=/Archives/edgar/data/0000104169/000010416920000011/wmtform10-kx1312020.htm" TargetMode="External"/><Relationship Id="rId44" Type="http://schemas.openxmlformats.org/officeDocument/2006/relationships/hyperlink" Target="https://www.sec.gov/ix?doc=/Archives/edgar/data/0000104169/000010416920000011/wmtform10-kx1312020.htm" TargetMode="External"/><Relationship Id="rId60" Type="http://schemas.openxmlformats.org/officeDocument/2006/relationships/hyperlink" Target="https://www.sec.gov/ix?doc=/Archives/edgar/data/0000104169/000010416920000011/wmtform10-kx1312020.htm" TargetMode="External"/><Relationship Id="rId65" Type="http://schemas.openxmlformats.org/officeDocument/2006/relationships/hyperlink" Target="https://www.sec.gov/ix?doc=/Archives/edgar/data/0000104169/000010416920000011/wmtform10-kx1312020.htm" TargetMode="External"/><Relationship Id="rId81" Type="http://schemas.openxmlformats.org/officeDocument/2006/relationships/hyperlink" Target="https://www.sec.gov/ix?doc=/Archives/edgar/data/0000104169/000010416920000011/wmtform10-kx1312020.htm" TargetMode="External"/><Relationship Id="rId86" Type="http://schemas.openxmlformats.org/officeDocument/2006/relationships/hyperlink" Target="https://www.sec.gov/ix?doc=/Archives/edgar/data/0000104169/000010416920000011/wmtform10-kx1312020.htm" TargetMode="External"/><Relationship Id="rId130" Type="http://schemas.openxmlformats.org/officeDocument/2006/relationships/hyperlink" Target="https://www.sec.gov/ix?doc=/Archives/edgar/data/0000104169/000010416920000011/wmtform10-kx1312020.htm" TargetMode="External"/><Relationship Id="rId135" Type="http://schemas.openxmlformats.org/officeDocument/2006/relationships/hyperlink" Target="https://www.sec.gov/ix?doc=/Archives/edgar/data/0000104169/000010416920000011/wmtform10-kx1312020.htm" TargetMode="External"/><Relationship Id="rId151" Type="http://schemas.openxmlformats.org/officeDocument/2006/relationships/hyperlink" Target="http://www.sec.gov/Archives/edgar/data/104169/000010416918000028/exhibit10e.htm" TargetMode="External"/><Relationship Id="rId156" Type="http://schemas.openxmlformats.org/officeDocument/2006/relationships/hyperlink" Target="https://www.sec.gov/Archives/edgar/data/0000104169/000010416920000011/exhibit109.htm" TargetMode="External"/><Relationship Id="rId172" Type="http://schemas.openxmlformats.org/officeDocument/2006/relationships/hyperlink" Target="https://www.sec.gov/Archives/edgar/data/0000104169/000010416920000011/wmt3221312020.htm" TargetMode="External"/><Relationship Id="rId13" Type="http://schemas.openxmlformats.org/officeDocument/2006/relationships/hyperlink" Target="https://www.sec.gov/ix?doc=/Archives/edgar/data/0000104169/000010416920000011/wmtform10-kx1312020.htm" TargetMode="External"/><Relationship Id="rId18" Type="http://schemas.openxmlformats.org/officeDocument/2006/relationships/hyperlink" Target="https://www.sec.gov/ix?doc=/Archives/edgar/data/0000104169/000010416920000011/wmtform10-kx1312020.htm" TargetMode="External"/><Relationship Id="rId39" Type="http://schemas.openxmlformats.org/officeDocument/2006/relationships/hyperlink" Target="https://www.sec.gov/ix?doc=/Archives/edgar/data/0000104169/000010416920000011/wmtform10-kx1312020.htm" TargetMode="External"/><Relationship Id="rId109" Type="http://schemas.openxmlformats.org/officeDocument/2006/relationships/hyperlink" Target="https://www.sec.gov/ix?doc=/Archives/edgar/data/0000104169/000010416920000011/wmtform10-kx1312020.htm" TargetMode="External"/><Relationship Id="rId34" Type="http://schemas.openxmlformats.org/officeDocument/2006/relationships/hyperlink" Target="https://www.sec.gov/ix?doc=/Archives/edgar/data/0000104169/000010416920000011/wmtform10-kx1312020.htm" TargetMode="External"/><Relationship Id="rId50" Type="http://schemas.openxmlformats.org/officeDocument/2006/relationships/hyperlink" Target="https://www.sec.gov/ix?doc=/Archives/edgar/data/0000104169/000010416920000011/wmtform10-kx1312020.htm" TargetMode="External"/><Relationship Id="rId55" Type="http://schemas.openxmlformats.org/officeDocument/2006/relationships/hyperlink" Target="https://www.sec.gov/ix?doc=/Archives/edgar/data/0000104169/000010416920000011/wmtform10-kx1312020.htm" TargetMode="External"/><Relationship Id="rId76" Type="http://schemas.openxmlformats.org/officeDocument/2006/relationships/hyperlink" Target="https://www.sec.gov/ix?doc=/Archives/edgar/data/0000104169/000010416920000011/wmtform10-kx1312020.htm" TargetMode="External"/><Relationship Id="rId97" Type="http://schemas.openxmlformats.org/officeDocument/2006/relationships/hyperlink" Target="https://www.sec.gov/ix?doc=/Archives/edgar/data/0000104169/000010416920000011/wmtform10-kx1312020.htm" TargetMode="External"/><Relationship Id="rId104" Type="http://schemas.openxmlformats.org/officeDocument/2006/relationships/hyperlink" Target="https://www.sec.gov/ix?doc=/Archives/edgar/data/0000104169/000010416920000011/wmtform10-kx1312020.htm" TargetMode="External"/><Relationship Id="rId120" Type="http://schemas.openxmlformats.org/officeDocument/2006/relationships/hyperlink" Target="https://www.sec.gov/ix?doc=/Archives/edgar/data/0000104169/000010416920000011/wmtform10-kx1312020.htm" TargetMode="External"/><Relationship Id="rId125" Type="http://schemas.openxmlformats.org/officeDocument/2006/relationships/hyperlink" Target="https://www.sec.gov/ix?doc=/Archives/edgar/data/0000104169/000010416920000011/wmtform10-kx1312020.htm" TargetMode="External"/><Relationship Id="rId141" Type="http://schemas.openxmlformats.org/officeDocument/2006/relationships/hyperlink" Target="http://www.sec.gov/Archives/edgar/data/104169/000093066102004320/dex45.txt" TargetMode="External"/><Relationship Id="rId146" Type="http://schemas.openxmlformats.org/officeDocument/2006/relationships/hyperlink" Target="https://www.sec.gov/Archives/edgar/data/0000104169/000010416920000011/exhibit48.htm" TargetMode="External"/><Relationship Id="rId167" Type="http://schemas.openxmlformats.org/officeDocument/2006/relationships/hyperlink" Target="https://www.sec.gov/Archives/edgar/data/0000104169/000010416920000011/wmt211312020.htm" TargetMode="External"/><Relationship Id="rId7" Type="http://schemas.openxmlformats.org/officeDocument/2006/relationships/hyperlink" Target="https://www.sec.gov/ix?doc=/Archives/edgar/data/0000104169/000010416920000011/wmtform10-kx1312020.htm" TargetMode="External"/><Relationship Id="rId71" Type="http://schemas.openxmlformats.org/officeDocument/2006/relationships/hyperlink" Target="https://www.sec.gov/ix?doc=/Archives/edgar/data/0000104169/000010416920000011/wmtform10-kx1312020.htm" TargetMode="External"/><Relationship Id="rId92" Type="http://schemas.openxmlformats.org/officeDocument/2006/relationships/hyperlink" Target="https://www.sec.gov/ix?doc=/Archives/edgar/data/0000104169/000010416920000011/wmtform10-kx1312020.htm" TargetMode="External"/><Relationship Id="rId162" Type="http://schemas.openxmlformats.org/officeDocument/2006/relationships/hyperlink" Target="https://www.sec.gov/Archives/edgar/data/104169/000010416919000064/wmtexhibit102.htm" TargetMode="External"/><Relationship Id="rId2" Type="http://schemas.openxmlformats.org/officeDocument/2006/relationships/settings" Target="settings.xml"/><Relationship Id="rId29" Type="http://schemas.openxmlformats.org/officeDocument/2006/relationships/hyperlink" Target="https://www.sec.gov/ix?doc=/Archives/edgar/data/0000104169/000010416920000011/wmtform10-kx1312020.htm" TargetMode="External"/><Relationship Id="rId24" Type="http://schemas.openxmlformats.org/officeDocument/2006/relationships/hyperlink" Target="https://www.sec.gov/ix?doc=/Archives/edgar/data/0000104169/000010416920000011/wmtform10-kx1312020.htm" TargetMode="External"/><Relationship Id="rId40" Type="http://schemas.openxmlformats.org/officeDocument/2006/relationships/hyperlink" Target="https://www.sec.gov/ix?doc=/Archives/edgar/data/0000104169/000010416920000011/wmtform10-kx1312020.htm" TargetMode="External"/><Relationship Id="rId45" Type="http://schemas.openxmlformats.org/officeDocument/2006/relationships/hyperlink" Target="https://www.sec.gov/ix?doc=/Archives/edgar/data/0000104169/000010416920000011/wmtform10-kx1312020.htm" TargetMode="External"/><Relationship Id="rId66" Type="http://schemas.openxmlformats.org/officeDocument/2006/relationships/hyperlink" Target="https://www.sec.gov/ix?doc=/Archives/edgar/data/0000104169/000010416920000011/wmtform10-kx1312020.htm" TargetMode="External"/><Relationship Id="rId87" Type="http://schemas.openxmlformats.org/officeDocument/2006/relationships/hyperlink" Target="https://www.sec.gov/ix?doc=/Archives/edgar/data/0000104169/000010416920000011/wmtform10-kx1312020.htm" TargetMode="External"/><Relationship Id="rId110" Type="http://schemas.openxmlformats.org/officeDocument/2006/relationships/hyperlink" Target="https://www.sec.gov/ix?doc=/Archives/edgar/data/0000104169/000010416920000011/wmtform10-kx1312020.htm" TargetMode="External"/><Relationship Id="rId115" Type="http://schemas.openxmlformats.org/officeDocument/2006/relationships/hyperlink" Target="https://www.sec.gov/ix?doc=/Archives/edgar/data/0000104169/000010416920000011/wmtform10-kx1312020.htm" TargetMode="External"/><Relationship Id="rId131" Type="http://schemas.openxmlformats.org/officeDocument/2006/relationships/hyperlink" Target="https://www.sec.gov/ix?doc=/Archives/edgar/data/0000104169/000010416920000011/wmtform10-kx1312020.htm" TargetMode="External"/><Relationship Id="rId136" Type="http://schemas.openxmlformats.org/officeDocument/2006/relationships/hyperlink" Target="https://www.sec.gov/ix?doc=/Archives/edgar/data/0000104169/000010416920000011/wmtform10-kx1312020.htm" TargetMode="External"/><Relationship Id="rId157" Type="http://schemas.openxmlformats.org/officeDocument/2006/relationships/hyperlink" Target="http://www.sec.gov/Archives/edgar/data/104169/000010416916000140/wmt10a10312016.htm" TargetMode="External"/><Relationship Id="rId61" Type="http://schemas.openxmlformats.org/officeDocument/2006/relationships/hyperlink" Target="https://www.sec.gov/ix?doc=/Archives/edgar/data/0000104169/000010416920000011/wmtform10-kx1312020.htm" TargetMode="External"/><Relationship Id="rId82" Type="http://schemas.openxmlformats.org/officeDocument/2006/relationships/hyperlink" Target="https://www.sec.gov/ix?doc=/Archives/edgar/data/0000104169/000010416920000011/wmtform10-kx1312020.htm" TargetMode="External"/><Relationship Id="rId152" Type="http://schemas.openxmlformats.org/officeDocument/2006/relationships/hyperlink" Target="http://www.sec.gov/Archives/edgar/data/104169/000010416918000028/exhibit10f.htm" TargetMode="External"/><Relationship Id="rId173" Type="http://schemas.openxmlformats.org/officeDocument/2006/relationships/hyperlink" Target="https://www.sec.gov/Archives/edgar/data/0000104169/000010416920000011/wmt9911312020.htm" TargetMode="External"/><Relationship Id="rId19" Type="http://schemas.openxmlformats.org/officeDocument/2006/relationships/hyperlink" Target="https://www.sec.gov/ix?doc=/Archives/edgar/data/0000104169/000010416920000011/wmtform10-kx1312020.htm" TargetMode="External"/><Relationship Id="rId14" Type="http://schemas.openxmlformats.org/officeDocument/2006/relationships/hyperlink" Target="https://www.sec.gov/ix?doc=/Archives/edgar/data/0000104169/000010416920000011/wmtform10-kx1312020.htm" TargetMode="External"/><Relationship Id="rId30" Type="http://schemas.openxmlformats.org/officeDocument/2006/relationships/hyperlink" Target="https://www.sec.gov/ix?doc=/Archives/edgar/data/0000104169/000010416920000011/wmtform10-kx1312020.htm" TargetMode="External"/><Relationship Id="rId35" Type="http://schemas.openxmlformats.org/officeDocument/2006/relationships/hyperlink" Target="https://www.sec.gov/ix?doc=/Archives/edgar/data/0000104169/000010416920000011/wmtform10-kx1312020.htm" TargetMode="External"/><Relationship Id="rId56" Type="http://schemas.openxmlformats.org/officeDocument/2006/relationships/hyperlink" Target="https://www.sec.gov/ix?doc=/Archives/edgar/data/0000104169/000010416920000011/wmtform10-kx1312020.htm" TargetMode="External"/><Relationship Id="rId77" Type="http://schemas.openxmlformats.org/officeDocument/2006/relationships/hyperlink" Target="https://www.sec.gov/ix?doc=/Archives/edgar/data/0000104169/000010416920000011/wmtform10-kx1312020.htm" TargetMode="External"/><Relationship Id="rId100" Type="http://schemas.openxmlformats.org/officeDocument/2006/relationships/hyperlink" Target="https://www.sec.gov/ix?doc=/Archives/edgar/data/0000104169/000010416920000011/wmtform10-kx1312020.htm" TargetMode="External"/><Relationship Id="rId105" Type="http://schemas.openxmlformats.org/officeDocument/2006/relationships/hyperlink" Target="https://www.sec.gov/ix?doc=/Archives/edgar/data/0000104169/000010416920000011/wmtform10-kx1312020.htm" TargetMode="External"/><Relationship Id="rId126" Type="http://schemas.openxmlformats.org/officeDocument/2006/relationships/hyperlink" Target="https://www.sec.gov/ix?doc=/Archives/edgar/data/0000104169/000010416920000011/wmtform10-kx1312020.htm" TargetMode="External"/><Relationship Id="rId147" Type="http://schemas.openxmlformats.org/officeDocument/2006/relationships/hyperlink" Target="https://www.sec.gov/Archives/edgar/data/104169/000010416919000016/exhibit10a1312019.htm" TargetMode="External"/><Relationship Id="rId168" Type="http://schemas.openxmlformats.org/officeDocument/2006/relationships/hyperlink" Target="https://www.sec.gov/Archives/edgar/data/0000104169/000010416920000011/wmt231312020.htm" TargetMode="External"/><Relationship Id="rId8" Type="http://schemas.openxmlformats.org/officeDocument/2006/relationships/hyperlink" Target="https://www.sec.gov/ix?doc=/Archives/edgar/data/0000104169/000010416920000011/wmtform10-kx1312020.htm" TargetMode="External"/><Relationship Id="rId51" Type="http://schemas.openxmlformats.org/officeDocument/2006/relationships/hyperlink" Target="https://www.sec.gov/ix?doc=/Archives/edgar/data/0000104169/000010416920000011/wmtform10-kx1312020.htm" TargetMode="External"/><Relationship Id="rId72" Type="http://schemas.openxmlformats.org/officeDocument/2006/relationships/hyperlink" Target="https://www.sec.gov/ix?doc=/Archives/edgar/data/0000104169/000010416920000011/wmtform10-kx1312020.htm" TargetMode="External"/><Relationship Id="rId93" Type="http://schemas.openxmlformats.org/officeDocument/2006/relationships/hyperlink" Target="https://www.sec.gov/ix?doc=/Archives/edgar/data/0000104169/000010416920000011/wmtform10-kx1312020.htm" TargetMode="External"/><Relationship Id="rId98" Type="http://schemas.openxmlformats.org/officeDocument/2006/relationships/hyperlink" Target="https://www.sec.gov/ix?doc=/Archives/edgar/data/0000104169/000010416920000011/wmtform10-kx1312020.htm" TargetMode="External"/><Relationship Id="rId121" Type="http://schemas.openxmlformats.org/officeDocument/2006/relationships/hyperlink" Target="https://www.sec.gov/ix?doc=/Archives/edgar/data/0000104169/000010416920000011/wmtform10-kx1312020.htm" TargetMode="External"/><Relationship Id="rId142" Type="http://schemas.openxmlformats.org/officeDocument/2006/relationships/hyperlink" Target="http://www.sec.gov/Archives/edgar/data/104169/000119312505140337/dex45.htm" TargetMode="External"/><Relationship Id="rId163" Type="http://schemas.openxmlformats.org/officeDocument/2006/relationships/hyperlink" Target="https://www.sec.gov/Archives/edgar/data/0000104169/000010416920000011/exhibit1016.htm" TargetMode="External"/><Relationship Id="rId3" Type="http://schemas.openxmlformats.org/officeDocument/2006/relationships/webSettings" Target="webSettings.xml"/><Relationship Id="rId25" Type="http://schemas.openxmlformats.org/officeDocument/2006/relationships/hyperlink" Target="https://www.sec.gov/ix?doc=/Archives/edgar/data/0000104169/000010416920000011/wmtform10-kx1312020.htm" TargetMode="External"/><Relationship Id="rId46" Type="http://schemas.openxmlformats.org/officeDocument/2006/relationships/hyperlink" Target="https://www.sec.gov/ix?doc=/Archives/edgar/data/0000104169/000010416920000011/wmtform10-kx1312020.htm" TargetMode="External"/><Relationship Id="rId67" Type="http://schemas.openxmlformats.org/officeDocument/2006/relationships/hyperlink" Target="https://www.sec.gov/ix?doc=/Archives/edgar/data/0000104169/000010416920000011/wmtform10-kx1312020.htm" TargetMode="External"/><Relationship Id="rId116" Type="http://schemas.openxmlformats.org/officeDocument/2006/relationships/hyperlink" Target="https://www.sec.gov/ix?doc=/Archives/edgar/data/0000104169/000010416920000011/wmtform10-kx1312020.htm" TargetMode="External"/><Relationship Id="rId137" Type="http://schemas.openxmlformats.org/officeDocument/2006/relationships/hyperlink" Target="https://www.sec.gov/ix?doc=/Archives/edgar/data/0000104169/000010416920000011/wmtform10-kx1312020.htm" TargetMode="External"/><Relationship Id="rId158" Type="http://schemas.openxmlformats.org/officeDocument/2006/relationships/hyperlink" Target="http://www.sec.gov/Archives/edgar/data/104169/000010416917000021/wmt10v1312017.htm" TargetMode="External"/><Relationship Id="rId20" Type="http://schemas.openxmlformats.org/officeDocument/2006/relationships/hyperlink" Target="https://www.sec.gov/ix?doc=/Archives/edgar/data/0000104169/000010416920000011/wmtform10-kx1312020.htm" TargetMode="External"/><Relationship Id="rId41" Type="http://schemas.openxmlformats.org/officeDocument/2006/relationships/hyperlink" Target="https://www.sec.gov/ix?doc=/Archives/edgar/data/0000104169/000010416920000011/wmtform10-kx1312020.htm" TargetMode="External"/><Relationship Id="rId62" Type="http://schemas.openxmlformats.org/officeDocument/2006/relationships/hyperlink" Target="https://www.sec.gov/ix?doc=/Archives/edgar/data/0000104169/000010416920000011/wmtform10-kx1312020.htm" TargetMode="External"/><Relationship Id="rId83" Type="http://schemas.openxmlformats.org/officeDocument/2006/relationships/hyperlink" Target="https://www.sec.gov/ix?doc=/Archives/edgar/data/0000104169/000010416920000011/wmtform10-kx1312020.htm" TargetMode="External"/><Relationship Id="rId88" Type="http://schemas.openxmlformats.org/officeDocument/2006/relationships/hyperlink" Target="https://www.sec.gov/ix?doc=/Archives/edgar/data/0000104169/000010416920000011/wmtform10-kx1312020.htm" TargetMode="External"/><Relationship Id="rId111" Type="http://schemas.openxmlformats.org/officeDocument/2006/relationships/hyperlink" Target="https://www.sec.gov/ix?doc=/Archives/edgar/data/0000104169/000010416920000011/wmtform10-kx1312020.htm" TargetMode="External"/><Relationship Id="rId132" Type="http://schemas.openxmlformats.org/officeDocument/2006/relationships/hyperlink" Target="https://www.sec.gov/ix?doc=/Archives/edgar/data/0000104169/000010416920000011/wmtform10-kx1312020.htm" TargetMode="External"/><Relationship Id="rId153" Type="http://schemas.openxmlformats.org/officeDocument/2006/relationships/hyperlink" Target="http://www.sec.gov/Archives/edgar/data/104169/000119312511083157/dex10p.htm" TargetMode="External"/><Relationship Id="rId174" Type="http://schemas.openxmlformats.org/officeDocument/2006/relationships/fontTable" Target="fontTable.xml"/><Relationship Id="rId15" Type="http://schemas.openxmlformats.org/officeDocument/2006/relationships/hyperlink" Target="https://www.sec.gov/ix?doc=/Archives/edgar/data/0000104169/000010416920000011/wmtform10-kx1312020.htm" TargetMode="External"/><Relationship Id="rId36" Type="http://schemas.openxmlformats.org/officeDocument/2006/relationships/hyperlink" Target="https://www.sec.gov/ix?doc=/Archives/edgar/data/0000104169/000010416920000011/wmtform10-kx1312020.htm" TargetMode="External"/><Relationship Id="rId57" Type="http://schemas.openxmlformats.org/officeDocument/2006/relationships/hyperlink" Target="https://www.sec.gov/ix?doc=/Archives/edgar/data/0000104169/000010416920000011/wmtform10-kx1312020.htm" TargetMode="External"/><Relationship Id="rId106" Type="http://schemas.openxmlformats.org/officeDocument/2006/relationships/hyperlink" Target="https://www.sec.gov/ix?doc=/Archives/edgar/data/0000104169/000010416920000011/wmtform10-kx1312020.htm" TargetMode="External"/><Relationship Id="rId127" Type="http://schemas.openxmlformats.org/officeDocument/2006/relationships/hyperlink" Target="https://www.sec.gov/ix?doc=/Archives/edgar/data/0000104169/000010416920000011/wmtform10-kx1312020.htm" TargetMode="External"/><Relationship Id="rId10" Type="http://schemas.openxmlformats.org/officeDocument/2006/relationships/hyperlink" Target="https://www.sec.gov/ix?doc=/Archives/edgar/data/0000104169/000010416920000011/wmtform10-kx1312020.htm" TargetMode="External"/><Relationship Id="rId31" Type="http://schemas.openxmlformats.org/officeDocument/2006/relationships/hyperlink" Target="https://www.sec.gov/ix?doc=/Archives/edgar/data/0000104169/000010416920000011/wmtform10-kx1312020.htm" TargetMode="External"/><Relationship Id="rId52" Type="http://schemas.openxmlformats.org/officeDocument/2006/relationships/hyperlink" Target="https://www.sec.gov/ix?doc=/Archives/edgar/data/0000104169/000010416920000011/wmtform10-kx1312020.htm" TargetMode="External"/><Relationship Id="rId73" Type="http://schemas.openxmlformats.org/officeDocument/2006/relationships/hyperlink" Target="https://www.sec.gov/ix?doc=/Archives/edgar/data/0000104169/000010416920000011/wmtform10-kx1312020.htm" TargetMode="External"/><Relationship Id="rId78" Type="http://schemas.openxmlformats.org/officeDocument/2006/relationships/hyperlink" Target="https://www.sec.gov/ix?doc=/Archives/edgar/data/0000104169/000010416920000011/wmtform10-kx1312020.htm" TargetMode="External"/><Relationship Id="rId94" Type="http://schemas.openxmlformats.org/officeDocument/2006/relationships/hyperlink" Target="https://www.sec.gov/ix?doc=/Archives/edgar/data/0000104169/000010416920000011/wmtform10-kx1312020.htm" TargetMode="External"/><Relationship Id="rId99" Type="http://schemas.openxmlformats.org/officeDocument/2006/relationships/hyperlink" Target="https://www.sec.gov/ix?doc=/Archives/edgar/data/0000104169/000010416920000011/wmtform10-kx1312020.htm" TargetMode="External"/><Relationship Id="rId101" Type="http://schemas.openxmlformats.org/officeDocument/2006/relationships/hyperlink" Target="https://www.sec.gov/ix?doc=/Archives/edgar/data/0000104169/000010416920000011/wmtform10-kx1312020.htm" TargetMode="External"/><Relationship Id="rId122" Type="http://schemas.openxmlformats.org/officeDocument/2006/relationships/hyperlink" Target="https://www.sec.gov/ix?doc=/Archives/edgar/data/0000104169/000010416920000011/wmtform10-kx1312020.htm" TargetMode="External"/><Relationship Id="rId143" Type="http://schemas.openxmlformats.org/officeDocument/2006/relationships/hyperlink" Target="http://www.sec.gov/Archives/edgar/data/104169/000119312506248692/dex46.htm" TargetMode="External"/><Relationship Id="rId148" Type="http://schemas.openxmlformats.org/officeDocument/2006/relationships/hyperlink" Target="http://www.sec.gov/Archives/edgar/data/104169/000010416918000028/exhibit10b.htm" TargetMode="External"/><Relationship Id="rId164" Type="http://schemas.openxmlformats.org/officeDocument/2006/relationships/hyperlink" Target="https://www.sec.gov/Archives/edgar/data/0000104169/000010416920000011/exhibit1017.htm" TargetMode="External"/><Relationship Id="rId169" Type="http://schemas.openxmlformats.org/officeDocument/2006/relationships/hyperlink" Target="https://www.sec.gov/Archives/edgar/data/0000104169/000010416920000011/wmt3111312020.htm" TargetMode="External"/><Relationship Id="rId9" Type="http://schemas.openxmlformats.org/officeDocument/2006/relationships/hyperlink" Target="https://www.sec.gov/ix?doc=/Archives/edgar/data/0000104169/000010416920000011/wmtform10-kx1312020.htm" TargetMode="External"/><Relationship Id="rId26" Type="http://schemas.openxmlformats.org/officeDocument/2006/relationships/hyperlink" Target="https://www.sec.gov/ix?doc=/Archives/edgar/data/0000104169/000010416920000011/wmtform10-kx1312020.htm" TargetMode="External"/><Relationship Id="rId47" Type="http://schemas.openxmlformats.org/officeDocument/2006/relationships/hyperlink" Target="https://www.sec.gov/ix?doc=/Archives/edgar/data/0000104169/000010416920000011/wmtform10-kx1312020.htm" TargetMode="External"/><Relationship Id="rId68" Type="http://schemas.openxmlformats.org/officeDocument/2006/relationships/hyperlink" Target="https://www.sec.gov/ix?doc=/Archives/edgar/data/0000104169/000010416920000011/wmtform10-kx1312020.htm" TargetMode="External"/><Relationship Id="rId89" Type="http://schemas.openxmlformats.org/officeDocument/2006/relationships/hyperlink" Target="https://www.sec.gov/ix?doc=/Archives/edgar/data/0000104169/000010416920000011/wmtform10-kx1312020.htm" TargetMode="External"/><Relationship Id="rId112" Type="http://schemas.openxmlformats.org/officeDocument/2006/relationships/hyperlink" Target="https://www.sec.gov/ix?doc=/Archives/edgar/data/0000104169/000010416920000011/wmtform10-kx1312020.htm" TargetMode="External"/><Relationship Id="rId133" Type="http://schemas.openxmlformats.org/officeDocument/2006/relationships/hyperlink" Target="https://www.sec.gov/ix?doc=/Archives/edgar/data/0000104169/000010416920000011/wmtform10-kx1312020.htm" TargetMode="External"/><Relationship Id="rId154" Type="http://schemas.openxmlformats.org/officeDocument/2006/relationships/hyperlink" Target="https://www.sec.gov/Archives/edgar/data/0000104169/000010416920000011/exhibit107a.htm" TargetMode="External"/><Relationship Id="rId175" Type="http://schemas.openxmlformats.org/officeDocument/2006/relationships/theme" Target="theme/theme1.xml"/><Relationship Id="rId16" Type="http://schemas.openxmlformats.org/officeDocument/2006/relationships/hyperlink" Target="https://www.sec.gov/ix?doc=/Archives/edgar/data/0000104169/000010416920000011/wmtform10-kx1312020.htm" TargetMode="External"/><Relationship Id="rId37" Type="http://schemas.openxmlformats.org/officeDocument/2006/relationships/hyperlink" Target="https://www.sec.gov/ix?doc=/Archives/edgar/data/0000104169/000010416920000011/wmtform10-kx1312020.htm" TargetMode="External"/><Relationship Id="rId58" Type="http://schemas.openxmlformats.org/officeDocument/2006/relationships/hyperlink" Target="https://www.sec.gov/ix?doc=/Archives/edgar/data/0000104169/000010416920000011/wmtform10-kx1312020.htm" TargetMode="External"/><Relationship Id="rId79" Type="http://schemas.openxmlformats.org/officeDocument/2006/relationships/hyperlink" Target="https://www.sec.gov/ix?doc=/Archives/edgar/data/0000104169/000010416920000011/wmtform10-kx1312020.htm" TargetMode="External"/><Relationship Id="rId102" Type="http://schemas.openxmlformats.org/officeDocument/2006/relationships/hyperlink" Target="https://www.sec.gov/ix?doc=/Archives/edgar/data/0000104169/000010416920000011/wmtform10-kx1312020.htm" TargetMode="External"/><Relationship Id="rId123" Type="http://schemas.openxmlformats.org/officeDocument/2006/relationships/hyperlink" Target="https://www.sec.gov/ix?doc=/Archives/edgar/data/0000104169/000010416920000011/wmtform10-kx1312020.htm" TargetMode="External"/><Relationship Id="rId144" Type="http://schemas.openxmlformats.org/officeDocument/2006/relationships/hyperlink" Target="http://www.sec.gov/Archives/edgar/data/104169/000119312514448061/d838288dex43.htm" TargetMode="External"/><Relationship Id="rId90" Type="http://schemas.openxmlformats.org/officeDocument/2006/relationships/hyperlink" Target="https://www.sec.gov/ix?doc=/Archives/edgar/data/0000104169/000010416920000011/wmtform10-kx1312020.htm" TargetMode="External"/><Relationship Id="rId165" Type="http://schemas.openxmlformats.org/officeDocument/2006/relationships/hyperlink" Target="https://www.sec.gov/Archives/edgar/data/104169/000010416918000086/exhibit101shareissuancea.htm" TargetMode="External"/><Relationship Id="rId27" Type="http://schemas.openxmlformats.org/officeDocument/2006/relationships/hyperlink" Target="https://www.sec.gov/ix?doc=/Archives/edgar/data/0000104169/000010416920000011/wmtform10-kx1312020.htm" TargetMode="External"/><Relationship Id="rId48" Type="http://schemas.openxmlformats.org/officeDocument/2006/relationships/hyperlink" Target="https://www.sec.gov/ix?doc=/Archives/edgar/data/0000104169/000010416920000011/wmtform10-kx1312020.htm" TargetMode="External"/><Relationship Id="rId69" Type="http://schemas.openxmlformats.org/officeDocument/2006/relationships/hyperlink" Target="https://www.sec.gov/ix?doc=/Archives/edgar/data/0000104169/000010416920000011/wmtform10-kx1312020.htm" TargetMode="External"/><Relationship Id="rId113" Type="http://schemas.openxmlformats.org/officeDocument/2006/relationships/hyperlink" Target="https://www.sec.gov/ix?doc=/Archives/edgar/data/0000104169/000010416920000011/wmtform10-kx1312020.htm" TargetMode="External"/><Relationship Id="rId134" Type="http://schemas.openxmlformats.org/officeDocument/2006/relationships/hyperlink" Target="https://www.sec.gov/ix?doc=/Archives/edgar/data/0000104169/000010416920000011/wmtform10-kx1312020.htm" TargetMode="External"/><Relationship Id="rId80" Type="http://schemas.openxmlformats.org/officeDocument/2006/relationships/hyperlink" Target="https://www.sec.gov/ix?doc=/Archives/edgar/data/0000104169/000010416920000011/wmtform10-kx1312020.htm" TargetMode="External"/><Relationship Id="rId155" Type="http://schemas.openxmlformats.org/officeDocument/2006/relationships/hyperlink" Target="https://www.sec.gov/Archives/edgar/data/0000104169/000010416920000011/exhibit108.htm" TargetMode="External"/><Relationship Id="rId17" Type="http://schemas.openxmlformats.org/officeDocument/2006/relationships/hyperlink" Target="https://www.sec.gov/ix?doc=/Archives/edgar/data/0000104169/000010416920000011/wmtform10-kx1312020.htm" TargetMode="External"/><Relationship Id="rId38" Type="http://schemas.openxmlformats.org/officeDocument/2006/relationships/hyperlink" Target="https://www.sec.gov/ix?doc=/Archives/edgar/data/0000104169/000010416920000011/wmtform10-kx1312020.htm" TargetMode="External"/><Relationship Id="rId59" Type="http://schemas.openxmlformats.org/officeDocument/2006/relationships/hyperlink" Target="https://www.sec.gov/ix?doc=/Archives/edgar/data/0000104169/000010416920000011/wmtform10-kx1312020.htm" TargetMode="External"/><Relationship Id="rId103" Type="http://schemas.openxmlformats.org/officeDocument/2006/relationships/hyperlink" Target="https://www.sec.gov/ix?doc=/Archives/edgar/data/0000104169/000010416920000011/wmtform10-kx1312020.htm" TargetMode="External"/><Relationship Id="rId124" Type="http://schemas.openxmlformats.org/officeDocument/2006/relationships/hyperlink" Target="https://www.sec.gov/ix?doc=/Archives/edgar/data/0000104169/000010416920000011/wmtform10-kx1312020.htm" TargetMode="External"/><Relationship Id="rId70" Type="http://schemas.openxmlformats.org/officeDocument/2006/relationships/hyperlink" Target="https://www.sec.gov/ix?doc=/Archives/edgar/data/0000104169/000010416920000011/wmtform10-kx1312020.htm" TargetMode="External"/><Relationship Id="rId91" Type="http://schemas.openxmlformats.org/officeDocument/2006/relationships/hyperlink" Target="https://www.sec.gov/ix?doc=/Archives/edgar/data/0000104169/000010416920000011/wmtform10-kx1312020.htm" TargetMode="External"/><Relationship Id="rId145" Type="http://schemas.openxmlformats.org/officeDocument/2006/relationships/hyperlink" Target="http://www.sec.gov/Archives/edgar/data/104169/000119312518204205/d561440dex4s.htm" TargetMode="External"/><Relationship Id="rId166" Type="http://schemas.openxmlformats.org/officeDocument/2006/relationships/hyperlink" Target="http://www.sec.gov/Archives/edgar/data/104169/000010416918000086/exhibit102sharepurchasea.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112</Pages>
  <Words>60002</Words>
  <Characters>342016</Characters>
  <Application>Microsoft Office Word</Application>
  <DocSecurity>0</DocSecurity>
  <Lines>2850</Lines>
  <Paragraphs>802</Paragraphs>
  <ScaleCrop>false</ScaleCrop>
  <Company/>
  <LinksUpToDate>false</LinksUpToDate>
  <CharactersWithSpaces>401216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2023-02-11T23:59:00Z</dcterms:created>
  <dcterms:modified xsi:type="dcterms:W3CDTF">2023-02-13T11:34:00Z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E859C6C92B8804DB50BBE76332B34E4C</vt:lpwstr>
  </property>
</Properties>
</file>